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0F4C1">
      <w:pPr>
        <w:rPr>
          <w:rFonts w:hint="default" w:ascii="Times New Roman" w:hAnsi="Times New Roman" w:eastAsia="仿宋_GB2312" w:cs="Times New Roman"/>
          <w:color w:val="auto"/>
          <w:sz w:val="36"/>
          <w:szCs w:val="36"/>
        </w:rPr>
      </w:pPr>
    </w:p>
    <w:p w14:paraId="552E6B09">
      <w:pPr>
        <w:rPr>
          <w:rFonts w:hint="default" w:ascii="Times New Roman" w:hAnsi="Times New Roman" w:eastAsia="仿宋_GB2312" w:cs="Times New Roman"/>
          <w:color w:val="auto"/>
          <w:sz w:val="36"/>
          <w:szCs w:val="36"/>
        </w:rPr>
      </w:pPr>
    </w:p>
    <w:p w14:paraId="681C5D67">
      <w:pPr>
        <w:rPr>
          <w:rFonts w:hint="default" w:ascii="Times New Roman" w:hAnsi="Times New Roman" w:eastAsia="仿宋_GB2312" w:cs="Times New Roman"/>
          <w:color w:val="auto"/>
          <w:sz w:val="36"/>
          <w:szCs w:val="36"/>
        </w:rPr>
      </w:pPr>
    </w:p>
    <w:p w14:paraId="255AEE05">
      <w:pPr>
        <w:rPr>
          <w:rFonts w:hint="default" w:ascii="Times New Roman" w:hAnsi="Times New Roman" w:eastAsia="仿宋_GB2312" w:cs="Times New Roman"/>
          <w:color w:val="auto"/>
          <w:sz w:val="36"/>
          <w:szCs w:val="36"/>
        </w:rPr>
      </w:pPr>
    </w:p>
    <w:p w14:paraId="6C83E673">
      <w:pPr>
        <w:rPr>
          <w:rFonts w:hint="default" w:ascii="Times New Roman" w:hAnsi="Times New Roman" w:eastAsia="仿宋_GB2312" w:cs="Times New Roman"/>
          <w:color w:val="auto"/>
          <w:sz w:val="36"/>
          <w:szCs w:val="36"/>
        </w:rPr>
      </w:pPr>
    </w:p>
    <w:p w14:paraId="24629FB6">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8870"/>
      <w:bookmarkStart w:id="1" w:name="_Toc20068"/>
      <w:bookmarkStart w:id="2" w:name="_Toc21359"/>
      <w:bookmarkStart w:id="3" w:name="_Toc31788"/>
      <w:bookmarkStart w:id="4" w:name="_Toc2904"/>
      <w:bookmarkStart w:id="5" w:name="_Toc27019"/>
      <w:bookmarkStart w:id="6" w:name="_Toc21136"/>
      <w:bookmarkStart w:id="7" w:name="_Toc31887"/>
      <w:bookmarkStart w:id="8" w:name="_Toc25155"/>
      <w:bookmarkStart w:id="9" w:name="_Toc9272"/>
      <w:bookmarkStart w:id="10" w:name="_Toc142"/>
      <w:bookmarkStart w:id="11" w:name="_Toc30575"/>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p>
    <w:p w14:paraId="10D572AD">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2987CED0">
      <w:pPr>
        <w:bidi w:val="0"/>
        <w:rPr>
          <w:rFonts w:hint="default" w:ascii="Times New Roman" w:hAnsi="Times New Roman" w:cs="Times New Roman"/>
          <w:color w:val="auto"/>
        </w:rPr>
      </w:pPr>
    </w:p>
    <w:p w14:paraId="6BAA3368">
      <w:pPr>
        <w:jc w:val="center"/>
        <w:rPr>
          <w:rFonts w:hint="default" w:ascii="Times New Roman" w:hAnsi="Times New Roman" w:eastAsia="仿宋" w:cs="Times New Roman"/>
          <w:color w:val="auto"/>
          <w:sz w:val="52"/>
          <w:szCs w:val="52"/>
        </w:rPr>
      </w:pPr>
    </w:p>
    <w:p w14:paraId="7ADF1204">
      <w:pPr>
        <w:ind w:firstLine="1040"/>
        <w:rPr>
          <w:rFonts w:hint="default" w:ascii="Times New Roman" w:hAnsi="Times New Roman" w:eastAsia="仿宋" w:cs="Times New Roman"/>
          <w:color w:val="auto"/>
          <w:sz w:val="44"/>
          <w:szCs w:val="44"/>
        </w:rPr>
      </w:pPr>
    </w:p>
    <w:p w14:paraId="0B138D5A">
      <w:pPr>
        <w:ind w:firstLine="1040"/>
        <w:rPr>
          <w:rFonts w:hint="default" w:ascii="Times New Roman" w:hAnsi="Times New Roman" w:eastAsia="仿宋" w:cs="Times New Roman"/>
          <w:color w:val="auto"/>
          <w:sz w:val="44"/>
          <w:szCs w:val="44"/>
        </w:rPr>
      </w:pPr>
    </w:p>
    <w:p w14:paraId="1891F215">
      <w:pPr>
        <w:ind w:firstLine="1040"/>
        <w:rPr>
          <w:rFonts w:hint="default" w:ascii="Times New Roman" w:hAnsi="Times New Roman" w:eastAsia="仿宋" w:cs="Times New Roman"/>
          <w:color w:val="auto"/>
          <w:sz w:val="44"/>
          <w:szCs w:val="44"/>
        </w:rPr>
      </w:pPr>
    </w:p>
    <w:p w14:paraId="352F5CE3">
      <w:pPr>
        <w:ind w:firstLine="1040"/>
        <w:rPr>
          <w:rFonts w:hint="default" w:ascii="Times New Roman" w:hAnsi="Times New Roman" w:eastAsia="仿宋" w:cs="Times New Roman"/>
          <w:color w:val="auto"/>
          <w:sz w:val="44"/>
          <w:szCs w:val="44"/>
        </w:rPr>
      </w:pPr>
    </w:p>
    <w:p w14:paraId="60A32272">
      <w:pPr>
        <w:keepNext w:val="0"/>
        <w:keepLines w:val="0"/>
        <w:pageBreakBefore w:val="0"/>
        <w:widowControl w:val="0"/>
        <w:kinsoku/>
        <w:wordWrap/>
        <w:overflowPunct/>
        <w:topLinePunct w:val="0"/>
        <w:autoSpaceDE/>
        <w:autoSpaceDN/>
        <w:bidi w:val="0"/>
        <w:adjustRightInd w:val="0"/>
        <w:snapToGrid w:val="0"/>
        <w:spacing w:line="360" w:lineRule="auto"/>
        <w:ind w:left="840" w:leftChars="400" w:right="840" w:rightChars="400" w:firstLine="0" w:firstLineChars="0"/>
        <w:jc w:val="left"/>
        <w:textAlignment w:val="auto"/>
        <w:rPr>
          <w:rFonts w:hint="default" w:ascii="Times New Roman" w:hAnsi="Times New Roman" w:eastAsia="宋体" w:cs="Times New Roman"/>
          <w:color w:val="auto"/>
          <w:w w:val="90"/>
          <w:sz w:val="32"/>
          <w:szCs w:val="32"/>
          <w:u w:val="single"/>
          <w:lang w:val="en-US" w:eastAsia="zh-CN"/>
        </w:rPr>
      </w:pPr>
      <w:r>
        <w:rPr>
          <w:rFonts w:hint="default" w:ascii="Times New Roman" w:hAnsi="Times New Roman" w:eastAsia="宋体" w:cs="Times New Roman"/>
          <w:color w:val="auto"/>
          <w:sz w:val="32"/>
          <w:szCs w:val="32"/>
        </w:rPr>
        <w:t>项目名称：</w:t>
      </w:r>
      <w:r>
        <w:rPr>
          <w:rFonts w:hint="eastAsia" w:cs="Times New Roman"/>
          <w:color w:val="auto"/>
          <w:sz w:val="32"/>
          <w:szCs w:val="32"/>
          <w:u w:val="single"/>
          <w:lang w:eastAsia="zh-CN"/>
        </w:rPr>
        <w:t>嘉荫县绿色新能源发展项目</w:t>
      </w:r>
    </w:p>
    <w:p w14:paraId="7CE76BE7">
      <w:pPr>
        <w:keepNext w:val="0"/>
        <w:keepLines w:val="0"/>
        <w:pageBreakBefore w:val="0"/>
        <w:widowControl w:val="0"/>
        <w:kinsoku/>
        <w:wordWrap/>
        <w:overflowPunct/>
        <w:topLinePunct w:val="0"/>
        <w:autoSpaceDE/>
        <w:autoSpaceDN/>
        <w:bidi w:val="0"/>
        <w:adjustRightInd w:val="0"/>
        <w:snapToGrid w:val="0"/>
        <w:spacing w:line="360" w:lineRule="auto"/>
        <w:ind w:left="840" w:leftChars="400" w:right="840" w:rightChars="400" w:firstLine="0" w:firstLineChars="0"/>
        <w:jc w:val="left"/>
        <w:textAlignment w:val="auto"/>
        <w:rPr>
          <w:rFonts w:hint="default" w:ascii="Times New Roman" w:hAnsi="Times New Roman" w:eastAsia="宋体" w:cs="Times New Roman"/>
          <w:color w:val="auto"/>
          <w:sz w:val="32"/>
          <w:szCs w:val="32"/>
          <w:u w:val="single"/>
          <w:lang w:eastAsia="zh-CN"/>
        </w:rPr>
      </w:pPr>
      <w:r>
        <w:rPr>
          <w:rFonts w:hint="default" w:ascii="Times New Roman" w:hAnsi="Times New Roman" w:eastAsia="宋体" w:cs="Times New Roman"/>
          <w:color w:val="auto"/>
          <w:sz w:val="32"/>
          <w:szCs w:val="32"/>
        </w:rPr>
        <w:t>建设单位：</w:t>
      </w:r>
      <w:r>
        <w:rPr>
          <w:rFonts w:hint="eastAsia" w:cs="Times New Roman"/>
          <w:color w:val="auto"/>
          <w:sz w:val="32"/>
          <w:szCs w:val="32"/>
          <w:u w:val="single"/>
          <w:lang w:eastAsia="zh-CN"/>
        </w:rPr>
        <w:t>嘉荫县赫丰清洁能源科技有限公司</w:t>
      </w:r>
    </w:p>
    <w:p w14:paraId="1E0668E6">
      <w:pPr>
        <w:keepNext w:val="0"/>
        <w:keepLines w:val="0"/>
        <w:pageBreakBefore w:val="0"/>
        <w:widowControl w:val="0"/>
        <w:kinsoku/>
        <w:wordWrap/>
        <w:overflowPunct/>
        <w:topLinePunct w:val="0"/>
        <w:autoSpaceDE/>
        <w:autoSpaceDN/>
        <w:bidi w:val="0"/>
        <w:adjustRightInd w:val="0"/>
        <w:snapToGrid w:val="0"/>
        <w:spacing w:line="360" w:lineRule="auto"/>
        <w:ind w:left="840" w:leftChars="400" w:right="840" w:rightChars="400" w:firstLine="0" w:firstLineChars="0"/>
        <w:jc w:val="left"/>
        <w:textAlignment w:val="auto"/>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编制日期：</w:t>
      </w:r>
      <w:r>
        <w:rPr>
          <w:rFonts w:hint="default" w:ascii="Times New Roman" w:hAnsi="Times New Roman" w:eastAsia="宋体" w:cs="Times New Roman"/>
          <w:color w:val="auto"/>
          <w:sz w:val="32"/>
          <w:szCs w:val="32"/>
          <w:u w:val="single"/>
        </w:rPr>
        <w:t>202</w:t>
      </w:r>
      <w:r>
        <w:rPr>
          <w:rFonts w:hint="eastAsia"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rPr>
        <w:t>年</w:t>
      </w:r>
      <w:r>
        <w:rPr>
          <w:rFonts w:hint="eastAsia" w:cs="Times New Roman"/>
          <w:color w:val="auto"/>
          <w:sz w:val="32"/>
          <w:szCs w:val="32"/>
          <w:u w:val="single"/>
          <w:lang w:val="en-US" w:eastAsia="zh-CN"/>
        </w:rPr>
        <w:t>7</w:t>
      </w:r>
      <w:r>
        <w:rPr>
          <w:rFonts w:hint="default" w:ascii="Times New Roman" w:hAnsi="Times New Roman" w:eastAsia="宋体" w:cs="Times New Roman"/>
          <w:color w:val="auto"/>
          <w:sz w:val="32"/>
          <w:szCs w:val="32"/>
          <w:u w:val="single"/>
        </w:rPr>
        <w:t>月</w:t>
      </w:r>
    </w:p>
    <w:p w14:paraId="1273A0B4">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2" w:name="_Hlk57884087"/>
    </w:p>
    <w:p w14:paraId="0F1AF196">
      <w:pPr>
        <w:adjustRightInd w:val="0"/>
        <w:snapToGrid w:val="0"/>
        <w:spacing w:line="288" w:lineRule="auto"/>
        <w:ind w:firstLine="1040"/>
        <w:rPr>
          <w:rFonts w:hint="default" w:ascii="Times New Roman" w:hAnsi="Times New Roman" w:eastAsia="仿宋_GB2312" w:cs="Times New Roman"/>
          <w:color w:val="auto"/>
          <w:sz w:val="36"/>
          <w:szCs w:val="36"/>
        </w:rPr>
      </w:pPr>
    </w:p>
    <w:p w14:paraId="00AFEA44">
      <w:pPr>
        <w:adjustRightInd w:val="0"/>
        <w:snapToGrid w:val="0"/>
        <w:spacing w:line="288" w:lineRule="auto"/>
        <w:ind w:firstLine="1040"/>
        <w:rPr>
          <w:rFonts w:hint="default" w:ascii="Times New Roman" w:hAnsi="Times New Roman" w:eastAsia="仿宋_GB2312" w:cs="Times New Roman"/>
          <w:color w:val="auto"/>
          <w:sz w:val="36"/>
          <w:szCs w:val="36"/>
        </w:rPr>
      </w:pPr>
    </w:p>
    <w:p w14:paraId="10A7A9D7">
      <w:pPr>
        <w:pStyle w:val="34"/>
        <w:rPr>
          <w:rFonts w:hint="default" w:ascii="Times New Roman" w:hAnsi="Times New Roman" w:eastAsia="仿宋_GB2312" w:cs="Times New Roman"/>
          <w:color w:val="auto"/>
          <w:sz w:val="36"/>
          <w:szCs w:val="36"/>
        </w:rPr>
      </w:pPr>
    </w:p>
    <w:p w14:paraId="2CD3F365">
      <w:pPr>
        <w:rPr>
          <w:rFonts w:hint="default" w:ascii="Times New Roman" w:hAnsi="Times New Roman" w:cs="Times New Roman"/>
          <w:color w:val="auto"/>
        </w:rPr>
      </w:pPr>
    </w:p>
    <w:p w14:paraId="1E4D0713">
      <w:pPr>
        <w:pStyle w:val="11"/>
        <w:rPr>
          <w:rFonts w:hint="default" w:ascii="Times New Roman" w:hAnsi="Times New Roman" w:cs="Times New Roman"/>
          <w:color w:val="auto"/>
        </w:rPr>
      </w:pPr>
    </w:p>
    <w:bookmarkEnd w:id="12"/>
    <w:p w14:paraId="6A5BA24C">
      <w:pPr>
        <w:adjustRightInd w:val="0"/>
        <w:snapToGrid w:val="0"/>
        <w:spacing w:line="288" w:lineRule="auto"/>
        <w:jc w:val="center"/>
        <w:rPr>
          <w:rFonts w:hint="default" w:ascii="Times New Roman" w:hAnsi="Times New Roman" w:eastAsia="楷体_GB2312" w:cs="Times New Roman"/>
          <w:color w:val="auto"/>
          <w:sz w:val="36"/>
          <w:szCs w:val="36"/>
          <w:lang w:val="en-US" w:eastAsia="zh-CN"/>
        </w:rPr>
      </w:pPr>
      <w:r>
        <w:rPr>
          <w:rFonts w:hint="default" w:ascii="Times New Roman" w:hAnsi="Times New Roman" w:cs="Times New Roman"/>
          <w:color w:val="auto"/>
          <w:sz w:val="32"/>
          <w:szCs w:val="32"/>
        </w:rPr>
        <w:t>中华人民共和国生态环境部制</w:t>
      </w:r>
    </w:p>
    <w:p w14:paraId="0DB22CBA">
      <w:pPr>
        <w:pStyle w:val="36"/>
        <w:ind w:left="0" w:leftChars="0" w:firstLine="0" w:firstLineChars="0"/>
        <w:rPr>
          <w:rFonts w:hint="eastAsia" w:eastAsia="宋体"/>
          <w:color w:val="auto"/>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3238614">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44"/>
          <w:szCs w:val="44"/>
        </w:rPr>
      </w:pPr>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US" w:eastAsia="zh-CN"/>
        </w:rPr>
        <w:t xml:space="preserve"> </w:t>
      </w:r>
      <w:r>
        <w:rPr>
          <w:rFonts w:hint="default" w:ascii="Times New Roman" w:hAnsi="Times New Roman" w:eastAsia="宋体" w:cs="Times New Roman"/>
          <w:b/>
          <w:bCs/>
          <w:color w:val="auto"/>
          <w:sz w:val="44"/>
          <w:szCs w:val="44"/>
        </w:rPr>
        <w:t>录</w:t>
      </w:r>
      <w:bookmarkStart w:id="49" w:name="_GoBack"/>
      <w:bookmarkEnd w:id="49"/>
    </w:p>
    <w:p w14:paraId="49808DB0">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TOC \o "1-1" \h \u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_Toc19062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_Toc19062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09D2BDF3">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_Toc20837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_Toc20837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6063697B">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_Toc21042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_Toc21042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1511CC91">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_Toc21101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_Toc21101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30339E5E">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_Toc16264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2FBC06A6">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_Toc3526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2E6276C6">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_Toc1423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38D01244">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_Toc19737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_Toc19737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5FDF9BF5">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_Toc9845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lang w:eastAsia="zh-CN"/>
        </w:rPr>
        <w:t>图</w:t>
      </w:r>
      <w:r>
        <w:rPr>
          <w:rFonts w:hint="default" w:ascii="Times New Roman" w:hAnsi="Times New Roman" w:eastAsia="宋体" w:cs="Times New Roman"/>
          <w:snapToGrid w:val="0"/>
          <w:sz w:val="24"/>
          <w:szCs w:val="24"/>
          <w:lang w:val="en-US" w:eastAsia="zh-CN"/>
        </w:rPr>
        <w:t>1 本项目地理位置图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_Toc9845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0592DEBA">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_Toc5220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highlight w:val="none"/>
          <w:lang w:eastAsia="zh-CN"/>
        </w:rPr>
        <w:t>图</w:t>
      </w:r>
      <w:r>
        <w:rPr>
          <w:rFonts w:hint="default" w:ascii="Times New Roman" w:hAnsi="Times New Roman" w:eastAsia="宋体" w:cs="Times New Roman"/>
          <w:snapToGrid w:val="0"/>
          <w:sz w:val="24"/>
          <w:szCs w:val="24"/>
          <w:highlight w:val="none"/>
          <w:lang w:val="en-US" w:eastAsia="zh-CN"/>
        </w:rPr>
        <w:t>2 厂区总平面布置图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_Toc5220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2AE909C8">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_Toc32448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napToGrid w:val="0"/>
          <w:sz w:val="24"/>
          <w:szCs w:val="24"/>
        </w:rPr>
        <w:t>附</w:t>
      </w:r>
      <w:r>
        <w:rPr>
          <w:rFonts w:hint="default" w:ascii="Times New Roman" w:hAnsi="Times New Roman" w:eastAsia="宋体" w:cs="Times New Roman"/>
          <w:snapToGrid w:val="0"/>
          <w:sz w:val="24"/>
          <w:szCs w:val="24"/>
          <w:highlight w:val="none"/>
          <w:lang w:eastAsia="zh-CN"/>
        </w:rPr>
        <w:t>图</w:t>
      </w:r>
      <w:r>
        <w:rPr>
          <w:rFonts w:hint="default" w:ascii="Times New Roman" w:hAnsi="Times New Roman" w:eastAsia="宋体" w:cs="Times New Roman"/>
          <w:snapToGrid w:val="0"/>
          <w:sz w:val="24"/>
          <w:szCs w:val="24"/>
          <w:highlight w:val="none"/>
          <w:lang w:val="en-US" w:eastAsia="zh-CN"/>
        </w:rPr>
        <w:t>3 本项目与园区位置关系图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_Toc32448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4A43B03F">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_Toc31907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highlight w:val="none"/>
          <w:lang w:val="en-US" w:eastAsia="zh-CN"/>
        </w:rPr>
        <w:t>附图4 与环境管控单元位置叠加图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684CFD0E">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_Toc32703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附件1 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_Toc32703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73C06FBC">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_Toc9487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bCs/>
          <w:kern w:val="44"/>
          <w:sz w:val="24"/>
          <w:szCs w:val="24"/>
          <w:lang w:val="en-US" w:eastAsia="zh-CN" w:bidi="ar-SA"/>
        </w:rPr>
        <w:t>附件2 土地相关文件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0B57BC1E">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_Toc31334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附件3 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61C53D58">
      <w:pPr>
        <w:pStyle w:val="20"/>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sz w:val="24"/>
          <w:szCs w:val="24"/>
          <w:lang w:eastAsia="zh-CN"/>
        </w:rPr>
        <w:instrText xml:space="preserve"> HYPERLINK \l _Toc30457 </w:instrText>
      </w:r>
      <w:r>
        <w:rPr>
          <w:rFonts w:hint="default" w:ascii="Times New Roman" w:hAnsi="Times New Roman" w:eastAsia="宋体" w:cs="Times New Roman"/>
          <w:sz w:val="24"/>
          <w:szCs w:val="24"/>
          <w:lang w:eastAsia="zh-CN"/>
        </w:rPr>
        <w:fldChar w:fldCharType="separate"/>
      </w:r>
      <w:r>
        <w:rPr>
          <w:rFonts w:hint="default"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highlight w:val="none"/>
          <w:lang w:val="en-US" w:eastAsia="zh-CN"/>
        </w:rPr>
        <w:t>4 核定总量计算说明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_Toc30457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lang w:eastAsia="zh-CN"/>
        </w:rPr>
        <w:fldChar w:fldCharType="end"/>
      </w:r>
    </w:p>
    <w:p w14:paraId="133BE687">
      <w:pPr>
        <w:pStyle w:val="34"/>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24"/>
          <w:szCs w:val="24"/>
          <w:lang w:eastAsia="zh-CN"/>
        </w:rPr>
        <w:fldChar w:fldCharType="end"/>
      </w:r>
    </w:p>
    <w:p w14:paraId="2C23FFC9">
      <w:pPr>
        <w:pStyle w:val="23"/>
        <w:jc w:val="center"/>
        <w:outlineLvl w:val="0"/>
        <w:rPr>
          <w:rFonts w:hint="default" w:ascii="Times New Roman" w:hAnsi="Times New Roman" w:eastAsia="黑体" w:cs="Times New Roman"/>
          <w:snapToGrid w:val="0"/>
          <w:color w:val="auto"/>
          <w:sz w:val="30"/>
          <w:szCs w:val="30"/>
        </w:rPr>
      </w:pPr>
      <w:bookmarkStart w:id="13" w:name="_Toc15523"/>
      <w:bookmarkStart w:id="14" w:name="_Toc19062"/>
      <w:r>
        <w:rPr>
          <w:rFonts w:hint="default" w:ascii="Times New Roman" w:hAnsi="Times New Roman" w:eastAsia="黑体" w:cs="Times New Roman"/>
          <w:snapToGrid w:val="0"/>
          <w:color w:val="auto"/>
          <w:sz w:val="30"/>
          <w:szCs w:val="30"/>
        </w:rPr>
        <w:t>一、建设项目基本情况</w:t>
      </w:r>
      <w:bookmarkEnd w:id="13"/>
      <w:bookmarkEnd w:id="14"/>
    </w:p>
    <w:tbl>
      <w:tblPr>
        <w:tblStyle w:val="28"/>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9"/>
        <w:gridCol w:w="2703"/>
        <w:gridCol w:w="2239"/>
        <w:gridCol w:w="2867"/>
      </w:tblGrid>
      <w:tr w14:paraId="0BF15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14:paraId="4528EB1D">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809" w:type="dxa"/>
            <w:gridSpan w:val="3"/>
            <w:noWrap w:val="0"/>
            <w:vAlign w:val="center"/>
          </w:tcPr>
          <w:p w14:paraId="138C1FA6">
            <w:pPr>
              <w:adjustRightInd w:val="0"/>
              <w:snapToGrid w:val="0"/>
              <w:jc w:val="center"/>
              <w:rPr>
                <w:rFonts w:hint="default" w:ascii="Times New Roman" w:hAnsi="Times New Roman" w:eastAsia="宋体" w:cs="Times New Roman"/>
                <w:color w:val="auto"/>
                <w:sz w:val="24"/>
                <w:szCs w:val="24"/>
                <w:lang w:eastAsia="zh-CN"/>
              </w:rPr>
            </w:pPr>
            <w:r>
              <w:rPr>
                <w:rFonts w:hint="eastAsia" w:cs="Times New Roman"/>
                <w:b w:val="0"/>
                <w:bCs w:val="0"/>
                <w:color w:val="auto"/>
                <w:sz w:val="24"/>
                <w:szCs w:val="24"/>
                <w:lang w:eastAsia="zh-CN"/>
              </w:rPr>
              <w:t>嘉荫县绿色新能源发展项目</w:t>
            </w:r>
          </w:p>
        </w:tc>
      </w:tr>
      <w:tr w14:paraId="031C4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14:paraId="2332091A">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809" w:type="dxa"/>
            <w:gridSpan w:val="3"/>
            <w:noWrap w:val="0"/>
            <w:vAlign w:val="center"/>
          </w:tcPr>
          <w:p w14:paraId="42B303C0">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w:t>
            </w:r>
          </w:p>
        </w:tc>
      </w:tr>
      <w:tr w14:paraId="6BA9B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14:paraId="5420B16F">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703" w:type="dxa"/>
            <w:noWrap w:val="0"/>
            <w:vAlign w:val="center"/>
          </w:tcPr>
          <w:p w14:paraId="08164D4B">
            <w:pPr>
              <w:adjustRightInd w:val="0"/>
              <w:snapToGrid w:val="0"/>
              <w:jc w:val="center"/>
              <w:rPr>
                <w:rFonts w:hint="default" w:ascii="Times New Roman" w:hAnsi="Times New Roman" w:eastAsia="宋体" w:cs="Times New Roman"/>
                <w:color w:val="auto"/>
                <w:sz w:val="24"/>
                <w:szCs w:val="24"/>
                <w:lang w:val="en-US" w:eastAsia="zh-CN"/>
              </w:rPr>
            </w:pPr>
          </w:p>
        </w:tc>
        <w:tc>
          <w:tcPr>
            <w:tcW w:w="2239" w:type="dxa"/>
            <w:noWrap w:val="0"/>
            <w:vAlign w:val="center"/>
          </w:tcPr>
          <w:p w14:paraId="49243AED">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联系方式</w:t>
            </w:r>
          </w:p>
        </w:tc>
        <w:tc>
          <w:tcPr>
            <w:tcW w:w="2867" w:type="dxa"/>
            <w:noWrap w:val="0"/>
            <w:vAlign w:val="center"/>
          </w:tcPr>
          <w:p w14:paraId="43B34623">
            <w:pPr>
              <w:adjustRightInd w:val="0"/>
              <w:snapToGrid w:val="0"/>
              <w:jc w:val="center"/>
              <w:rPr>
                <w:rFonts w:hint="default" w:ascii="Times New Roman" w:hAnsi="Times New Roman" w:eastAsia="宋体" w:cs="Times New Roman"/>
                <w:color w:val="auto"/>
                <w:sz w:val="24"/>
                <w:szCs w:val="24"/>
                <w:lang w:val="en-US" w:eastAsia="zh-CN"/>
              </w:rPr>
            </w:pPr>
          </w:p>
        </w:tc>
      </w:tr>
      <w:tr w14:paraId="7C487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1829" w:type="dxa"/>
            <w:noWrap w:val="0"/>
            <w:tcMar>
              <w:top w:w="16" w:type="dxa"/>
              <w:left w:w="16" w:type="dxa"/>
              <w:right w:w="16" w:type="dxa"/>
            </w:tcMar>
            <w:vAlign w:val="center"/>
          </w:tcPr>
          <w:p w14:paraId="67C460A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809" w:type="dxa"/>
            <w:gridSpan w:val="3"/>
            <w:noWrap w:val="0"/>
            <w:vAlign w:val="center"/>
          </w:tcPr>
          <w:p w14:paraId="577C90D0">
            <w:pPr>
              <w:keepNext w:val="0"/>
              <w:keepLines w:val="0"/>
              <w:pageBreakBefore w:val="0"/>
              <w:widowControl w:val="0"/>
              <w:kinsoku/>
              <w:wordWrap/>
              <w:overflowPunct/>
              <w:topLinePunct w:val="0"/>
              <w:autoSpaceDE/>
              <w:autoSpaceDN/>
              <w:bidi w:val="0"/>
              <w:adjustRightInd w:val="0"/>
              <w:snapToGrid w:val="0"/>
              <w:spacing w:before="95" w:beforeLines="30"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anchor distT="0" distB="0" distL="114300" distR="114300" simplePos="0" relativeHeight="251664384" behindDoc="0" locked="0" layoutInCell="1" allowOverlap="1">
                  <wp:simplePos x="0" y="0"/>
                  <wp:positionH relativeFrom="column">
                    <wp:posOffset>8580120</wp:posOffset>
                  </wp:positionH>
                  <wp:positionV relativeFrom="paragraph">
                    <wp:posOffset>1028700</wp:posOffset>
                  </wp:positionV>
                  <wp:extent cx="1192530" cy="1285875"/>
                  <wp:effectExtent l="9525" t="9525" r="17145" b="19050"/>
                  <wp:wrapNone/>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8"/>
                          <a:stretch>
                            <a:fillRect/>
                          </a:stretch>
                        </pic:blipFill>
                        <pic:spPr>
                          <a:xfrm>
                            <a:off x="0" y="0"/>
                            <a:ext cx="1192530" cy="128587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eastAsia="宋体" w:cs="Times New Roman"/>
                <w:color w:val="auto"/>
                <w:sz w:val="24"/>
                <w:szCs w:val="24"/>
                <w:highlight w:val="none"/>
                <w:lang w:val="en-US" w:eastAsia="zh-CN"/>
              </w:rPr>
              <w:t>黑龙江省伊春市嘉荫县经济开发区小微企业基地内西南角</w:t>
            </w:r>
          </w:p>
        </w:tc>
      </w:tr>
      <w:tr w14:paraId="7E44E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14:paraId="47F1ECD6">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809" w:type="dxa"/>
            <w:gridSpan w:val="3"/>
            <w:noWrap w:val="0"/>
            <w:vAlign w:val="center"/>
          </w:tcPr>
          <w:p w14:paraId="3A7C87D8">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1</w:t>
            </w:r>
            <w:r>
              <w:rPr>
                <w:rFonts w:hint="eastAsia" w:ascii="Times New Roman" w:hAnsi="Times New Roman" w:cs="Times New Roman"/>
                <w:color w:val="auto"/>
                <w:sz w:val="24"/>
                <w:szCs w:val="24"/>
                <w:highlight w:val="none"/>
                <w:u w:val="single"/>
                <w:lang w:val="en-US" w:eastAsia="zh-CN"/>
              </w:rPr>
              <w:t>30</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28</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40</w:t>
            </w:r>
            <w:r>
              <w:rPr>
                <w:rFonts w:hint="eastAsia" w:ascii="Times New Roman" w:hAnsi="Times New Roman" w:cs="Times New Roman"/>
                <w:color w:val="auto"/>
                <w:sz w:val="24"/>
                <w:szCs w:val="24"/>
                <w:highlight w:val="none"/>
                <w:u w:val="single"/>
                <w:lang w:val="en-US" w:eastAsia="zh-CN"/>
              </w:rPr>
              <w:t>.</w:t>
            </w:r>
            <w:r>
              <w:rPr>
                <w:rFonts w:hint="eastAsia" w:cs="Times New Roman"/>
                <w:color w:val="auto"/>
                <w:sz w:val="24"/>
                <w:szCs w:val="24"/>
                <w:highlight w:val="none"/>
                <w:u w:val="single"/>
                <w:lang w:val="en-US" w:eastAsia="zh-CN"/>
              </w:rPr>
              <w:t>514</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4</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u w:val="single"/>
              </w:rPr>
              <w:t>度</w:t>
            </w:r>
            <w:r>
              <w:rPr>
                <w:rFonts w:hint="eastAsia" w:ascii="Times New Roman" w:hAnsi="Times New Roman" w:cs="Times New Roman"/>
                <w:color w:val="auto"/>
                <w:sz w:val="24"/>
                <w:szCs w:val="24"/>
                <w:highlight w:val="none"/>
                <w:u w:val="single"/>
                <w:lang w:val="en-US" w:eastAsia="zh-CN"/>
              </w:rPr>
              <w:t>5</w:t>
            </w:r>
            <w:r>
              <w:rPr>
                <w:rFonts w:hint="eastAsia"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rPr>
              <w:t>分</w:t>
            </w:r>
            <w:r>
              <w:rPr>
                <w:rFonts w:hint="eastAsia" w:cs="Times New Roman"/>
                <w:color w:val="auto"/>
                <w:sz w:val="24"/>
                <w:szCs w:val="24"/>
                <w:highlight w:val="none"/>
                <w:u w:val="single"/>
                <w:lang w:val="en-US" w:eastAsia="zh-CN"/>
              </w:rPr>
              <w:t>49</w:t>
            </w:r>
            <w:r>
              <w:rPr>
                <w:rFonts w:hint="eastAsia" w:ascii="Times New Roman" w:hAnsi="Times New Roman" w:cs="Times New Roman"/>
                <w:color w:val="auto"/>
                <w:sz w:val="24"/>
                <w:szCs w:val="24"/>
                <w:highlight w:val="none"/>
                <w:u w:val="single"/>
                <w:lang w:val="en-US" w:eastAsia="zh-CN"/>
              </w:rPr>
              <w:t>.7</w:t>
            </w:r>
            <w:r>
              <w:rPr>
                <w:rFonts w:hint="eastAsia" w:cs="Times New Roman"/>
                <w:color w:val="auto"/>
                <w:sz w:val="24"/>
                <w:szCs w:val="24"/>
                <w:highlight w:val="none"/>
                <w:u w:val="single"/>
                <w:lang w:val="en-US" w:eastAsia="zh-CN"/>
              </w:rPr>
              <w:t>14</w:t>
            </w:r>
            <w:r>
              <w:rPr>
                <w:rFonts w:hint="default" w:ascii="Times New Roman" w:hAnsi="Times New Roman" w:cs="Times New Roman"/>
                <w:color w:val="auto"/>
                <w:sz w:val="24"/>
                <w:szCs w:val="24"/>
                <w:highlight w:val="none"/>
                <w:u w:val="single"/>
              </w:rPr>
              <w:t>秒）</w:t>
            </w:r>
          </w:p>
        </w:tc>
      </w:tr>
      <w:tr w14:paraId="784A3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829" w:type="dxa"/>
            <w:noWrap w:val="0"/>
            <w:tcMar>
              <w:top w:w="16" w:type="dxa"/>
              <w:left w:w="16" w:type="dxa"/>
              <w:right w:w="16" w:type="dxa"/>
            </w:tcMar>
            <w:vAlign w:val="center"/>
          </w:tcPr>
          <w:p w14:paraId="6855B28F">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14:paraId="359D0BE7">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03" w:type="dxa"/>
            <w:noWrap w:val="0"/>
            <w:vAlign w:val="center"/>
          </w:tcPr>
          <w:p w14:paraId="2154E14C">
            <w:pPr>
              <w:adjustRightInd w:val="0"/>
              <w:snapToGrid w:val="0"/>
              <w:jc w:val="center"/>
              <w:rPr>
                <w:rFonts w:hint="default"/>
                <w:color w:val="auto"/>
                <w:sz w:val="24"/>
                <w:szCs w:val="24"/>
                <w:lang w:val="en-US" w:eastAsia="zh-CN"/>
              </w:rPr>
            </w:pPr>
            <w:r>
              <w:rPr>
                <w:rFonts w:hint="default"/>
                <w:color w:val="auto"/>
                <w:sz w:val="24"/>
                <w:szCs w:val="24"/>
                <w:lang w:val="en-US" w:eastAsia="zh-CN"/>
              </w:rPr>
              <w:t>D4430热力生产和供应</w:t>
            </w:r>
          </w:p>
          <w:p w14:paraId="139D71F9">
            <w:pPr>
              <w:pStyle w:val="25"/>
              <w:ind w:left="0" w:leftChars="0" w:firstLine="0" w:firstLineChars="0"/>
              <w:jc w:val="center"/>
              <w:rPr>
                <w:rFonts w:hint="default"/>
                <w:color w:val="auto"/>
                <w:sz w:val="24"/>
                <w:szCs w:val="24"/>
                <w:lang w:val="en-US" w:eastAsia="zh-CN"/>
              </w:rPr>
            </w:pPr>
            <w:r>
              <w:rPr>
                <w:rFonts w:hint="eastAsia"/>
                <w:kern w:val="21"/>
                <w:sz w:val="24"/>
                <w:szCs w:val="24"/>
              </w:rPr>
              <w:t>D4520生物质燃气生产和供应业</w:t>
            </w:r>
          </w:p>
        </w:tc>
        <w:tc>
          <w:tcPr>
            <w:tcW w:w="2239" w:type="dxa"/>
            <w:noWrap w:val="0"/>
            <w:vAlign w:val="center"/>
          </w:tcPr>
          <w:p w14:paraId="442EBB2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6B7513D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867" w:type="dxa"/>
            <w:noWrap w:val="0"/>
            <w:vAlign w:val="center"/>
          </w:tcPr>
          <w:p w14:paraId="33A21D86">
            <w:pPr>
              <w:numPr>
                <w:ilvl w:val="0"/>
                <w:numId w:val="0"/>
              </w:numPr>
              <w:adjustRightInd w:val="0"/>
              <w:snapToGrid w:val="0"/>
              <w:ind w:left="0" w:leftChars="0"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四十一、电力</w:t>
            </w:r>
          </w:p>
          <w:p w14:paraId="4E789272">
            <w:pPr>
              <w:numPr>
                <w:ilvl w:val="0"/>
                <w:numId w:val="0"/>
              </w:numPr>
              <w:adjustRightInd w:val="0"/>
              <w:snapToGrid w:val="0"/>
              <w:ind w:left="0" w:leftChars="0" w:firstLine="0" w:firstLineChars="0"/>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热力生产和供应业</w:t>
            </w:r>
            <w:r>
              <w:rPr>
                <w:rFonts w:hint="default" w:ascii="Times New Roman" w:hAnsi="Times New Roman" w:cs="Times New Roman"/>
                <w:color w:val="auto"/>
                <w:sz w:val="24"/>
                <w:szCs w:val="24"/>
                <w:lang w:val="en-US" w:eastAsia="zh-CN"/>
              </w:rPr>
              <w:t>91</w:t>
            </w:r>
            <w:r>
              <w:rPr>
                <w:rFonts w:hint="default" w:ascii="Times New Roman" w:hAnsi="Times New Roman" w:cs="Times New Roman"/>
                <w:color w:val="auto"/>
                <w:sz w:val="24"/>
                <w:szCs w:val="24"/>
              </w:rPr>
              <w:t>热力生产和供应工程</w:t>
            </w:r>
          </w:p>
          <w:p w14:paraId="160E240F">
            <w:pPr>
              <w:numPr>
                <w:ilvl w:val="0"/>
                <w:numId w:val="0"/>
              </w:numPr>
              <w:adjustRightInd w:val="0"/>
              <w:snapToGrid w:val="0"/>
              <w:ind w:left="0" w:leftChars="0" w:firstLine="0" w:firstLineChars="0"/>
              <w:jc w:val="center"/>
              <w:rPr>
                <w:rFonts w:hint="default"/>
              </w:rPr>
            </w:pPr>
            <w:r>
              <w:rPr>
                <w:rFonts w:hint="eastAsia"/>
                <w:kern w:val="21"/>
                <w:sz w:val="24"/>
                <w:szCs w:val="24"/>
              </w:rPr>
              <w:t>四十二、燃气生产和供应业93生物质燃气生产和供应</w:t>
            </w:r>
            <w:r>
              <w:rPr>
                <w:rFonts w:hint="eastAsia"/>
                <w:kern w:val="21"/>
                <w:sz w:val="24"/>
                <w:szCs w:val="24"/>
                <w:lang w:val="en-US" w:eastAsia="zh-CN"/>
              </w:rPr>
              <w:t>业</w:t>
            </w:r>
          </w:p>
        </w:tc>
      </w:tr>
      <w:tr w14:paraId="0F4BC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29" w:type="dxa"/>
            <w:noWrap w:val="0"/>
            <w:tcMar>
              <w:top w:w="16" w:type="dxa"/>
              <w:left w:w="16" w:type="dxa"/>
              <w:right w:w="16" w:type="dxa"/>
            </w:tcMar>
            <w:vAlign w:val="center"/>
          </w:tcPr>
          <w:p w14:paraId="317F576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703" w:type="dxa"/>
            <w:noWrap w:val="0"/>
            <w:vAlign w:val="center"/>
          </w:tcPr>
          <w:p w14:paraId="6D889661">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14:paraId="59FF436F">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14:paraId="50B5C27F">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14:paraId="07310A98">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2239" w:type="dxa"/>
            <w:noWrap w:val="0"/>
            <w:vAlign w:val="center"/>
          </w:tcPr>
          <w:p w14:paraId="549807BA">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72DAE19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867" w:type="dxa"/>
            <w:noWrap w:val="0"/>
            <w:vAlign w:val="center"/>
          </w:tcPr>
          <w:p w14:paraId="471A5548">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14:paraId="60C3B192">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14:paraId="6B9ED699">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14:paraId="0DAA8BF8">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14:paraId="7B8F8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29" w:type="dxa"/>
            <w:noWrap w:val="0"/>
            <w:tcMar>
              <w:top w:w="16" w:type="dxa"/>
              <w:left w:w="16" w:type="dxa"/>
              <w:right w:w="16" w:type="dxa"/>
            </w:tcMar>
            <w:vAlign w:val="center"/>
          </w:tcPr>
          <w:p w14:paraId="5B35EC1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2A79AC5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703" w:type="dxa"/>
            <w:noWrap w:val="0"/>
            <w:vAlign w:val="center"/>
          </w:tcPr>
          <w:p w14:paraId="61A57FD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c>
          <w:tcPr>
            <w:tcW w:w="2239" w:type="dxa"/>
            <w:noWrap w:val="0"/>
            <w:vAlign w:val="center"/>
          </w:tcPr>
          <w:p w14:paraId="3E0FB7F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1825F32F">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867" w:type="dxa"/>
            <w:noWrap w:val="0"/>
            <w:vAlign w:val="center"/>
          </w:tcPr>
          <w:p w14:paraId="43B90761">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14:paraId="3BBCB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14:paraId="383B19F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2703" w:type="dxa"/>
            <w:noWrap w:val="0"/>
            <w:vAlign w:val="center"/>
          </w:tcPr>
          <w:p w14:paraId="7ACBF5E1">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Cs/>
                <w:color w:val="auto"/>
                <w:kern w:val="0"/>
                <w:sz w:val="24"/>
                <w:szCs w:val="24"/>
                <w:highlight w:val="none"/>
                <w:lang w:val="en-US" w:eastAsia="zh-CN"/>
              </w:rPr>
              <w:t>5</w:t>
            </w:r>
            <w:r>
              <w:rPr>
                <w:rFonts w:hint="eastAsia" w:cs="Times New Roman"/>
                <w:bCs/>
                <w:color w:val="auto"/>
                <w:kern w:val="0"/>
                <w:sz w:val="24"/>
                <w:szCs w:val="24"/>
                <w:highlight w:val="none"/>
                <w:lang w:val="en-US" w:eastAsia="zh-CN"/>
              </w:rPr>
              <w:t>3</w:t>
            </w:r>
            <w:r>
              <w:rPr>
                <w:rFonts w:hint="eastAsia" w:ascii="Times New Roman" w:hAnsi="Times New Roman" w:cs="Times New Roman"/>
                <w:bCs/>
                <w:color w:val="auto"/>
                <w:kern w:val="0"/>
                <w:sz w:val="24"/>
                <w:szCs w:val="24"/>
                <w:highlight w:val="none"/>
                <w:lang w:val="en-US" w:eastAsia="zh-CN"/>
              </w:rPr>
              <w:t>00</w:t>
            </w:r>
          </w:p>
        </w:tc>
        <w:tc>
          <w:tcPr>
            <w:tcW w:w="2239" w:type="dxa"/>
            <w:noWrap w:val="0"/>
            <w:tcMar>
              <w:top w:w="16" w:type="dxa"/>
              <w:left w:w="16" w:type="dxa"/>
              <w:right w:w="16" w:type="dxa"/>
            </w:tcMar>
            <w:vAlign w:val="center"/>
          </w:tcPr>
          <w:p w14:paraId="3A7D1966">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867" w:type="dxa"/>
            <w:noWrap w:val="0"/>
            <w:vAlign w:val="center"/>
          </w:tcPr>
          <w:p w14:paraId="7B071AA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bCs/>
                <w:color w:val="auto"/>
                <w:kern w:val="0"/>
                <w:sz w:val="24"/>
                <w:szCs w:val="24"/>
                <w:highlight w:val="none"/>
                <w:lang w:val="en-US" w:eastAsia="zh-CN"/>
              </w:rPr>
              <w:t>20</w:t>
            </w:r>
          </w:p>
        </w:tc>
      </w:tr>
      <w:tr w14:paraId="7C227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4" w:hRule="atLeast"/>
          <w:jc w:val="center"/>
        </w:trPr>
        <w:tc>
          <w:tcPr>
            <w:tcW w:w="1829" w:type="dxa"/>
            <w:noWrap w:val="0"/>
            <w:tcMar>
              <w:top w:w="16" w:type="dxa"/>
              <w:left w:w="16" w:type="dxa"/>
              <w:right w:w="16" w:type="dxa"/>
            </w:tcMar>
            <w:vAlign w:val="center"/>
          </w:tcPr>
          <w:p w14:paraId="3732997E">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2703" w:type="dxa"/>
            <w:noWrap w:val="0"/>
            <w:vAlign w:val="center"/>
          </w:tcPr>
          <w:p w14:paraId="1F21A554">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0.38</w:t>
            </w:r>
            <w:r>
              <w:rPr>
                <w:rFonts w:hint="default" w:ascii="Times New Roman" w:hAnsi="Times New Roman" w:cs="Times New Roman"/>
                <w:color w:val="auto"/>
                <w:sz w:val="24"/>
                <w:szCs w:val="24"/>
                <w:highlight w:val="none"/>
              </w:rPr>
              <w:t>%</w:t>
            </w:r>
          </w:p>
        </w:tc>
        <w:tc>
          <w:tcPr>
            <w:tcW w:w="2239" w:type="dxa"/>
            <w:noWrap w:val="0"/>
            <w:tcMar>
              <w:top w:w="16" w:type="dxa"/>
              <w:left w:w="16" w:type="dxa"/>
              <w:right w:w="16" w:type="dxa"/>
            </w:tcMar>
            <w:vAlign w:val="center"/>
          </w:tcPr>
          <w:p w14:paraId="73D5887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szCs w:val="24"/>
                <w:highlight w:val="none"/>
              </w:rPr>
              <w:t>施工工期</w:t>
            </w:r>
          </w:p>
        </w:tc>
        <w:tc>
          <w:tcPr>
            <w:tcW w:w="2867" w:type="dxa"/>
            <w:noWrap w:val="0"/>
            <w:vAlign w:val="center"/>
          </w:tcPr>
          <w:p w14:paraId="15BE0AF1">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5</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9</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5</w:t>
            </w:r>
            <w:r>
              <w:rPr>
                <w:rFonts w:hint="default" w:ascii="Times New Roman" w:hAnsi="Times New Roman" w:cs="Times New Roman"/>
                <w:bCs/>
                <w:color w:val="auto"/>
                <w:kern w:val="0"/>
                <w:sz w:val="24"/>
                <w:szCs w:val="24"/>
                <w:highlight w:val="none"/>
              </w:rPr>
              <w:t>.1</w:t>
            </w:r>
            <w:r>
              <w:rPr>
                <w:rFonts w:hint="eastAsia" w:cs="Times New Roman"/>
                <w:bCs/>
                <w:color w:val="auto"/>
                <w:kern w:val="0"/>
                <w:sz w:val="24"/>
                <w:szCs w:val="24"/>
                <w:highlight w:val="none"/>
                <w:lang w:val="en-US" w:eastAsia="zh-CN"/>
              </w:rPr>
              <w:t>2</w:t>
            </w:r>
          </w:p>
        </w:tc>
      </w:tr>
      <w:tr w14:paraId="0F993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14:paraId="744A0C5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703" w:type="dxa"/>
            <w:noWrap w:val="0"/>
            <w:vAlign w:val="center"/>
          </w:tcPr>
          <w:p w14:paraId="0F1E1AA0">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14:paraId="34BA51CA">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highlight w:val="none"/>
                <w:u w:val="single"/>
              </w:rPr>
              <w:t xml:space="preserve">    </w:t>
            </w:r>
          </w:p>
        </w:tc>
        <w:tc>
          <w:tcPr>
            <w:tcW w:w="2239" w:type="dxa"/>
            <w:noWrap w:val="0"/>
            <w:tcMar>
              <w:top w:w="16" w:type="dxa"/>
              <w:left w:w="16" w:type="dxa"/>
              <w:right w:w="16" w:type="dxa"/>
            </w:tcMar>
            <w:vAlign w:val="center"/>
          </w:tcPr>
          <w:p w14:paraId="24E42778">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14:paraId="362BF3D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867" w:type="dxa"/>
            <w:noWrap w:val="0"/>
            <w:vAlign w:val="center"/>
          </w:tcPr>
          <w:p w14:paraId="6D835C65">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kern w:val="0"/>
                <w:sz w:val="24"/>
                <w:szCs w:val="24"/>
                <w:highlight w:val="none"/>
                <w:lang w:val="en-US" w:eastAsia="zh-CN"/>
              </w:rPr>
              <w:t>7634.43</w:t>
            </w:r>
          </w:p>
        </w:tc>
      </w:tr>
      <w:tr w14:paraId="54841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829" w:type="dxa"/>
            <w:noWrap w:val="0"/>
            <w:vAlign w:val="center"/>
          </w:tcPr>
          <w:p w14:paraId="687FDED3">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809" w:type="dxa"/>
            <w:gridSpan w:val="3"/>
            <w:noWrap w:val="0"/>
            <w:vAlign w:val="center"/>
          </w:tcPr>
          <w:p w14:paraId="3E4C5ABD">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14:paraId="08213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829" w:type="dxa"/>
            <w:noWrap w:val="0"/>
            <w:vAlign w:val="center"/>
          </w:tcPr>
          <w:p w14:paraId="54D5BA26">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规划情况</w:t>
            </w:r>
          </w:p>
        </w:tc>
        <w:tc>
          <w:tcPr>
            <w:tcW w:w="7809" w:type="dxa"/>
            <w:gridSpan w:val="3"/>
            <w:noWrap w:val="0"/>
            <w:vAlign w:val="center"/>
          </w:tcPr>
          <w:p w14:paraId="47CBE49A">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rPr>
              <w:t>《黑龙江嘉荫经济开发区总体规划（2021-2035）》</w:t>
            </w:r>
          </w:p>
        </w:tc>
      </w:tr>
      <w:tr w14:paraId="524E9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829" w:type="dxa"/>
            <w:noWrap w:val="0"/>
            <w:vAlign w:val="center"/>
          </w:tcPr>
          <w:p w14:paraId="0F8D2FC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14:paraId="65E7AF30">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809" w:type="dxa"/>
            <w:gridSpan w:val="3"/>
            <w:noWrap w:val="0"/>
            <w:vAlign w:val="center"/>
          </w:tcPr>
          <w:p w14:paraId="4E7B9A1B">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《嘉荫县工业示范基地永安园区总体规划（2018-2025）环境影响报告书》 关于《嘉荫县工业示范基地永安园区总体规划（2018-2025）环境影响报告书》审查意见的函（伊环函〔2019〕33号）</w:t>
            </w:r>
          </w:p>
        </w:tc>
      </w:tr>
      <w:tr w14:paraId="27F30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829" w:type="dxa"/>
            <w:noWrap w:val="0"/>
            <w:vAlign w:val="center"/>
          </w:tcPr>
          <w:p w14:paraId="250EA488">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7809" w:type="dxa"/>
            <w:gridSpan w:val="3"/>
            <w:noWrap w:val="0"/>
            <w:vAlign w:val="center"/>
          </w:tcPr>
          <w:p w14:paraId="7FCD5176">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与</w:t>
            </w:r>
            <w:r>
              <w:rPr>
                <w:rFonts w:hint="default" w:ascii="Times New Roman" w:hAnsi="Times New Roman" w:eastAsia="宋体" w:cs="Times New Roman"/>
                <w:color w:val="auto"/>
                <w:kern w:val="0"/>
                <w:sz w:val="24"/>
                <w:szCs w:val="24"/>
              </w:rPr>
              <w:t>《黑龙江嘉荫经济开发区总体规划（2021-2035）》</w:t>
            </w:r>
            <w:r>
              <w:rPr>
                <w:rFonts w:hint="default" w:ascii="Times New Roman" w:hAnsi="Times New Roman" w:eastAsia="宋体" w:cs="Times New Roman"/>
                <w:color w:val="auto"/>
                <w:kern w:val="0"/>
                <w:sz w:val="24"/>
                <w:szCs w:val="24"/>
                <w:lang w:val="en-US" w:eastAsia="zh-CN"/>
              </w:rPr>
              <w:t>符合性分析</w:t>
            </w:r>
          </w:p>
          <w:p w14:paraId="63F79896">
            <w:pPr>
              <w:pStyle w:val="2"/>
              <w:keepNext w:val="0"/>
              <w:keepLines w:val="0"/>
              <w:pageBreakBefore w:val="0"/>
              <w:widowControl w:val="0"/>
              <w:numPr>
                <w:ilvl w:val="0"/>
                <w:numId w:val="0"/>
              </w:numPr>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济开发区将用地划分为“一心、一轴、两组团、十一区”的空间布局结构。一心：经济开发区综合服务中心。一轴：依托口岸公路，打造产业发展轴；二组团：西部工业产业园组团、东部边境口岸经济贸易组团。十一区：木材加工产业区、农林副产品加工产业区、高新技术产业区、综合服务区、小微企业孵化基地产业区、中小企业加速基地产业区、新能源新材料产业区、互市贸易区、口岸保税区、进境粮食产品加工区、口岸边检区。</w:t>
            </w:r>
          </w:p>
          <w:p w14:paraId="501431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333333"/>
                <w:sz w:val="24"/>
                <w:szCs w:val="24"/>
                <w:lang w:val="en-US" w:eastAsia="zh-CN"/>
              </w:rPr>
            </w:pP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color w:val="auto"/>
                <w:kern w:val="0"/>
                <w:sz w:val="24"/>
                <w:szCs w:val="24"/>
              </w:rPr>
              <w:t>《黑龙江嘉荫经济开发区总体规划（2021-2035）》</w:t>
            </w:r>
            <w:r>
              <w:rPr>
                <w:rFonts w:hint="default" w:ascii="Times New Roman" w:hAnsi="Times New Roman" w:eastAsia="宋体" w:cs="Times New Roman"/>
                <w:color w:val="auto"/>
                <w:kern w:val="0"/>
                <w:sz w:val="24"/>
                <w:szCs w:val="24"/>
                <w:lang w:val="en-US" w:eastAsia="zh-CN"/>
              </w:rPr>
              <w:t>中“</w:t>
            </w:r>
            <w:r>
              <w:rPr>
                <w:rFonts w:hint="default" w:ascii="Times New Roman" w:hAnsi="Times New Roman" w:eastAsia="宋体" w:cs="Times New Roman"/>
                <w:sz w:val="24"/>
                <w:szCs w:val="24"/>
                <w:lang w:val="en-US" w:eastAsia="zh-CN"/>
              </w:rPr>
              <w:t>第十一章 供热工程规划”，</w:t>
            </w:r>
            <w:r>
              <w:rPr>
                <w:rFonts w:hint="default" w:ascii="Times New Roman" w:hAnsi="Times New Roman" w:eastAsia="宋体" w:cs="Times New Roman"/>
                <w:color w:val="333333"/>
                <w:sz w:val="24"/>
                <w:szCs w:val="24"/>
              </w:rPr>
              <w:t>嘉荫县经济开发区内供热采用分散式供热，各企业自备独立热源，根据各自需要供热的建筑物确定热源规模及直供管网辐射范围。</w:t>
            </w:r>
            <w:r>
              <w:rPr>
                <w:rFonts w:hint="default" w:ascii="Times New Roman" w:hAnsi="Times New Roman" w:eastAsia="宋体" w:cs="Times New Roman"/>
                <w:sz w:val="24"/>
                <w:szCs w:val="24"/>
                <w:lang w:val="en-US" w:eastAsia="zh-CN"/>
              </w:rPr>
              <w:t>项目位于小微企业孵化基地产业区，</w:t>
            </w:r>
            <w:r>
              <w:rPr>
                <w:rFonts w:hint="default" w:ascii="Times New Roman" w:hAnsi="Times New Roman" w:eastAsia="宋体" w:cs="Times New Roman"/>
                <w:color w:val="333333"/>
                <w:sz w:val="24"/>
                <w:szCs w:val="24"/>
                <w:lang w:val="en-US" w:eastAsia="zh-CN"/>
              </w:rPr>
              <w:t>本项目为小微企业孵化基地产业区提供蒸汽，符合黑龙江嘉荫经济开发区总体规划。</w:t>
            </w:r>
          </w:p>
          <w:p w14:paraId="704A2528">
            <w:pPr>
              <w:pStyle w:val="2"/>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333333"/>
                <w:sz w:val="24"/>
                <w:szCs w:val="24"/>
                <w:lang w:val="en-US" w:eastAsia="zh-CN"/>
              </w:rPr>
              <w:t>与</w:t>
            </w:r>
            <w:r>
              <w:rPr>
                <w:rFonts w:hint="eastAsia" w:ascii="Times New Roman" w:hAnsi="Times New Roman" w:eastAsia="宋体" w:cs="Times New Roman"/>
                <w:color w:val="auto"/>
                <w:kern w:val="0"/>
                <w:sz w:val="24"/>
                <w:szCs w:val="24"/>
                <w:lang w:val="en-US" w:eastAsia="zh-CN"/>
              </w:rPr>
              <w:t>《嘉荫县工业示范基地永安园区总体规划（2018-2025）环境影响报告书》及审查意见函的符合性分析</w:t>
            </w:r>
          </w:p>
          <w:p w14:paraId="42BEE3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color w:val="auto"/>
                <w:kern w:val="0"/>
                <w:sz w:val="24"/>
                <w:szCs w:val="24"/>
              </w:rPr>
              <w:t>《黑龙江嘉荫经济开发区总体规划（2021-2035）》</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项目位于小微企业孵化基地产业区，</w:t>
            </w:r>
            <w:r>
              <w:rPr>
                <w:rFonts w:hint="eastAsia" w:ascii="Times New Roman" w:hAnsi="Times New Roman" w:eastAsia="宋体" w:cs="Times New Roman"/>
                <w:sz w:val="24"/>
                <w:szCs w:val="24"/>
                <w:lang w:val="en-US" w:eastAsia="zh-CN"/>
              </w:rPr>
              <w:t>2022年7月，黑龙江嘉荫经济开发区管理委员会提出的黑龙江嘉荫经济开发区提质扩容建设项目已通过嘉荫县发展和改革局审批，本项目位于嘉荫经济开发区B02地块（附件2），位于扩建后的园区，不在</w:t>
            </w:r>
            <w:r>
              <w:rPr>
                <w:rFonts w:hint="eastAsia" w:ascii="Times New Roman" w:hAnsi="Times New Roman" w:eastAsia="宋体" w:cs="Times New Roman"/>
                <w:color w:val="auto"/>
                <w:kern w:val="0"/>
                <w:sz w:val="24"/>
                <w:szCs w:val="24"/>
                <w:lang w:val="en-US" w:eastAsia="zh-CN"/>
              </w:rPr>
              <w:t>《嘉荫县工业示范基地永安园区总体规划（2018-2025）环境影响报告书》及审查意见规范范围内，因此不做符合性分析。</w:t>
            </w:r>
          </w:p>
        </w:tc>
      </w:tr>
      <w:tr w14:paraId="0A5C4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38" w:hRule="atLeast"/>
          <w:jc w:val="center"/>
        </w:trPr>
        <w:tc>
          <w:tcPr>
            <w:tcW w:w="1829" w:type="dxa"/>
            <w:noWrap w:val="0"/>
            <w:vAlign w:val="center"/>
          </w:tcPr>
          <w:p w14:paraId="03AB3E16">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809" w:type="dxa"/>
            <w:gridSpan w:val="3"/>
            <w:noWrap w:val="0"/>
            <w:vAlign w:val="top"/>
          </w:tcPr>
          <w:p w14:paraId="10E9093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三线一单</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符合性分析：</w:t>
            </w:r>
          </w:p>
          <w:p w14:paraId="14ACF5F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本项目位于</w:t>
            </w:r>
            <w:r>
              <w:rPr>
                <w:rFonts w:hint="eastAsia" w:ascii="Times New Roman" w:hAnsi="Times New Roman" w:cs="Times New Roman"/>
                <w:color w:val="auto"/>
                <w:kern w:val="0"/>
                <w:sz w:val="24"/>
                <w:szCs w:val="24"/>
                <w:highlight w:val="none"/>
                <w:lang w:val="en-US" w:eastAsia="zh-CN"/>
              </w:rPr>
              <w:t>黑龙江省伊春市嘉荫县经济开发区小微企业基地内西南角</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highlight w:val="none"/>
              </w:rPr>
              <w:t>根据</w:t>
            </w:r>
            <w:r>
              <w:rPr>
                <w:rFonts w:hint="eastAsia" w:ascii="Times New Roman" w:hAnsi="Times New Roman" w:cs="Times New Roman"/>
                <w:color w:val="auto"/>
                <w:kern w:val="0"/>
                <w:sz w:val="24"/>
                <w:szCs w:val="24"/>
                <w:highlight w:val="none"/>
              </w:rPr>
              <w:t>《伊春市人民政府关于实施“三线一单”生态环境分区管控意见》伊政规〔2021〕6号</w:t>
            </w:r>
            <w:r>
              <w:rPr>
                <w:rFonts w:hint="default" w:ascii="Times New Roman" w:hAnsi="Times New Roman" w:cs="Times New Roman"/>
                <w:color w:val="auto"/>
                <w:kern w:val="0"/>
                <w:sz w:val="24"/>
                <w:szCs w:val="24"/>
                <w:highlight w:val="none"/>
              </w:rPr>
              <w:t>规定</w:t>
            </w:r>
            <w:r>
              <w:rPr>
                <w:rFonts w:hint="eastAsia" w:cs="Times New Roman"/>
                <w:color w:val="auto"/>
                <w:kern w:val="0"/>
                <w:sz w:val="24"/>
                <w:szCs w:val="24"/>
                <w:highlight w:val="none"/>
                <w:lang w:val="en-US" w:eastAsia="zh-CN"/>
              </w:rPr>
              <w:t>以及</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eastAsia="zh-CN"/>
              </w:rPr>
              <w:t>项目所在区域</w:t>
            </w:r>
            <w:r>
              <w:rPr>
                <w:rFonts w:hint="eastAsia" w:ascii="Times New Roman" w:hAnsi="Times New Roman" w:cs="Times New Roman"/>
                <w:color w:val="auto"/>
                <w:kern w:val="0"/>
                <w:sz w:val="24"/>
                <w:szCs w:val="24"/>
                <w:highlight w:val="none"/>
              </w:rPr>
              <w:t>属于</w:t>
            </w:r>
            <w:r>
              <w:rPr>
                <w:rFonts w:hint="eastAsia" w:cs="Times New Roman"/>
                <w:color w:val="auto"/>
                <w:kern w:val="0"/>
                <w:sz w:val="24"/>
                <w:szCs w:val="24"/>
                <w:highlight w:val="none"/>
                <w:lang w:val="en-US" w:eastAsia="zh-CN"/>
              </w:rPr>
              <w:t>重点</w:t>
            </w:r>
            <w:r>
              <w:rPr>
                <w:rFonts w:hint="default" w:ascii="Times New Roman" w:hAnsi="Times New Roman" w:cs="Times New Roman"/>
                <w:color w:val="auto"/>
                <w:kern w:val="0"/>
                <w:sz w:val="24"/>
                <w:szCs w:val="24"/>
                <w:highlight w:val="none"/>
              </w:rPr>
              <w:t>管控单元。</w:t>
            </w:r>
          </w:p>
          <w:p w14:paraId="5846209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生态保护红线：根据黑龙江省“三区三线”划定成果及伊春市人民政府关于实施“三线一单”生态环境分区管控意见</w:t>
            </w:r>
            <w:r>
              <w:rPr>
                <w:rFonts w:hint="eastAsia" w:cs="Times New Roman"/>
                <w:color w:val="auto"/>
                <w:kern w:val="0"/>
                <w:sz w:val="24"/>
                <w:szCs w:val="24"/>
                <w:highlight w:val="none"/>
                <w:lang w:val="en-US" w:eastAsia="zh-CN"/>
              </w:rPr>
              <w:t>以及</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cs="Times New Roman"/>
                <w:color w:val="auto"/>
                <w:kern w:val="0"/>
                <w:sz w:val="24"/>
                <w:szCs w:val="24"/>
                <w:highlight w:val="none"/>
              </w:rPr>
              <w:t>，本项目厂址所在区域不属于生态保护红线范围内</w:t>
            </w:r>
            <w:r>
              <w:rPr>
                <w:rFonts w:hint="eastAsia" w:cs="Times New Roman"/>
                <w:color w:val="auto"/>
                <w:kern w:val="0"/>
                <w:sz w:val="24"/>
                <w:szCs w:val="24"/>
                <w:highlight w:val="none"/>
                <w:lang w:eastAsia="zh-CN"/>
              </w:rPr>
              <w:t>。</w:t>
            </w:r>
          </w:p>
          <w:p w14:paraId="6591125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i w:val="0"/>
                <w:iCs w:val="0"/>
                <w:color w:val="auto"/>
                <w:kern w:val="0"/>
                <w:sz w:val="24"/>
                <w:szCs w:val="24"/>
                <w:highlight w:val="none"/>
              </w:rPr>
            </w:pPr>
            <w:r>
              <w:rPr>
                <w:rFonts w:hint="default" w:ascii="Times New Roman" w:hAnsi="Times New Roman" w:cs="Times New Roman"/>
                <w:i w:val="0"/>
                <w:iCs w:val="0"/>
                <w:color w:val="auto"/>
                <w:kern w:val="0"/>
                <w:sz w:val="24"/>
                <w:szCs w:val="24"/>
                <w:highlight w:val="none"/>
              </w:rPr>
              <w:t>环境质量底线：本项目运营期各类污染物经环境保护措施治理后均可达标排放，对区域环境造成的不利影响较小，不会改变区域环境质量现状，因此，符合环境质量底线要求。</w:t>
            </w:r>
          </w:p>
          <w:p w14:paraId="2C044ED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资源利用上线</w:t>
            </w:r>
            <w:r>
              <w:rPr>
                <w:rFonts w:hint="eastAsia"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rPr>
              <w:t>本项目供水水源为</w:t>
            </w:r>
            <w:r>
              <w:rPr>
                <w:rFonts w:hint="eastAsia" w:cs="Times New Roman"/>
                <w:color w:val="auto"/>
                <w:kern w:val="0"/>
                <w:sz w:val="24"/>
                <w:szCs w:val="24"/>
                <w:highlight w:val="none"/>
                <w:lang w:val="en-US" w:eastAsia="zh-CN"/>
              </w:rPr>
              <w:t>市政管网</w:t>
            </w:r>
            <w:r>
              <w:rPr>
                <w:rFonts w:hint="default" w:ascii="Times New Roman" w:hAnsi="Times New Roman" w:cs="Times New Roman"/>
                <w:color w:val="auto"/>
                <w:kern w:val="0"/>
                <w:sz w:val="24"/>
                <w:szCs w:val="24"/>
                <w:highlight w:val="none"/>
              </w:rPr>
              <w:t>、供电电源为当地供电电网，用水水源及供电电源可靠，</w:t>
            </w:r>
            <w:r>
              <w:rPr>
                <w:rFonts w:hint="eastAsia" w:cs="Times New Roman"/>
                <w:color w:val="auto"/>
                <w:kern w:val="0"/>
                <w:sz w:val="24"/>
                <w:szCs w:val="24"/>
                <w:highlight w:val="none"/>
                <w:lang w:val="en-US" w:eastAsia="zh-CN"/>
              </w:rPr>
              <w:t>本项目不属于高能耗项目，</w:t>
            </w:r>
            <w:r>
              <w:rPr>
                <w:rFonts w:hint="default" w:ascii="Times New Roman" w:hAnsi="Times New Roman" w:cs="Times New Roman"/>
                <w:color w:val="auto"/>
                <w:kern w:val="0"/>
                <w:sz w:val="24"/>
                <w:szCs w:val="24"/>
                <w:highlight w:val="none"/>
              </w:rPr>
              <w:t>资源消耗量相对于区域资源利用总量较小，符合资源利用上线要求。</w:t>
            </w:r>
          </w:p>
          <w:p w14:paraId="5631B43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val="en-US" w:eastAsia="zh-CN"/>
              </w:rPr>
              <w:t>生态环境准入</w:t>
            </w:r>
            <w:r>
              <w:rPr>
                <w:rFonts w:hint="default" w:ascii="Times New Roman" w:hAnsi="Times New Roman" w:cs="Times New Roman"/>
                <w:color w:val="auto"/>
                <w:kern w:val="0"/>
                <w:sz w:val="24"/>
                <w:szCs w:val="24"/>
                <w:highlight w:val="none"/>
              </w:rPr>
              <w:t>清单：</w:t>
            </w:r>
            <w:r>
              <w:rPr>
                <w:rFonts w:hint="default" w:ascii="Times New Roman" w:hAnsi="Times New Roman" w:eastAsia="宋体" w:cs="Times New Roman"/>
                <w:color w:val="auto"/>
                <w:kern w:val="0"/>
                <w:sz w:val="24"/>
                <w:lang w:bidi="ar"/>
              </w:rPr>
              <w:t>根据</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eastAsia="宋体" w:cs="Times New Roman"/>
                <w:color w:val="auto"/>
                <w:kern w:val="0"/>
                <w:sz w:val="24"/>
                <w:lang w:bidi="ar"/>
              </w:rPr>
              <w:t>，本项目所在地属于黑龙江嘉荫经济开发区（一区、二区）</w:t>
            </w:r>
            <w:r>
              <w:rPr>
                <w:rFonts w:hint="eastAsia" w:ascii="Times New Roman" w:hAnsi="Times New Roman" w:eastAsia="宋体" w:cs="Times New Roman"/>
                <w:color w:val="auto"/>
                <w:kern w:val="0"/>
                <w:sz w:val="24"/>
                <w:lang w:val="en-US" w:eastAsia="zh-CN" w:bidi="ar"/>
              </w:rPr>
              <w:t>，属于</w:t>
            </w:r>
            <w:r>
              <w:rPr>
                <w:rFonts w:hint="eastAsia" w:cs="Times New Roman"/>
                <w:color w:val="auto"/>
                <w:kern w:val="0"/>
                <w:sz w:val="24"/>
                <w:lang w:val="en-US" w:eastAsia="zh-CN" w:bidi="ar"/>
              </w:rPr>
              <w:t>重点</w:t>
            </w:r>
            <w:r>
              <w:rPr>
                <w:rFonts w:hint="eastAsia" w:ascii="Times New Roman" w:hAnsi="Times New Roman" w:eastAsia="宋体" w:cs="Times New Roman"/>
                <w:color w:val="auto"/>
                <w:kern w:val="0"/>
                <w:sz w:val="24"/>
                <w:lang w:val="en-US" w:eastAsia="zh-CN" w:bidi="ar"/>
              </w:rPr>
              <w:t>管控单元，</w:t>
            </w:r>
            <w:r>
              <w:rPr>
                <w:rFonts w:hint="default" w:ascii="Times New Roman" w:hAnsi="Times New Roman" w:eastAsia="宋体" w:cs="Times New Roman"/>
                <w:color w:val="auto"/>
                <w:kern w:val="0"/>
                <w:sz w:val="24"/>
                <w:lang w:bidi="ar"/>
              </w:rPr>
              <w:t>环境管控单元编码：ZH23072220001</w:t>
            </w:r>
            <w:r>
              <w:rPr>
                <w:rFonts w:hint="eastAsia" w:cs="Times New Roman"/>
                <w:color w:val="auto"/>
                <w:kern w:val="0"/>
                <w:sz w:val="24"/>
                <w:lang w:eastAsia="zh-CN" w:bidi="ar"/>
              </w:rPr>
              <w:t>；</w:t>
            </w:r>
            <w:r>
              <w:rPr>
                <w:rFonts w:hint="default" w:ascii="Times New Roman" w:hAnsi="Times New Roman" w:eastAsia="宋体" w:cs="Times New Roman"/>
                <w:color w:val="auto"/>
                <w:kern w:val="0"/>
                <w:sz w:val="24"/>
                <w:lang w:bidi="ar"/>
              </w:rPr>
              <w:t>管控要求见表1-</w:t>
            </w:r>
            <w:r>
              <w:rPr>
                <w:rFonts w:hint="default" w:ascii="Times New Roman" w:hAnsi="Times New Roman" w:eastAsia="宋体" w:cs="Times New Roman"/>
                <w:color w:val="auto"/>
                <w:kern w:val="0"/>
                <w:sz w:val="24"/>
                <w:lang w:val="en-US" w:eastAsia="zh-CN" w:bidi="ar"/>
              </w:rPr>
              <w:t>1</w:t>
            </w:r>
            <w:r>
              <w:rPr>
                <w:rFonts w:hint="default" w:ascii="Times New Roman" w:hAnsi="Times New Roman" w:eastAsia="宋体" w:cs="Times New Roman"/>
                <w:color w:val="auto"/>
                <w:kern w:val="0"/>
                <w:sz w:val="24"/>
                <w:lang w:bidi="ar"/>
              </w:rPr>
              <w:t>。</w:t>
            </w:r>
          </w:p>
          <w:p w14:paraId="7ED794C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b/>
                <w:bCs/>
                <w:color w:val="auto"/>
                <w:kern w:val="0"/>
                <w:sz w:val="24"/>
                <w:szCs w:val="24"/>
                <w:highlight w:val="none"/>
              </w:rPr>
              <w:t>表1-</w:t>
            </w:r>
            <w:r>
              <w:rPr>
                <w:rFonts w:hint="eastAsia" w:ascii="Times New Roman" w:hAnsi="Times New Roman" w:cs="Times New Roman"/>
                <w:b/>
                <w:bCs/>
                <w:color w:val="auto"/>
                <w:kern w:val="0"/>
                <w:sz w:val="24"/>
                <w:szCs w:val="24"/>
                <w:highlight w:val="none"/>
              </w:rPr>
              <w:t>1</w:t>
            </w:r>
            <w:r>
              <w:rPr>
                <w:rFonts w:hint="default" w:ascii="Times New Roman" w:hAnsi="Times New Roman" w:cs="Times New Roman"/>
                <w:b/>
                <w:bCs/>
                <w:color w:val="auto"/>
                <w:kern w:val="0"/>
                <w:sz w:val="24"/>
                <w:szCs w:val="24"/>
                <w:highlight w:val="none"/>
              </w:rPr>
              <w:t xml:space="preserve"> </w:t>
            </w:r>
            <w:r>
              <w:rPr>
                <w:rFonts w:hint="eastAsia" w:ascii="Times New Roman" w:hAnsi="Times New Roman" w:cs="Times New Roman"/>
                <w:b/>
                <w:bCs/>
                <w:color w:val="auto"/>
                <w:kern w:val="0"/>
                <w:sz w:val="24"/>
                <w:szCs w:val="24"/>
                <w:highlight w:val="none"/>
              </w:rPr>
              <w:t xml:space="preserve"> </w:t>
            </w:r>
            <w:r>
              <w:rPr>
                <w:rFonts w:hint="default" w:ascii="Times New Roman" w:hAnsi="Times New Roman" w:cs="Times New Roman"/>
                <w:b/>
                <w:bCs/>
                <w:color w:val="auto"/>
                <w:kern w:val="0"/>
                <w:sz w:val="24"/>
                <w:szCs w:val="24"/>
                <w:highlight w:val="none"/>
              </w:rPr>
              <w:t>生态环境准入清单符合性分析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864"/>
              <w:gridCol w:w="667"/>
              <w:gridCol w:w="667"/>
              <w:gridCol w:w="2337"/>
              <w:gridCol w:w="1974"/>
            </w:tblGrid>
            <w:tr w14:paraId="7AF5EE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714" w:type="pct"/>
                  <w:noWrap w:val="0"/>
                  <w:vAlign w:val="center"/>
                </w:tcPr>
                <w:p w14:paraId="6473BDAE">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环境管控单元编码</w:t>
                  </w:r>
                </w:p>
              </w:tc>
              <w:tc>
                <w:tcPr>
                  <w:tcW w:w="569" w:type="pct"/>
                  <w:noWrap w:val="0"/>
                  <w:vAlign w:val="center"/>
                </w:tcPr>
                <w:p w14:paraId="166E3D9A">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w:t>
                  </w:r>
                </w:p>
                <w:p w14:paraId="57ED6A06">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单元名称</w:t>
                  </w:r>
                </w:p>
              </w:tc>
              <w:tc>
                <w:tcPr>
                  <w:tcW w:w="439" w:type="pct"/>
                  <w:noWrap w:val="0"/>
                  <w:vAlign w:val="center"/>
                </w:tcPr>
                <w:p w14:paraId="4CF55897">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管控单</w:t>
                  </w:r>
                </w:p>
                <w:p w14:paraId="3B8DE725">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元类别</w:t>
                  </w:r>
                </w:p>
              </w:tc>
              <w:tc>
                <w:tcPr>
                  <w:tcW w:w="439" w:type="pct"/>
                  <w:noWrap w:val="0"/>
                  <w:vAlign w:val="center"/>
                </w:tcPr>
                <w:p w14:paraId="0B8FEE57">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管控要求</w:t>
                  </w:r>
                </w:p>
              </w:tc>
              <w:tc>
                <w:tcPr>
                  <w:tcW w:w="1539" w:type="pct"/>
                  <w:noWrap w:val="0"/>
                  <w:vAlign w:val="center"/>
                </w:tcPr>
                <w:p w14:paraId="2F4D0207">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环境管控单元编码</w:t>
                  </w:r>
                </w:p>
              </w:tc>
              <w:tc>
                <w:tcPr>
                  <w:tcW w:w="1300" w:type="pct"/>
                  <w:noWrap w:val="0"/>
                  <w:vAlign w:val="center"/>
                </w:tcPr>
                <w:p w14:paraId="6EB0C14A">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符合性分析</w:t>
                  </w:r>
                </w:p>
              </w:tc>
            </w:tr>
            <w:tr w14:paraId="72775F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1084" w:type="dxa"/>
                  <w:vMerge w:val="restart"/>
                  <w:noWrap w:val="0"/>
                  <w:vAlign w:val="center"/>
                </w:tcPr>
                <w:p w14:paraId="70206083">
                  <w:pPr>
                    <w:pStyle w:val="85"/>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ZH23072220001</w:t>
                  </w:r>
                </w:p>
              </w:tc>
              <w:tc>
                <w:tcPr>
                  <w:tcW w:w="864" w:type="dxa"/>
                  <w:vMerge w:val="restart"/>
                  <w:noWrap w:val="0"/>
                  <w:vAlign w:val="center"/>
                </w:tcPr>
                <w:p w14:paraId="3BE354FF">
                  <w:pPr>
                    <w:pStyle w:val="85"/>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黑龙江嘉荫经济开发区（一区、二区</w:t>
                  </w:r>
                  <w:r>
                    <w:rPr>
                      <w:rFonts w:hint="eastAsia" w:ascii="Times New Roman" w:hAnsi="Times New Roman" w:eastAsia="宋体" w:cs="Times New Roman"/>
                      <w:color w:val="auto"/>
                      <w:sz w:val="21"/>
                      <w:szCs w:val="21"/>
                      <w:highlight w:val="none"/>
                      <w:lang w:eastAsia="zh-CN"/>
                    </w:rPr>
                    <w:t>）</w:t>
                  </w:r>
                </w:p>
              </w:tc>
              <w:tc>
                <w:tcPr>
                  <w:tcW w:w="667" w:type="dxa"/>
                  <w:vMerge w:val="restart"/>
                  <w:noWrap w:val="0"/>
                  <w:vAlign w:val="center"/>
                </w:tcPr>
                <w:p w14:paraId="40F64F20">
                  <w:pPr>
                    <w:pStyle w:val="85"/>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重点管控单元</w:t>
                  </w:r>
                </w:p>
              </w:tc>
              <w:tc>
                <w:tcPr>
                  <w:tcW w:w="667" w:type="dxa"/>
                  <w:noWrap w:val="0"/>
                  <w:vAlign w:val="center"/>
                </w:tcPr>
                <w:p w14:paraId="2D15E7B1">
                  <w:pPr>
                    <w:pStyle w:val="85"/>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空间布局约束</w:t>
                  </w:r>
                </w:p>
              </w:tc>
              <w:tc>
                <w:tcPr>
                  <w:tcW w:w="2337" w:type="dxa"/>
                  <w:noWrap w:val="0"/>
                  <w:vAlign w:val="top"/>
                </w:tcPr>
                <w:p w14:paraId="2BD27335">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1.执行本准入要求：</w:t>
                  </w:r>
                </w:p>
                <w:p w14:paraId="025BFA91">
                  <w:pPr>
                    <w:tabs>
                      <w:tab w:val="left" w:pos="265"/>
                    </w:tabs>
                    <w:autoSpaceDE w:val="0"/>
                    <w:autoSpaceDN w:val="0"/>
                    <w:spacing w:before="1"/>
                    <w:ind w:right="96"/>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pacing w:val="-3"/>
                      <w:kern w:val="0"/>
                      <w:sz w:val="21"/>
                      <w:szCs w:val="21"/>
                      <w:highlight w:val="none"/>
                    </w:rPr>
                    <w:t>入园建设项目开展环评工作时，应以产业园区规划环评为依据，重点分析项目环评与规划环评结论及审查意见的符合性；产业园区招商引资、入园建设项目环评审批等应将规划环评结论及审查意见作为重要依据。</w:t>
                  </w:r>
                </w:p>
                <w:p w14:paraId="2450FA6D">
                  <w:pPr>
                    <w:tabs>
                      <w:tab w:val="left" w:pos="265"/>
                    </w:tabs>
                    <w:autoSpaceDE w:val="0"/>
                    <w:autoSpaceDN w:val="0"/>
                    <w:spacing w:before="1"/>
                    <w:ind w:right="96"/>
                    <w:rPr>
                      <w:rFonts w:hint="default" w:ascii="Times New Roman" w:hAnsi="Times New Roman" w:eastAsia="宋体" w:cs="Times New Roman"/>
                      <w:color w:val="auto"/>
                      <w:spacing w:val="-3"/>
                      <w:kern w:val="0"/>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pacing w:val="-3"/>
                      <w:kern w:val="0"/>
                      <w:sz w:val="21"/>
                      <w:szCs w:val="21"/>
                      <w:highlight w:val="none"/>
                    </w:rPr>
                    <w:t>新建、扩建石化、化工、焦化、有色金属冶炼、平板玻璃项目应布设在依法合规设立并经规划环评的产业园区。煤化工产业项目选址及污染控制措施等须满足安全、环境准入要求，新建项目需布局在一般或较低安全风险等级的化工园区。</w:t>
                  </w:r>
                </w:p>
                <w:p w14:paraId="45DBC4A7">
                  <w:pPr>
                    <w:tabs>
                      <w:tab w:val="left" w:pos="265"/>
                    </w:tabs>
                    <w:autoSpaceDE w:val="0"/>
                    <w:autoSpaceDN w:val="0"/>
                    <w:spacing w:before="1"/>
                    <w:ind w:right="96"/>
                    <w:rPr>
                      <w:rFonts w:hint="default" w:ascii="Times New Roman" w:hAnsi="Times New Roman" w:eastAsia="宋体" w:cs="Times New Roman"/>
                      <w:color w:val="auto"/>
                      <w:spacing w:val="-3"/>
                      <w:kern w:val="0"/>
                      <w:sz w:val="21"/>
                      <w:szCs w:val="21"/>
                      <w:highlight w:val="none"/>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pacing w:val="-3"/>
                      <w:kern w:val="0"/>
                      <w:sz w:val="21"/>
                      <w:szCs w:val="21"/>
                      <w:highlight w:val="none"/>
                    </w:rPr>
                    <w:t>重大制造业项目、依托能源和矿产资源的资源加工业项目原则上布局在重点开发区。</w:t>
                  </w:r>
                </w:p>
                <w:p w14:paraId="205DE950">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pacing w:val="-3"/>
                      <w:kern w:val="0"/>
                      <w:sz w:val="21"/>
                      <w:szCs w:val="21"/>
                      <w:highlight w:val="none"/>
                    </w:rPr>
                    <w:t>未纳入国家有关领域产业规划的，一律不得新建改扩建炼油和新建乙烯、对二甲苯、煤制烯烃项目。</w:t>
                  </w:r>
                </w:p>
                <w:p w14:paraId="3A6C9087">
                  <w:pPr>
                    <w:tabs>
                      <w:tab w:val="left" w:pos="265"/>
                    </w:tabs>
                    <w:autoSpaceDE w:val="0"/>
                    <w:autoSpaceDN w:val="0"/>
                    <w:spacing w:before="1"/>
                    <w:ind w:right="96"/>
                    <w:rPr>
                      <w:rFonts w:hint="default" w:ascii="Times New Roman" w:hAnsi="Times New Roman" w:eastAsia="宋体" w:cs="Times New Roman"/>
                      <w:color w:val="auto"/>
                      <w:spacing w:val="-3"/>
                      <w:kern w:val="0"/>
                      <w:sz w:val="21"/>
                      <w:szCs w:val="21"/>
                      <w:highlight w:val="none"/>
                    </w:rPr>
                  </w:pP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pacing w:val="-3"/>
                      <w:kern w:val="0"/>
                      <w:sz w:val="21"/>
                      <w:szCs w:val="21"/>
                      <w:highlight w:val="none"/>
                    </w:rPr>
                    <w:t>禁止引进国家产业政策明令淘汰和限制的产品、技术、工艺、设备及行为。</w:t>
                  </w:r>
                </w:p>
                <w:p w14:paraId="51929B22">
                  <w:pPr>
                    <w:tabs>
                      <w:tab w:val="left" w:pos="265"/>
                    </w:tabs>
                    <w:autoSpaceDE w:val="0"/>
                    <w:autoSpaceDN w:val="0"/>
                    <w:spacing w:before="1"/>
                    <w:ind w:right="96"/>
                    <w:rPr>
                      <w:rFonts w:hint="default" w:ascii="Times New Roman" w:hAnsi="Times New Roman" w:eastAsia="宋体" w:cs="Times New Roman"/>
                      <w:color w:val="auto"/>
                      <w:spacing w:val="-3"/>
                      <w:kern w:val="0"/>
                      <w:sz w:val="21"/>
                      <w:szCs w:val="21"/>
                      <w:highlight w:val="none"/>
                    </w:rPr>
                  </w:pP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pacing w:val="-3"/>
                      <w:kern w:val="0"/>
                      <w:sz w:val="21"/>
                      <w:szCs w:val="21"/>
                      <w:highlight w:val="none"/>
                    </w:rPr>
                    <w:t>编制产业园区开发建设规划时应依法开展规划环评。</w:t>
                  </w:r>
                </w:p>
                <w:p w14:paraId="10765A1A">
                  <w:pPr>
                    <w:tabs>
                      <w:tab w:val="left" w:pos="265"/>
                    </w:tabs>
                    <w:autoSpaceDE w:val="0"/>
                    <w:autoSpaceDN w:val="0"/>
                    <w:spacing w:before="1"/>
                    <w:ind w:right="96"/>
                    <w:rPr>
                      <w:rFonts w:hint="default" w:ascii="Times New Roman" w:hAnsi="Times New Roman" w:eastAsia="宋体" w:cs="Times New Roman"/>
                      <w:color w:val="auto"/>
                      <w:spacing w:val="-3"/>
                      <w:kern w:val="0"/>
                      <w:sz w:val="21"/>
                      <w:szCs w:val="21"/>
                      <w:highlight w:val="none"/>
                    </w:rPr>
                  </w:pP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pacing w:val="-3"/>
                      <w:kern w:val="0"/>
                      <w:sz w:val="21"/>
                      <w:szCs w:val="21"/>
                      <w:highlight w:val="none"/>
                    </w:rPr>
                    <w:t>规划审批机关在审批规划时，应将规划环评结论及审查意见作为决策的重要依据，在审批中未采纳环境影响报告书结论及审查意见的，应当作出说明并存档备查。</w:t>
                  </w:r>
                </w:p>
                <w:p w14:paraId="4AA3DF04">
                  <w:pPr>
                    <w:tabs>
                      <w:tab w:val="left" w:pos="265"/>
                    </w:tabs>
                    <w:autoSpaceDE w:val="0"/>
                    <w:autoSpaceDN w:val="0"/>
                    <w:spacing w:before="1"/>
                    <w:ind w:right="96"/>
                    <w:rPr>
                      <w:rFonts w:hint="default" w:ascii="Times New Roman" w:hAnsi="Times New Roman" w:eastAsia="宋体" w:cs="Times New Roman"/>
                      <w:color w:val="auto"/>
                      <w:spacing w:val="-3"/>
                      <w:kern w:val="0"/>
                      <w:sz w:val="21"/>
                      <w:szCs w:val="21"/>
                      <w:highlight w:val="none"/>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pacing w:val="-3"/>
                      <w:kern w:val="0"/>
                      <w:sz w:val="21"/>
                      <w:szCs w:val="21"/>
                      <w:highlight w:val="none"/>
                    </w:rPr>
                    <w:t>产业园区招商引资、入园建设项目环评审批等应将规划环评结论及审查意见作为重要依据。</w:t>
                  </w:r>
                </w:p>
                <w:p w14:paraId="6362712D">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pacing w:val="-3"/>
                      <w:kern w:val="0"/>
                      <w:sz w:val="21"/>
                      <w:szCs w:val="21"/>
                      <w:highlight w:val="none"/>
                    </w:rPr>
                    <w:t>产业园区开发建设规划应符合国家政策和相关法律法规要求，规划发生重大调整或修订的，应当依法重新或补充开展规划环评工作。</w:t>
                  </w:r>
                </w:p>
                <w:p w14:paraId="6BD14F0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2.完善重点行业环境准入条件，优化产业园区布局。</w:t>
                  </w:r>
                </w:p>
                <w:p w14:paraId="0F692BF4">
                  <w:pP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3.严格控制高耗水、高污染行业发展，</w:t>
                  </w:r>
                  <w:r>
                    <w:rPr>
                      <w:rFonts w:hint="default" w:ascii="Times New Roman" w:hAnsi="Times New Roman" w:eastAsia="宋体" w:cs="Times New Roman"/>
                      <w:color w:val="auto"/>
                      <w:sz w:val="21"/>
                      <w:szCs w:val="21"/>
                      <w:highlight w:val="none"/>
                      <w:lang w:eastAsia="zh-CN"/>
                    </w:rPr>
                    <w:t>加快淘汰落后产能，大力推进产业结构调整和优化升级。</w:t>
                  </w:r>
                </w:p>
                <w:p w14:paraId="40C58113">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4.禁止新建、改建、扩建化学制浆造纸、制革、酿造、染料、印染、电镀以及其他放含磷、氮等污染物的企业和项目；禁止引进化工、冶金项目。</w:t>
                  </w:r>
                </w:p>
                <w:p w14:paraId="57498D87">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5.禁止建设新增铅、汞、铬、砷、镉、镍、铜重金属污染排放总量的项目。</w:t>
                  </w:r>
                </w:p>
                <w:p w14:paraId="7AA688F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6.禁止引进高毒农药、化学合成制药、原料药项目。</w:t>
                  </w:r>
                </w:p>
                <w:p w14:paraId="4BFC6EEA">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kern w:val="0"/>
                      <w:sz w:val="21"/>
                      <w:szCs w:val="21"/>
                      <w:highlight w:val="none"/>
                    </w:rPr>
                    <w:t>水环境工业污染重点管控区同时</w:t>
                  </w:r>
                  <w:r>
                    <w:rPr>
                      <w:rFonts w:hint="default" w:ascii="Times New Roman" w:hAnsi="Times New Roman" w:eastAsia="宋体" w:cs="Times New Roman"/>
                      <w:color w:val="auto"/>
                      <w:sz w:val="21"/>
                      <w:szCs w:val="21"/>
                      <w:highlight w:val="none"/>
                    </w:rPr>
                    <w:t>执行准入要求：</w:t>
                  </w:r>
                </w:p>
                <w:p w14:paraId="284DA0E5">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（1）区域内严格控制高耗水、高污染行业发展。</w:t>
                  </w:r>
                </w:p>
                <w:p w14:paraId="0B73204D">
                  <w:pP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加快淘汰落后产能，大力推进产业结构调整和优化升级。</w:t>
                  </w:r>
                </w:p>
                <w:p w14:paraId="7FCE5175">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（3）根据水资源和水环境承载能力，以水定城、以水定地、以水定人、以水定产。</w:t>
                  </w:r>
                </w:p>
              </w:tc>
              <w:tc>
                <w:tcPr>
                  <w:tcW w:w="1300" w:type="pct"/>
                  <w:noWrap w:val="0"/>
                  <w:vAlign w:val="center"/>
                </w:tcPr>
                <w:p w14:paraId="074267D5">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eastAsia="宋体" w:cs="Times New Roman"/>
                      <w:color w:val="auto"/>
                      <w:spacing w:val="-3"/>
                      <w:kern w:val="0"/>
                      <w:sz w:val="21"/>
                      <w:szCs w:val="21"/>
                      <w:highlight w:val="none"/>
                      <w:lang w:val="en-US" w:eastAsia="zh-CN" w:bidi="ar-SA"/>
                    </w:rPr>
                  </w:pPr>
                  <w:r>
                    <w:rPr>
                      <w:rFonts w:hint="eastAsia" w:ascii="Times New Roman" w:hAnsi="Times New Roman" w:eastAsia="宋体" w:cs="Times New Roman"/>
                      <w:color w:val="auto"/>
                      <w:spacing w:val="-3"/>
                      <w:kern w:val="0"/>
                      <w:sz w:val="21"/>
                      <w:szCs w:val="21"/>
                      <w:highlight w:val="none"/>
                      <w:lang w:val="en-US" w:eastAsia="zh-CN" w:bidi="ar-SA"/>
                    </w:rPr>
                    <w:t>1.（1）本项目主要为包含小微企业孵化基地进行生产生活供热，符合园区规划</w:t>
                  </w:r>
                </w:p>
                <w:p w14:paraId="1B878D00">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spacing w:val="-3"/>
                      <w:kern w:val="0"/>
                      <w:sz w:val="21"/>
                      <w:szCs w:val="21"/>
                      <w:highlight w:val="none"/>
                      <w:lang w:val="en-US" w:eastAsia="zh-CN" w:bidi="ar-SA"/>
                    </w:rPr>
                  </w:pPr>
                  <w:r>
                    <w:rPr>
                      <w:rFonts w:hint="eastAsia" w:ascii="Times New Roman" w:hAnsi="Times New Roman" w:eastAsia="宋体" w:cs="Times New Roman"/>
                      <w:color w:val="auto"/>
                      <w:spacing w:val="-3"/>
                      <w:kern w:val="0"/>
                      <w:sz w:val="21"/>
                      <w:szCs w:val="21"/>
                      <w:highlight w:val="none"/>
                      <w:lang w:val="en-US" w:eastAsia="zh-CN" w:bidi="ar-SA"/>
                    </w:rPr>
                    <w:t>（2）本项目不属于</w:t>
                  </w:r>
                  <w:r>
                    <w:rPr>
                      <w:rFonts w:hint="default" w:ascii="Times New Roman" w:hAnsi="Times New Roman" w:eastAsia="宋体" w:cs="Times New Roman"/>
                      <w:color w:val="auto"/>
                      <w:spacing w:val="-3"/>
                      <w:kern w:val="0"/>
                      <w:sz w:val="21"/>
                      <w:szCs w:val="21"/>
                      <w:highlight w:val="none"/>
                      <w:lang w:val="en-US" w:eastAsia="zh-CN" w:bidi="ar-SA"/>
                    </w:rPr>
                    <w:t>新建、扩建石化、化工、焦化、有色金属冶炼、平板玻璃项目</w:t>
                  </w:r>
                </w:p>
                <w:p w14:paraId="7B5310A4">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eastAsia="宋体" w:cs="Times New Roman"/>
                      <w:color w:val="auto"/>
                      <w:spacing w:val="-3"/>
                      <w:kern w:val="0"/>
                      <w:sz w:val="21"/>
                      <w:szCs w:val="21"/>
                      <w:highlight w:val="none"/>
                      <w:lang w:val="en-US" w:eastAsia="zh-CN" w:bidi="ar-SA"/>
                    </w:rPr>
                  </w:pPr>
                  <w:r>
                    <w:rPr>
                      <w:rFonts w:hint="eastAsia" w:ascii="Times New Roman" w:hAnsi="Times New Roman" w:eastAsia="宋体" w:cs="Times New Roman"/>
                      <w:color w:val="auto"/>
                      <w:spacing w:val="-3"/>
                      <w:kern w:val="0"/>
                      <w:sz w:val="21"/>
                      <w:szCs w:val="21"/>
                      <w:highlight w:val="none"/>
                      <w:lang w:val="en-US" w:eastAsia="zh-CN" w:bidi="ar-SA"/>
                    </w:rPr>
                    <w:t>（3）本项目不属于制造业项目</w:t>
                  </w:r>
                </w:p>
                <w:p w14:paraId="2CED7997">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spacing w:val="-3"/>
                      <w:kern w:val="0"/>
                      <w:sz w:val="21"/>
                      <w:szCs w:val="21"/>
                      <w:highlight w:val="none"/>
                    </w:rPr>
                  </w:pPr>
                  <w:r>
                    <w:rPr>
                      <w:rFonts w:hint="eastAsia" w:ascii="Times New Roman" w:hAnsi="Times New Roman" w:eastAsia="宋体" w:cs="Times New Roman"/>
                      <w:color w:val="auto"/>
                      <w:spacing w:val="-3"/>
                      <w:kern w:val="0"/>
                      <w:sz w:val="21"/>
                      <w:szCs w:val="21"/>
                      <w:highlight w:val="none"/>
                      <w:lang w:val="en-US" w:eastAsia="zh-CN" w:bidi="ar-SA"/>
                    </w:rPr>
                    <w:t>（4）本项目不属于</w:t>
                  </w:r>
                  <w:r>
                    <w:rPr>
                      <w:rFonts w:hint="default" w:ascii="Times New Roman" w:hAnsi="Times New Roman" w:eastAsia="宋体" w:cs="Times New Roman"/>
                      <w:color w:val="auto"/>
                      <w:spacing w:val="-3"/>
                      <w:kern w:val="0"/>
                      <w:sz w:val="21"/>
                      <w:szCs w:val="21"/>
                      <w:highlight w:val="none"/>
                    </w:rPr>
                    <w:t>新建改扩建炼油和新建乙烯、对二甲苯、煤制烯烃项目。</w:t>
                  </w:r>
                </w:p>
                <w:p w14:paraId="3D8BF96C">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spacing w:val="-3"/>
                      <w:kern w:val="0"/>
                      <w:sz w:val="21"/>
                      <w:szCs w:val="21"/>
                      <w:highlight w:val="none"/>
                    </w:rPr>
                  </w:pPr>
                  <w:r>
                    <w:rPr>
                      <w:rFonts w:hint="eastAsia" w:ascii="Times New Roman" w:hAnsi="Times New Roman" w:eastAsia="宋体" w:cs="Times New Roman"/>
                      <w:color w:val="auto"/>
                      <w:spacing w:val="-3"/>
                      <w:kern w:val="0"/>
                      <w:sz w:val="21"/>
                      <w:szCs w:val="21"/>
                      <w:highlight w:val="none"/>
                      <w:lang w:eastAsia="zh-CN"/>
                    </w:rPr>
                    <w:t>（</w:t>
                  </w:r>
                  <w:r>
                    <w:rPr>
                      <w:rFonts w:hint="eastAsia" w:ascii="Times New Roman" w:hAnsi="Times New Roman" w:eastAsia="宋体" w:cs="Times New Roman"/>
                      <w:color w:val="auto"/>
                      <w:spacing w:val="-3"/>
                      <w:kern w:val="0"/>
                      <w:sz w:val="21"/>
                      <w:szCs w:val="21"/>
                      <w:highlight w:val="none"/>
                      <w:lang w:val="en-US" w:eastAsia="zh-CN"/>
                    </w:rPr>
                    <w:t>5</w:t>
                  </w:r>
                  <w:r>
                    <w:rPr>
                      <w:rFonts w:hint="eastAsia" w:ascii="Times New Roman" w:hAnsi="Times New Roman" w:eastAsia="宋体" w:cs="Times New Roman"/>
                      <w:color w:val="auto"/>
                      <w:spacing w:val="-3"/>
                      <w:kern w:val="0"/>
                      <w:sz w:val="21"/>
                      <w:szCs w:val="21"/>
                      <w:highlight w:val="none"/>
                      <w:lang w:eastAsia="zh-CN"/>
                    </w:rPr>
                    <w:t>）</w:t>
                  </w:r>
                  <w:r>
                    <w:rPr>
                      <w:rFonts w:hint="eastAsia" w:ascii="Times New Roman" w:hAnsi="Times New Roman" w:eastAsia="宋体" w:cs="Times New Roman"/>
                      <w:color w:val="auto"/>
                      <w:spacing w:val="-3"/>
                      <w:kern w:val="0"/>
                      <w:sz w:val="21"/>
                      <w:szCs w:val="21"/>
                      <w:highlight w:val="none"/>
                      <w:lang w:val="en-US" w:eastAsia="zh-CN"/>
                    </w:rPr>
                    <w:t>本项目不涉及</w:t>
                  </w:r>
                  <w:r>
                    <w:rPr>
                      <w:rFonts w:hint="default" w:ascii="Times New Roman" w:hAnsi="Times New Roman" w:eastAsia="宋体" w:cs="Times New Roman"/>
                      <w:color w:val="auto"/>
                      <w:spacing w:val="-3"/>
                      <w:kern w:val="0"/>
                      <w:sz w:val="21"/>
                      <w:szCs w:val="21"/>
                      <w:highlight w:val="none"/>
                    </w:rPr>
                    <w:t>国家产业政策明令淘汰和限制的产品、技术、工艺、设备及行为。</w:t>
                  </w:r>
                </w:p>
                <w:p w14:paraId="56892CF5">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eastAsia="宋体" w:cs="Times New Roman"/>
                      <w:color w:val="auto"/>
                      <w:spacing w:val="-3"/>
                      <w:kern w:val="0"/>
                      <w:sz w:val="21"/>
                      <w:szCs w:val="21"/>
                      <w:highlight w:val="none"/>
                      <w:lang w:val="en-US" w:eastAsia="zh-CN"/>
                    </w:rPr>
                  </w:pPr>
                  <w:r>
                    <w:rPr>
                      <w:rFonts w:hint="eastAsia" w:ascii="Times New Roman" w:hAnsi="Times New Roman" w:eastAsia="宋体" w:cs="Times New Roman"/>
                      <w:color w:val="auto"/>
                      <w:spacing w:val="-3"/>
                      <w:kern w:val="0"/>
                      <w:sz w:val="21"/>
                      <w:szCs w:val="21"/>
                      <w:highlight w:val="none"/>
                      <w:lang w:eastAsia="zh-CN"/>
                    </w:rPr>
                    <w:t>（</w:t>
                  </w:r>
                  <w:r>
                    <w:rPr>
                      <w:rFonts w:hint="eastAsia" w:ascii="Times New Roman" w:hAnsi="Times New Roman" w:eastAsia="宋体" w:cs="Times New Roman"/>
                      <w:color w:val="auto"/>
                      <w:spacing w:val="-3"/>
                      <w:kern w:val="0"/>
                      <w:sz w:val="21"/>
                      <w:szCs w:val="21"/>
                      <w:highlight w:val="none"/>
                      <w:lang w:val="en-US" w:eastAsia="zh-CN"/>
                    </w:rPr>
                    <w:t>6</w:t>
                  </w:r>
                  <w:r>
                    <w:rPr>
                      <w:rFonts w:hint="eastAsia" w:ascii="Times New Roman" w:hAnsi="Times New Roman" w:eastAsia="宋体" w:cs="Times New Roman"/>
                      <w:color w:val="auto"/>
                      <w:spacing w:val="-3"/>
                      <w:kern w:val="0"/>
                      <w:sz w:val="21"/>
                      <w:szCs w:val="21"/>
                      <w:highlight w:val="none"/>
                      <w:lang w:eastAsia="zh-CN"/>
                    </w:rPr>
                    <w:t>）</w:t>
                  </w:r>
                  <w:r>
                    <w:rPr>
                      <w:rFonts w:hint="eastAsia" w:ascii="Times New Roman" w:hAnsi="Times New Roman" w:eastAsia="宋体" w:cs="Times New Roman"/>
                      <w:color w:val="auto"/>
                      <w:spacing w:val="-3"/>
                      <w:kern w:val="0"/>
                      <w:sz w:val="21"/>
                      <w:szCs w:val="21"/>
                      <w:highlight w:val="none"/>
                      <w:lang w:val="en-US" w:eastAsia="zh-CN"/>
                    </w:rPr>
                    <w:t>本项目不属于产业园区开发建设规划</w:t>
                  </w:r>
                </w:p>
                <w:p w14:paraId="1EA9F918">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eastAsia="宋体" w:cs="Times New Roman"/>
                      <w:color w:val="auto"/>
                      <w:spacing w:val="-3"/>
                      <w:kern w:val="0"/>
                      <w:sz w:val="21"/>
                      <w:szCs w:val="21"/>
                      <w:highlight w:val="none"/>
                      <w:lang w:val="en-US" w:eastAsia="zh-CN"/>
                    </w:rPr>
                  </w:pPr>
                  <w:r>
                    <w:rPr>
                      <w:rFonts w:hint="eastAsia" w:ascii="Times New Roman" w:hAnsi="Times New Roman" w:eastAsia="宋体" w:cs="Times New Roman"/>
                      <w:color w:val="auto"/>
                      <w:spacing w:val="-3"/>
                      <w:kern w:val="0"/>
                      <w:sz w:val="21"/>
                      <w:szCs w:val="21"/>
                      <w:highlight w:val="none"/>
                      <w:lang w:val="en-US" w:eastAsia="zh-CN"/>
                    </w:rPr>
                    <w:t>（7）本项目为园区内建设项目，不涉及规划审批</w:t>
                  </w:r>
                </w:p>
                <w:p w14:paraId="25737F54">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eastAsia="宋体" w:cs="Times New Roman"/>
                      <w:color w:val="auto"/>
                      <w:spacing w:val="-3"/>
                      <w:kern w:val="0"/>
                      <w:sz w:val="21"/>
                      <w:szCs w:val="21"/>
                      <w:highlight w:val="none"/>
                      <w:lang w:val="en-US" w:eastAsia="zh-CN"/>
                    </w:rPr>
                  </w:pPr>
                  <w:r>
                    <w:rPr>
                      <w:rFonts w:hint="eastAsia" w:ascii="Times New Roman" w:hAnsi="Times New Roman" w:eastAsia="宋体" w:cs="Times New Roman"/>
                      <w:color w:val="auto"/>
                      <w:spacing w:val="-3"/>
                      <w:kern w:val="0"/>
                      <w:sz w:val="21"/>
                      <w:szCs w:val="21"/>
                      <w:highlight w:val="none"/>
                      <w:lang w:val="en-US" w:eastAsia="zh-CN"/>
                    </w:rPr>
                    <w:t>（8）本项目符合园区规划</w:t>
                  </w:r>
                </w:p>
                <w:p w14:paraId="039333BF">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eastAsia="宋体" w:cs="Times New Roman"/>
                      <w:color w:val="auto"/>
                      <w:spacing w:val="-3"/>
                      <w:kern w:val="0"/>
                      <w:sz w:val="21"/>
                      <w:szCs w:val="21"/>
                      <w:highlight w:val="none"/>
                      <w:lang w:val="en-US" w:eastAsia="zh-CN"/>
                    </w:rPr>
                  </w:pPr>
                  <w:r>
                    <w:rPr>
                      <w:rFonts w:hint="eastAsia" w:ascii="Times New Roman" w:hAnsi="Times New Roman" w:eastAsia="宋体" w:cs="Times New Roman"/>
                      <w:color w:val="auto"/>
                      <w:spacing w:val="-3"/>
                      <w:kern w:val="0"/>
                      <w:sz w:val="21"/>
                      <w:szCs w:val="21"/>
                      <w:highlight w:val="none"/>
                      <w:lang w:val="en-US" w:eastAsia="zh-CN"/>
                    </w:rPr>
                    <w:t>（9）本项目不涉及</w:t>
                  </w:r>
                </w:p>
                <w:p w14:paraId="4B7883E7">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3"/>
                      <w:kern w:val="0"/>
                      <w:sz w:val="21"/>
                      <w:szCs w:val="21"/>
                      <w:highlight w:val="none"/>
                      <w:lang w:val="en-US" w:eastAsia="zh-CN"/>
                    </w:rPr>
                    <w:t>2.</w:t>
                  </w:r>
                  <w:r>
                    <w:rPr>
                      <w:rFonts w:hint="eastAsia" w:ascii="Times New Roman" w:hAnsi="Times New Roman" w:eastAsia="宋体" w:cs="Times New Roman"/>
                      <w:color w:val="auto"/>
                      <w:spacing w:val="-3"/>
                      <w:kern w:val="0"/>
                      <w:sz w:val="21"/>
                      <w:szCs w:val="21"/>
                      <w:highlight w:val="none"/>
                      <w:lang w:val="en-US" w:eastAsia="zh-CN" w:bidi="ar-SA"/>
                    </w:rPr>
                    <w:t>本项目主要为包含小微企业孵化基地进行生产生活供热</w:t>
                  </w:r>
                  <w:r>
                    <w:rPr>
                      <w:rFonts w:hint="eastAsia" w:ascii="Times New Roman" w:hAnsi="Times New Roman" w:eastAsia="宋体" w:cs="Times New Roman"/>
                      <w:color w:val="auto"/>
                      <w:sz w:val="21"/>
                      <w:szCs w:val="21"/>
                      <w:highlight w:val="none"/>
                      <w:lang w:val="en-US" w:eastAsia="zh-CN"/>
                    </w:rPr>
                    <w:t>，符合园区规划</w:t>
                  </w:r>
                </w:p>
                <w:p w14:paraId="2181EBB9">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3.本项目不属于高耗水、高污染行业</w:t>
                  </w:r>
                </w:p>
                <w:p w14:paraId="11F95F23">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4.本项目不属于</w:t>
                  </w:r>
                  <w:r>
                    <w:rPr>
                      <w:rFonts w:hint="default" w:ascii="Times New Roman" w:hAnsi="Times New Roman" w:eastAsia="宋体" w:cs="Times New Roman"/>
                      <w:color w:val="auto"/>
                      <w:sz w:val="21"/>
                      <w:szCs w:val="21"/>
                      <w:highlight w:val="none"/>
                    </w:rPr>
                    <w:t>化学制浆造纸、制革、酿造、染料、印染、电镀以及其他放含磷、氮等污染物的企业和项目</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不属于化工、冶金项目</w:t>
                  </w:r>
                </w:p>
                <w:p w14:paraId="40BB6B87">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5.本项目污染物不含重金属</w:t>
                  </w:r>
                </w:p>
                <w:p w14:paraId="7648E5B1">
                  <w:pP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6.本项目不</w:t>
                  </w:r>
                  <w:r>
                    <w:rPr>
                      <w:rFonts w:hint="default" w:ascii="Times New Roman" w:hAnsi="Times New Roman" w:eastAsia="宋体" w:cs="Times New Roman"/>
                      <w:color w:val="auto"/>
                      <w:sz w:val="21"/>
                      <w:szCs w:val="21"/>
                      <w:highlight w:val="none"/>
                    </w:rPr>
                    <w:t>引进高毒农药、化学合成制药、原料药项目</w:t>
                  </w:r>
                </w:p>
                <w:p w14:paraId="64B1D7EE">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7.（1）本项目不属于高污染、高耗水行业</w:t>
                  </w:r>
                </w:p>
                <w:p w14:paraId="39BAF24B">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（2）本项目不涉及落后产能</w:t>
                  </w:r>
                </w:p>
                <w:p w14:paraId="79CB1CE8">
                  <w:pP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（3）本项目不开采地下水资源，用水来源为市政管网，不会突破水环境和水资源承载力</w:t>
                  </w:r>
                </w:p>
              </w:tc>
            </w:tr>
            <w:tr w14:paraId="3FB904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1084" w:type="dxa"/>
                  <w:vMerge w:val="continue"/>
                  <w:noWrap w:val="0"/>
                  <w:vAlign w:val="center"/>
                </w:tcPr>
                <w:p w14:paraId="400E8C4C">
                  <w:pPr>
                    <w:pStyle w:val="85"/>
                    <w:ind w:left="0" w:leftChars="0" w:right="0" w:rightChars="0"/>
                    <w:rPr>
                      <w:rFonts w:hint="default" w:ascii="Times New Roman" w:hAnsi="Times New Roman" w:eastAsia="宋体" w:cs="Times New Roman"/>
                      <w:color w:val="auto"/>
                      <w:sz w:val="21"/>
                      <w:szCs w:val="21"/>
                      <w:lang w:val="en-US" w:eastAsia="zh-CN"/>
                    </w:rPr>
                  </w:pPr>
                </w:p>
              </w:tc>
              <w:tc>
                <w:tcPr>
                  <w:tcW w:w="864" w:type="dxa"/>
                  <w:vMerge w:val="continue"/>
                  <w:noWrap w:val="0"/>
                  <w:vAlign w:val="center"/>
                </w:tcPr>
                <w:p w14:paraId="73D92493">
                  <w:pPr>
                    <w:pStyle w:val="85"/>
                    <w:ind w:left="0" w:leftChars="0" w:right="0" w:rightChars="0"/>
                    <w:rPr>
                      <w:rFonts w:hint="default" w:ascii="Times New Roman" w:hAnsi="Times New Roman" w:eastAsia="宋体" w:cs="Times New Roman"/>
                      <w:color w:val="auto"/>
                      <w:kern w:val="0"/>
                      <w:sz w:val="21"/>
                      <w:szCs w:val="21"/>
                      <w:lang w:val="en-US" w:eastAsia="zh-CN" w:bidi="ar"/>
                    </w:rPr>
                  </w:pPr>
                </w:p>
              </w:tc>
              <w:tc>
                <w:tcPr>
                  <w:tcW w:w="667" w:type="dxa"/>
                  <w:vMerge w:val="continue"/>
                  <w:noWrap w:val="0"/>
                  <w:vAlign w:val="center"/>
                </w:tcPr>
                <w:p w14:paraId="4858B985">
                  <w:pPr>
                    <w:pStyle w:val="85"/>
                    <w:ind w:left="0" w:leftChars="0" w:right="0" w:rightChars="0"/>
                    <w:rPr>
                      <w:rFonts w:hint="default" w:ascii="Times New Roman" w:hAnsi="Times New Roman" w:eastAsia="宋体" w:cs="Times New Roman"/>
                      <w:color w:val="auto"/>
                      <w:sz w:val="21"/>
                      <w:szCs w:val="21"/>
                    </w:rPr>
                  </w:pPr>
                </w:p>
              </w:tc>
              <w:tc>
                <w:tcPr>
                  <w:tcW w:w="667" w:type="dxa"/>
                  <w:noWrap w:val="0"/>
                  <w:vAlign w:val="center"/>
                </w:tcPr>
                <w:p w14:paraId="77259A61">
                  <w:pPr>
                    <w:pStyle w:val="85"/>
                    <w:adjustRightInd w:val="0"/>
                    <w:snapToGrid w:val="0"/>
                    <w:ind w:left="0" w:leftChars="0" w:right="0" w:right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污染物排放管控</w:t>
                  </w:r>
                </w:p>
              </w:tc>
              <w:tc>
                <w:tcPr>
                  <w:tcW w:w="2337" w:type="dxa"/>
                  <w:noWrap w:val="0"/>
                  <w:vAlign w:val="top"/>
                </w:tcPr>
                <w:p w14:paraId="4C481D37">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1.应按规定建设污水集中处理设施，并安装自动在线监控装置。</w:t>
                  </w:r>
                </w:p>
                <w:p w14:paraId="38301C65">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sz w:val="21"/>
                      <w:szCs w:val="21"/>
                      <w:highlight w:val="none"/>
                    </w:rPr>
                    <w:t>新建、扩建“两高”项目应采用先进适用的工艺技术和装备，单位产品物耗、能耗、水耗等达到清洁生产先进水平，依法制定并严格落实防治土壤与地下水污染的措施。</w:t>
                  </w:r>
                </w:p>
                <w:p w14:paraId="7E5FCA76">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sz w:val="21"/>
                      <w:szCs w:val="21"/>
                      <w:highlight w:val="none"/>
                    </w:rPr>
                    <w:t>大力推进企业清洁生产，使用电、天然气等清洁能源。</w:t>
                  </w:r>
                </w:p>
                <w:p w14:paraId="7B055397">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sz w:val="21"/>
                      <w:szCs w:val="21"/>
                      <w:highlight w:val="none"/>
                    </w:rPr>
                    <w:t>加强环境管理水平，减少污染物排放。开展挥发性有机物污染综合治理。强化无组织排放控制管理。</w:t>
                  </w:r>
                </w:p>
                <w:p w14:paraId="2A4B8D2C">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rPr>
                    <w:t>.禁止建设</w:t>
                  </w:r>
                  <w:r>
                    <w:rPr>
                      <w:rFonts w:hint="default" w:ascii="Times New Roman" w:hAnsi="Times New Roman" w:eastAsia="宋体" w:cs="Times New Roman"/>
                      <w:color w:val="auto"/>
                      <w:sz w:val="21"/>
                      <w:szCs w:val="21"/>
                      <w:highlight w:val="none"/>
                    </w:rPr>
                    <w:t>环境污染严重、污染物排放总量指标未落实的项目。</w:t>
                  </w:r>
                </w:p>
                <w:p w14:paraId="0E77A53E">
                  <w:pPr>
                    <w:autoSpaceDE w:val="0"/>
                    <w:autoSpaceDN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.同时执行准入要求：</w:t>
                  </w:r>
                </w:p>
                <w:p w14:paraId="6F2D9659">
                  <w:pPr>
                    <w:tabs>
                      <w:tab w:val="left" w:pos="265"/>
                    </w:tabs>
                    <w:autoSpaceDE w:val="0"/>
                    <w:autoSpaceDN w:val="0"/>
                    <w:ind w:right="96"/>
                    <w:rPr>
                      <w:rFonts w:hint="default" w:ascii="Times New Roman" w:hAnsi="Times New Roman" w:eastAsia="宋体" w:cs="Times New Roman"/>
                      <w:color w:val="auto"/>
                      <w:spacing w:val="-3"/>
                      <w:kern w:val="0"/>
                      <w:sz w:val="21"/>
                      <w:szCs w:val="21"/>
                      <w:highlight w:val="none"/>
                      <w:lang w:val="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pacing w:val="-3"/>
                      <w:kern w:val="0"/>
                      <w:sz w:val="21"/>
                      <w:szCs w:val="21"/>
                      <w:highlight w:val="none"/>
                      <w:lang w:val="zh-CN"/>
                    </w:rPr>
                    <w:t>应按规定建设污水集中处理设施，并安装自动在线监控装置。</w:t>
                  </w:r>
                </w:p>
                <w:p w14:paraId="72C1A0AD">
                  <w:pPr>
                    <w:tabs>
                      <w:tab w:val="left" w:pos="265"/>
                    </w:tabs>
                    <w:autoSpaceDE w:val="0"/>
                    <w:autoSpaceDN w:val="0"/>
                    <w:ind w:right="96"/>
                    <w:rPr>
                      <w:rFonts w:hint="default" w:ascii="Times New Roman" w:hAnsi="Times New Roman" w:eastAsia="宋体" w:cs="Times New Roman"/>
                      <w:color w:val="auto"/>
                      <w:spacing w:val="-3"/>
                      <w:kern w:val="0"/>
                      <w:sz w:val="21"/>
                      <w:szCs w:val="21"/>
                      <w:highlight w:val="none"/>
                      <w:lang w:val="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3"/>
                      <w:kern w:val="0"/>
                      <w:sz w:val="21"/>
                      <w:szCs w:val="21"/>
                      <w:highlight w:val="none"/>
                      <w:lang w:val="zh-CN"/>
                    </w:rPr>
                    <w:t>新建、扩建“两高”项目应采用先进适用的工艺技术和装备，单位产品物耗、能耗、水耗等达到清洁生产先进水平，依法制定并严格落实防治土壤与地下水污染的措施。严把新上项目碳排放关，新建、改建、扩建煤电、石化、化工、钢铁、有色冶炼、建材等高耗能、高排放项目，</w:t>
                  </w:r>
                  <w:r>
                    <w:rPr>
                      <w:rFonts w:hint="default" w:ascii="Times New Roman" w:hAnsi="Times New Roman" w:eastAsia="宋体" w:cs="Times New Roman"/>
                      <w:color w:val="auto"/>
                      <w:spacing w:val="-3"/>
                      <w:kern w:val="0"/>
                      <w:sz w:val="21"/>
                      <w:szCs w:val="21"/>
                      <w:highlight w:val="none"/>
                    </w:rPr>
                    <w:t>要充分论证，</w:t>
                  </w:r>
                  <w:r>
                    <w:rPr>
                      <w:rFonts w:hint="default" w:ascii="Times New Roman" w:hAnsi="Times New Roman" w:eastAsia="宋体" w:cs="Times New Roman"/>
                      <w:color w:val="auto"/>
                      <w:spacing w:val="-3"/>
                      <w:kern w:val="0"/>
                      <w:sz w:val="21"/>
                      <w:szCs w:val="21"/>
                      <w:highlight w:val="none"/>
                      <w:lang w:val="zh-CN"/>
                    </w:rPr>
                    <w:t>确保能耗、物耗、水耗达到清洁生产先进水平。</w:t>
                  </w:r>
                </w:p>
                <w:p w14:paraId="1A11AE6E">
                  <w:pPr>
                    <w:tabs>
                      <w:tab w:val="left" w:pos="265"/>
                    </w:tabs>
                    <w:autoSpaceDE w:val="0"/>
                    <w:autoSpaceDN w:val="0"/>
                    <w:ind w:right="96"/>
                    <w:rPr>
                      <w:rFonts w:hint="default" w:ascii="Times New Roman" w:hAnsi="Times New Roman" w:eastAsia="宋体" w:cs="Times New Roman"/>
                      <w:color w:val="auto"/>
                      <w:spacing w:val="-3"/>
                      <w:kern w:val="0"/>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3"/>
                      <w:kern w:val="0"/>
                      <w:sz w:val="21"/>
                      <w:szCs w:val="21"/>
                      <w:highlight w:val="none"/>
                    </w:rPr>
                    <w:t>新、改、扩建涉重金属重点行业建设项目必须遵循重点重金属污染物排放“减量置换”或“等量替换”原则。</w:t>
                  </w:r>
                </w:p>
                <w:p w14:paraId="67419982">
                  <w:pPr>
                    <w:tabs>
                      <w:tab w:val="left" w:pos="265"/>
                    </w:tabs>
                    <w:autoSpaceDE w:val="0"/>
                    <w:autoSpaceDN w:val="0"/>
                    <w:ind w:right="96"/>
                    <w:rPr>
                      <w:rFonts w:hint="default" w:ascii="Times New Roman" w:hAnsi="Times New Roman" w:eastAsia="宋体" w:cs="Times New Roman"/>
                      <w:color w:val="auto"/>
                      <w:spacing w:val="-3"/>
                      <w:kern w:val="0"/>
                      <w:sz w:val="21"/>
                      <w:szCs w:val="21"/>
                      <w:highlight w:val="none"/>
                      <w:lang w:val="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3"/>
                      <w:kern w:val="0"/>
                      <w:sz w:val="21"/>
                      <w:szCs w:val="21"/>
                      <w:highlight w:val="none"/>
                      <w:lang w:val="zh-CN"/>
                    </w:rPr>
                    <w:t>对于含有毒有害水污染物的工业废水和生活污水混合处理的污水处理厂产生的污泥，不能采用土地利用方式。</w:t>
                  </w:r>
                </w:p>
                <w:p w14:paraId="44EB8C0B">
                  <w:pPr>
                    <w:tabs>
                      <w:tab w:val="left" w:pos="265"/>
                    </w:tabs>
                    <w:autoSpaceDE w:val="0"/>
                    <w:autoSpaceDN w:val="0"/>
                    <w:ind w:right="96"/>
                    <w:rPr>
                      <w:rFonts w:hint="default" w:ascii="Times New Roman" w:hAnsi="Times New Roman" w:eastAsia="宋体" w:cs="Times New Roman"/>
                      <w:color w:val="auto"/>
                      <w:spacing w:val="-3"/>
                      <w:kern w:val="0"/>
                      <w:sz w:val="21"/>
                      <w:szCs w:val="21"/>
                      <w:highlight w:val="none"/>
                      <w:lang w:val="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3"/>
                      <w:kern w:val="0"/>
                      <w:sz w:val="21"/>
                      <w:szCs w:val="21"/>
                      <w:highlight w:val="none"/>
                    </w:rPr>
                    <w:t>加强消耗臭氧层物质和氢氟碳化物环境管理，加强泡沫、制冷、氟化工等行业治理，逐步淘汰氢氯氟烃使用。</w:t>
                  </w:r>
                </w:p>
                <w:p w14:paraId="7FF3360D">
                  <w:pPr>
                    <w:tabs>
                      <w:tab w:val="left" w:pos="265"/>
                    </w:tabs>
                    <w:autoSpaceDE w:val="0"/>
                    <w:autoSpaceDN w:val="0"/>
                    <w:ind w:right="96"/>
                    <w:rPr>
                      <w:rFonts w:hint="default" w:ascii="Times New Roman" w:hAnsi="Times New Roman" w:eastAsia="宋体" w:cs="Times New Roman"/>
                      <w:color w:val="auto"/>
                      <w:spacing w:val="-3"/>
                      <w:kern w:val="0"/>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3"/>
                      <w:kern w:val="0"/>
                      <w:sz w:val="21"/>
                      <w:szCs w:val="21"/>
                      <w:highlight w:val="none"/>
                    </w:rPr>
                    <w:t>新建煤制烯烃、新建煤制对二甲苯 (PX) 项目纳入《现代煤化工产业创新发展布局方案》后，由省级政府核准。新建</w:t>
                  </w:r>
                  <w:r>
                    <w:rPr>
                      <w:rFonts w:hint="default" w:ascii="Times New Roman" w:hAnsi="Times New Roman" w:eastAsia="宋体" w:cs="Times New Roman"/>
                      <w:color w:val="auto"/>
                      <w:spacing w:val="-3"/>
                      <w:kern w:val="0"/>
                      <w:sz w:val="21"/>
                      <w:szCs w:val="21"/>
                      <w:highlight w:val="none"/>
                      <w:lang w:eastAsia="zh-CN"/>
                    </w:rPr>
                    <w:t>年产</w:t>
                  </w:r>
                  <w:r>
                    <w:rPr>
                      <w:rFonts w:hint="default" w:ascii="Times New Roman" w:hAnsi="Times New Roman" w:eastAsia="宋体" w:cs="Times New Roman"/>
                      <w:color w:val="auto"/>
                      <w:spacing w:val="-3"/>
                      <w:kern w:val="0"/>
                      <w:sz w:val="21"/>
                      <w:szCs w:val="21"/>
                      <w:highlight w:val="none"/>
                    </w:rPr>
                    <w:t>超过100万吨的煤制甲醇项目，由省级政府核准。</w:t>
                  </w:r>
                </w:p>
                <w:p w14:paraId="451F98F3">
                  <w:pPr>
                    <w:autoSpaceDE w:val="0"/>
                    <w:autoSpaceDN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3"/>
                      <w:kern w:val="0"/>
                      <w:sz w:val="21"/>
                      <w:szCs w:val="21"/>
                      <w:highlight w:val="none"/>
                    </w:rPr>
                    <w:t xml:space="preserve">各地不得新建、扩建二氟甲烷、1,1,1,2-四氟乙烷、五氟乙烷、1,1,1-三氟乙烷、1.1.1.3.3-五氟丙烷用作制冷剂、发泡剂等受控用途的 HFCs 化工生产设施 </w:t>
                  </w:r>
                  <w:r>
                    <w:rPr>
                      <w:rFonts w:hint="default" w:ascii="Times New Roman" w:hAnsi="Times New Roman" w:eastAsia="宋体" w:cs="Times New Roman"/>
                      <w:color w:val="auto"/>
                      <w:spacing w:val="-3"/>
                      <w:kern w:val="0"/>
                      <w:sz w:val="21"/>
                      <w:szCs w:val="21"/>
                      <w:highlight w:val="none"/>
                      <w:lang w:eastAsia="zh-CN"/>
                    </w:rPr>
                    <w:t>（</w:t>
                  </w:r>
                  <w:r>
                    <w:rPr>
                      <w:rFonts w:hint="default" w:ascii="Times New Roman" w:hAnsi="Times New Roman" w:eastAsia="宋体" w:cs="Times New Roman"/>
                      <w:color w:val="auto"/>
                      <w:spacing w:val="-3"/>
                      <w:kern w:val="0"/>
                      <w:sz w:val="21"/>
                      <w:szCs w:val="21"/>
                      <w:highlight w:val="none"/>
                    </w:rPr>
                    <w:t>不含</w:t>
                  </w:r>
                  <w:r>
                    <w:rPr>
                      <w:rFonts w:hint="eastAsia" w:cs="Times New Roman"/>
                      <w:color w:val="auto"/>
                      <w:spacing w:val="-3"/>
                      <w:kern w:val="0"/>
                      <w:sz w:val="21"/>
                      <w:szCs w:val="21"/>
                      <w:highlight w:val="none"/>
                      <w:lang w:eastAsia="zh-CN"/>
                    </w:rPr>
                    <w:t>独立</w:t>
                  </w:r>
                  <w:r>
                    <w:rPr>
                      <w:rFonts w:hint="default" w:ascii="Times New Roman" w:hAnsi="Times New Roman" w:eastAsia="宋体" w:cs="Times New Roman"/>
                      <w:color w:val="auto"/>
                      <w:spacing w:val="-3"/>
                      <w:kern w:val="0"/>
                      <w:sz w:val="21"/>
                      <w:szCs w:val="21"/>
                      <w:highlight w:val="none"/>
                    </w:rPr>
                    <w:t>设施</w:t>
                  </w:r>
                  <w:r>
                    <w:rPr>
                      <w:rFonts w:hint="default" w:ascii="Times New Roman" w:hAnsi="Times New Roman" w:eastAsia="宋体" w:cs="Times New Roman"/>
                      <w:color w:val="auto"/>
                      <w:spacing w:val="-3"/>
                      <w:kern w:val="0"/>
                      <w:sz w:val="21"/>
                      <w:szCs w:val="21"/>
                      <w:highlight w:val="none"/>
                      <w:lang w:eastAsia="zh-CN"/>
                    </w:rPr>
                    <w:t>）</w:t>
                  </w:r>
                  <w:r>
                    <w:rPr>
                      <w:rFonts w:hint="default" w:ascii="Times New Roman" w:hAnsi="Times New Roman" w:eastAsia="宋体" w:cs="Times New Roman"/>
                      <w:color w:val="auto"/>
                      <w:spacing w:val="-3"/>
                      <w:kern w:val="0"/>
                      <w:sz w:val="21"/>
                      <w:szCs w:val="21"/>
                      <w:highlight w:val="none"/>
                    </w:rPr>
                    <w:t xml:space="preserve">，环境影响报告书 </w:t>
                  </w:r>
                  <w:r>
                    <w:rPr>
                      <w:rFonts w:hint="default" w:ascii="Times New Roman" w:hAnsi="Times New Roman" w:eastAsia="宋体" w:cs="Times New Roman"/>
                      <w:color w:val="auto"/>
                      <w:spacing w:val="-3"/>
                      <w:kern w:val="0"/>
                      <w:sz w:val="21"/>
                      <w:szCs w:val="21"/>
                      <w:highlight w:val="none"/>
                      <w:lang w:eastAsia="zh-CN"/>
                    </w:rPr>
                    <w:t>（</w:t>
                  </w:r>
                  <w:r>
                    <w:rPr>
                      <w:rFonts w:hint="default" w:ascii="Times New Roman" w:hAnsi="Times New Roman" w:eastAsia="宋体" w:cs="Times New Roman"/>
                      <w:color w:val="auto"/>
                      <w:spacing w:val="-3"/>
                      <w:kern w:val="0"/>
                      <w:sz w:val="21"/>
                      <w:szCs w:val="21"/>
                      <w:highlight w:val="none"/>
                    </w:rPr>
                    <w:t>表</w:t>
                  </w:r>
                  <w:r>
                    <w:rPr>
                      <w:rFonts w:hint="default" w:ascii="Times New Roman" w:hAnsi="Times New Roman" w:eastAsia="宋体" w:cs="Times New Roman"/>
                      <w:color w:val="auto"/>
                      <w:spacing w:val="-3"/>
                      <w:kern w:val="0"/>
                      <w:sz w:val="21"/>
                      <w:szCs w:val="21"/>
                      <w:highlight w:val="none"/>
                      <w:lang w:eastAsia="zh-CN"/>
                    </w:rPr>
                    <w:t>）</w:t>
                  </w:r>
                  <w:r>
                    <w:rPr>
                      <w:rFonts w:hint="default" w:ascii="Times New Roman" w:hAnsi="Times New Roman" w:eastAsia="宋体" w:cs="Times New Roman"/>
                      <w:color w:val="auto"/>
                      <w:spacing w:val="-3"/>
                      <w:kern w:val="0"/>
                      <w:sz w:val="21"/>
                      <w:szCs w:val="21"/>
                      <w:highlight w:val="none"/>
                    </w:rPr>
                    <w:t xml:space="preserve"> 已通过审批的除外。</w:t>
                  </w:r>
                </w:p>
                <w:p w14:paraId="39FEE829">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sz w:val="21"/>
                      <w:szCs w:val="21"/>
                      <w:highlight w:val="none"/>
                    </w:rPr>
                    <w:t>水环境工业污染重点管控区</w:t>
                  </w:r>
                  <w:r>
                    <w:rPr>
                      <w:rFonts w:hint="default" w:ascii="Times New Roman" w:hAnsi="Times New Roman" w:eastAsia="宋体" w:cs="Times New Roman"/>
                      <w:color w:val="auto"/>
                      <w:sz w:val="21"/>
                      <w:szCs w:val="21"/>
                      <w:highlight w:val="none"/>
                      <w:lang w:val="en-US"/>
                    </w:rPr>
                    <w:t>同时</w:t>
                  </w:r>
                  <w:r>
                    <w:rPr>
                      <w:rFonts w:hint="default" w:ascii="Times New Roman" w:hAnsi="Times New Roman" w:eastAsia="宋体" w:cs="Times New Roman"/>
                      <w:color w:val="auto"/>
                      <w:sz w:val="21"/>
                      <w:szCs w:val="21"/>
                      <w:highlight w:val="none"/>
                    </w:rPr>
                    <w:t>执行准入要求：</w:t>
                  </w:r>
                </w:p>
                <w:p w14:paraId="65CA7395">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（1）新建、改建和扩建项目应当优先采用资源利用率高以及污染物产生量少的清洁生产技术、工艺和设备。</w:t>
                  </w:r>
                </w:p>
                <w:p w14:paraId="0B988CD4">
                  <w:pPr>
                    <w:pStyle w:val="85"/>
                    <w:ind w:left="0" w:leftChars="0" w:right="0" w:right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）集中治理工业集聚区内工业废水，区内工业废水必须经预处理达到集中处理要求后，方可进入污水集中处理设施。新建、升级工业集聚区应同步规划和建设污水、垃圾集中处理等污染治理设施。</w:t>
                  </w:r>
                </w:p>
              </w:tc>
              <w:tc>
                <w:tcPr>
                  <w:tcW w:w="1300" w:type="pct"/>
                  <w:noWrap w:val="0"/>
                  <w:vAlign w:val="center"/>
                </w:tcPr>
                <w:p w14:paraId="1C304ED8">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1.本项目为园区供热项目，项目产生的废水排入园区污水管网，不涉及污水集中处理设施</w:t>
                  </w:r>
                </w:p>
                <w:p w14:paraId="3979F490">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2.本项目不属于两高项目</w:t>
                  </w:r>
                </w:p>
                <w:p w14:paraId="3BCA0106">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3.为推进清洁生产，本项目燃料选用生物质气</w:t>
                  </w:r>
                </w:p>
                <w:p w14:paraId="4C2D1B35">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4.本项目不涉及挥发性有机物排放</w:t>
                  </w:r>
                </w:p>
                <w:p w14:paraId="4480565E">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5.本项目不属于污染严重项目，污染物排放总量指标已落实</w:t>
                  </w:r>
                </w:p>
                <w:p w14:paraId="31AFF5BE">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6.（1）本项目为园区供热项目，项目产生的废水排入园区污水管网，不涉及污水集中处理设施</w:t>
                  </w:r>
                </w:p>
                <w:p w14:paraId="63954307">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（2）本项目不属于两高项目</w:t>
                  </w:r>
                </w:p>
                <w:p w14:paraId="1141454C">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（3）本项目不属于重金属重点行业</w:t>
                  </w:r>
                </w:p>
                <w:p w14:paraId="10BB9D9A">
                  <w:pPr>
                    <w:pStyle w:val="48"/>
                    <w:keepNext w:val="0"/>
                    <w:keepLines w:val="0"/>
                    <w:suppressLineNumbers w:val="0"/>
                    <w:spacing w:before="0" w:beforeAutospacing="0" w:after="0" w:afterAutospacing="0" w:line="276" w:lineRule="auto"/>
                    <w:ind w:left="0" w:right="0" w:firstLine="0" w:firstLineChars="0"/>
                    <w:textAlignment w:val="center"/>
                    <w:rPr>
                      <w:rFonts w:hint="eastAsia" w:eastAsia="宋体"/>
                      <w:color w:val="auto"/>
                      <w:sz w:val="21"/>
                      <w:szCs w:val="21"/>
                      <w:lang w:val="en-US" w:eastAsia="zh-CN"/>
                    </w:rPr>
                  </w:pPr>
                  <w:r>
                    <w:rPr>
                      <w:rFonts w:hint="eastAsia" w:eastAsia="宋体"/>
                      <w:color w:val="auto"/>
                      <w:sz w:val="21"/>
                      <w:szCs w:val="21"/>
                      <w:lang w:val="en-US" w:eastAsia="zh-CN"/>
                    </w:rPr>
                    <w:t>（4）本项目不涉及排放有毒有害水污染物</w:t>
                  </w:r>
                </w:p>
                <w:p w14:paraId="24AE5F21">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spacing w:val="-3"/>
                      <w:kern w:val="0"/>
                      <w:sz w:val="21"/>
                      <w:szCs w:val="21"/>
                      <w:highlight w:val="none"/>
                    </w:rPr>
                  </w:pPr>
                  <w:r>
                    <w:rPr>
                      <w:rFonts w:hint="eastAsia" w:eastAsia="宋体"/>
                      <w:color w:val="auto"/>
                      <w:sz w:val="21"/>
                      <w:szCs w:val="21"/>
                      <w:lang w:val="en-US" w:eastAsia="zh-CN"/>
                    </w:rPr>
                    <w:t>（5）本项目不涉及消耗臭氧层物质和</w:t>
                  </w:r>
                  <w:r>
                    <w:rPr>
                      <w:rFonts w:hint="default" w:ascii="Times New Roman" w:hAnsi="Times New Roman" w:eastAsia="宋体" w:cs="Times New Roman"/>
                      <w:color w:val="auto"/>
                      <w:spacing w:val="-3"/>
                      <w:kern w:val="0"/>
                      <w:sz w:val="21"/>
                      <w:szCs w:val="21"/>
                      <w:highlight w:val="none"/>
                    </w:rPr>
                    <w:t>氢氟碳化物</w:t>
                  </w:r>
                </w:p>
                <w:p w14:paraId="4E5AEEAE">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spacing w:val="-3"/>
                      <w:kern w:val="0"/>
                      <w:sz w:val="21"/>
                      <w:szCs w:val="21"/>
                      <w:highlight w:val="none"/>
                    </w:rPr>
                  </w:pPr>
                  <w:r>
                    <w:rPr>
                      <w:rFonts w:hint="eastAsia" w:ascii="Times New Roman" w:hAnsi="Times New Roman" w:eastAsia="宋体" w:cs="Times New Roman"/>
                      <w:color w:val="auto"/>
                      <w:spacing w:val="-3"/>
                      <w:kern w:val="0"/>
                      <w:sz w:val="21"/>
                      <w:szCs w:val="21"/>
                      <w:highlight w:val="none"/>
                      <w:lang w:eastAsia="zh-CN"/>
                    </w:rPr>
                    <w:t>（</w:t>
                  </w:r>
                  <w:r>
                    <w:rPr>
                      <w:rFonts w:hint="eastAsia" w:ascii="Times New Roman" w:hAnsi="Times New Roman" w:eastAsia="宋体" w:cs="Times New Roman"/>
                      <w:color w:val="auto"/>
                      <w:spacing w:val="-3"/>
                      <w:kern w:val="0"/>
                      <w:sz w:val="21"/>
                      <w:szCs w:val="21"/>
                      <w:highlight w:val="none"/>
                      <w:lang w:val="en-US" w:eastAsia="zh-CN"/>
                    </w:rPr>
                    <w:t>6</w:t>
                  </w:r>
                  <w:r>
                    <w:rPr>
                      <w:rFonts w:hint="eastAsia" w:ascii="Times New Roman" w:hAnsi="Times New Roman" w:eastAsia="宋体" w:cs="Times New Roman"/>
                      <w:color w:val="auto"/>
                      <w:spacing w:val="-3"/>
                      <w:kern w:val="0"/>
                      <w:sz w:val="21"/>
                      <w:szCs w:val="21"/>
                      <w:highlight w:val="none"/>
                      <w:lang w:eastAsia="zh-CN"/>
                    </w:rPr>
                    <w:t>）</w:t>
                  </w:r>
                  <w:r>
                    <w:rPr>
                      <w:rFonts w:hint="eastAsia" w:ascii="Times New Roman" w:hAnsi="Times New Roman" w:eastAsia="宋体" w:cs="Times New Roman"/>
                      <w:color w:val="auto"/>
                      <w:spacing w:val="-3"/>
                      <w:kern w:val="0"/>
                      <w:sz w:val="21"/>
                      <w:szCs w:val="21"/>
                      <w:highlight w:val="none"/>
                      <w:lang w:val="en-US" w:eastAsia="zh-CN"/>
                    </w:rPr>
                    <w:t>本项目不涉及</w:t>
                  </w:r>
                  <w:r>
                    <w:rPr>
                      <w:rFonts w:hint="default" w:ascii="Times New Roman" w:hAnsi="Times New Roman" w:eastAsia="宋体" w:cs="Times New Roman"/>
                      <w:color w:val="auto"/>
                      <w:spacing w:val="-3"/>
                      <w:kern w:val="0"/>
                      <w:sz w:val="21"/>
                      <w:szCs w:val="21"/>
                      <w:highlight w:val="none"/>
                    </w:rPr>
                    <w:t>煤制烯烃、新建煤制对二甲苯 (PX) 项目</w:t>
                  </w:r>
                </w:p>
                <w:p w14:paraId="7457E3EB">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spacing w:val="-3"/>
                      <w:kern w:val="0"/>
                      <w:sz w:val="21"/>
                      <w:szCs w:val="21"/>
                      <w:highlight w:val="none"/>
                    </w:rPr>
                  </w:pPr>
                  <w:r>
                    <w:rPr>
                      <w:rFonts w:hint="eastAsia" w:ascii="Times New Roman" w:hAnsi="Times New Roman" w:eastAsia="宋体" w:cs="Times New Roman"/>
                      <w:color w:val="auto"/>
                      <w:spacing w:val="-3"/>
                      <w:kern w:val="0"/>
                      <w:sz w:val="21"/>
                      <w:szCs w:val="21"/>
                      <w:highlight w:val="none"/>
                      <w:lang w:eastAsia="zh-CN"/>
                    </w:rPr>
                    <w:t>（</w:t>
                  </w:r>
                  <w:r>
                    <w:rPr>
                      <w:rFonts w:hint="eastAsia" w:ascii="Times New Roman" w:hAnsi="Times New Roman" w:eastAsia="宋体" w:cs="Times New Roman"/>
                      <w:color w:val="auto"/>
                      <w:spacing w:val="-3"/>
                      <w:kern w:val="0"/>
                      <w:sz w:val="21"/>
                      <w:szCs w:val="21"/>
                      <w:highlight w:val="none"/>
                      <w:lang w:val="en-US" w:eastAsia="zh-CN"/>
                    </w:rPr>
                    <w:t>7</w:t>
                  </w:r>
                  <w:r>
                    <w:rPr>
                      <w:rFonts w:hint="eastAsia" w:ascii="Times New Roman" w:hAnsi="Times New Roman" w:eastAsia="宋体" w:cs="Times New Roman"/>
                      <w:color w:val="auto"/>
                      <w:spacing w:val="-3"/>
                      <w:kern w:val="0"/>
                      <w:sz w:val="21"/>
                      <w:szCs w:val="21"/>
                      <w:highlight w:val="none"/>
                      <w:lang w:eastAsia="zh-CN"/>
                    </w:rPr>
                    <w:t>）</w:t>
                  </w:r>
                  <w:r>
                    <w:rPr>
                      <w:rFonts w:hint="eastAsia" w:ascii="Times New Roman" w:hAnsi="Times New Roman" w:eastAsia="宋体" w:cs="Times New Roman"/>
                      <w:color w:val="auto"/>
                      <w:spacing w:val="-3"/>
                      <w:kern w:val="0"/>
                      <w:sz w:val="21"/>
                      <w:szCs w:val="21"/>
                      <w:highlight w:val="none"/>
                      <w:lang w:val="en-US" w:eastAsia="zh-CN"/>
                    </w:rPr>
                    <w:t>本项目不涉及</w:t>
                  </w:r>
                  <w:r>
                    <w:rPr>
                      <w:rFonts w:hint="default" w:ascii="Times New Roman" w:hAnsi="Times New Roman" w:eastAsia="宋体" w:cs="Times New Roman"/>
                      <w:color w:val="auto"/>
                      <w:spacing w:val="-3"/>
                      <w:kern w:val="0"/>
                      <w:sz w:val="21"/>
                      <w:szCs w:val="21"/>
                      <w:highlight w:val="none"/>
                    </w:rPr>
                    <w:t>二氟甲烷、1,1,1,2-四氟乙烷、五氟乙烷、1,1,1-三氟乙烷、1.1.1.3.3-五氟丙烷用作制冷剂、发泡剂等受控用途的HFCs化工生产设施</w:t>
                  </w:r>
                </w:p>
                <w:p w14:paraId="7DF2D18A">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eastAsia="宋体" w:cs="Times New Roman"/>
                      <w:color w:val="auto"/>
                      <w:spacing w:val="-3"/>
                      <w:kern w:val="0"/>
                      <w:sz w:val="21"/>
                      <w:szCs w:val="21"/>
                      <w:highlight w:val="none"/>
                      <w:lang w:val="en-US" w:eastAsia="zh-CN"/>
                    </w:rPr>
                  </w:pPr>
                  <w:r>
                    <w:rPr>
                      <w:rFonts w:hint="eastAsia" w:ascii="Times New Roman" w:hAnsi="Times New Roman" w:eastAsia="宋体" w:cs="Times New Roman"/>
                      <w:color w:val="auto"/>
                      <w:spacing w:val="-3"/>
                      <w:kern w:val="0"/>
                      <w:sz w:val="21"/>
                      <w:szCs w:val="21"/>
                      <w:highlight w:val="none"/>
                      <w:lang w:val="en-US" w:eastAsia="zh-CN"/>
                    </w:rPr>
                    <w:t>7.本项目燃料选用生物质气，为清洁能源</w:t>
                  </w:r>
                </w:p>
                <w:p w14:paraId="06FD952B">
                  <w:pPr>
                    <w:pStyle w:val="48"/>
                    <w:keepNext w:val="0"/>
                    <w:keepLines w:val="0"/>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spacing w:val="-3"/>
                      <w:kern w:val="0"/>
                      <w:sz w:val="21"/>
                      <w:szCs w:val="21"/>
                      <w:highlight w:val="none"/>
                      <w:lang w:val="en-US" w:eastAsia="zh-CN"/>
                    </w:rPr>
                  </w:pPr>
                  <w:r>
                    <w:rPr>
                      <w:rFonts w:hint="eastAsia" w:ascii="Times New Roman" w:hAnsi="Times New Roman" w:eastAsia="宋体" w:cs="Times New Roman"/>
                      <w:color w:val="auto"/>
                      <w:spacing w:val="-3"/>
                      <w:kern w:val="0"/>
                      <w:sz w:val="21"/>
                      <w:szCs w:val="21"/>
                      <w:highlight w:val="none"/>
                      <w:lang w:val="en-US" w:eastAsia="zh-CN"/>
                    </w:rPr>
                    <w:t>（2）本项目废水排入园区污水管网，由园区污水处理厂进行处置</w:t>
                  </w:r>
                </w:p>
              </w:tc>
            </w:tr>
            <w:tr w14:paraId="789163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1084" w:type="dxa"/>
                  <w:vMerge w:val="continue"/>
                  <w:noWrap w:val="0"/>
                  <w:vAlign w:val="center"/>
                </w:tcPr>
                <w:p w14:paraId="6FF1FB78">
                  <w:pPr>
                    <w:pStyle w:val="85"/>
                    <w:ind w:left="0" w:leftChars="0" w:right="0" w:rightChars="0"/>
                    <w:rPr>
                      <w:rFonts w:hint="default" w:ascii="Times New Roman" w:hAnsi="Times New Roman" w:eastAsia="宋体" w:cs="Times New Roman"/>
                      <w:color w:val="auto"/>
                      <w:sz w:val="21"/>
                      <w:szCs w:val="21"/>
                      <w:lang w:val="en-US" w:eastAsia="zh-CN"/>
                    </w:rPr>
                  </w:pPr>
                </w:p>
              </w:tc>
              <w:tc>
                <w:tcPr>
                  <w:tcW w:w="864" w:type="dxa"/>
                  <w:vMerge w:val="continue"/>
                  <w:noWrap w:val="0"/>
                  <w:vAlign w:val="center"/>
                </w:tcPr>
                <w:p w14:paraId="12FC223D">
                  <w:pPr>
                    <w:pStyle w:val="85"/>
                    <w:ind w:left="0" w:leftChars="0" w:right="0" w:rightChars="0"/>
                    <w:rPr>
                      <w:rFonts w:hint="default" w:ascii="Times New Roman" w:hAnsi="Times New Roman" w:eastAsia="宋体" w:cs="Times New Roman"/>
                      <w:color w:val="auto"/>
                      <w:kern w:val="0"/>
                      <w:sz w:val="21"/>
                      <w:szCs w:val="21"/>
                      <w:lang w:val="en-US" w:eastAsia="zh-CN" w:bidi="ar"/>
                    </w:rPr>
                  </w:pPr>
                </w:p>
              </w:tc>
              <w:tc>
                <w:tcPr>
                  <w:tcW w:w="667" w:type="dxa"/>
                  <w:vMerge w:val="continue"/>
                  <w:noWrap w:val="0"/>
                  <w:vAlign w:val="center"/>
                </w:tcPr>
                <w:p w14:paraId="0DFE94E9">
                  <w:pPr>
                    <w:pStyle w:val="85"/>
                    <w:ind w:left="0" w:leftChars="0" w:right="0" w:rightChars="0"/>
                    <w:rPr>
                      <w:rFonts w:hint="default" w:ascii="Times New Roman" w:hAnsi="Times New Roman" w:eastAsia="宋体" w:cs="Times New Roman"/>
                      <w:color w:val="auto"/>
                      <w:sz w:val="21"/>
                      <w:szCs w:val="21"/>
                    </w:rPr>
                  </w:pPr>
                </w:p>
              </w:tc>
              <w:tc>
                <w:tcPr>
                  <w:tcW w:w="667" w:type="dxa"/>
                  <w:noWrap w:val="0"/>
                  <w:vAlign w:val="center"/>
                </w:tcPr>
                <w:p w14:paraId="18C8F3A5">
                  <w:pPr>
                    <w:pStyle w:val="85"/>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环境风险防控</w:t>
                  </w:r>
                </w:p>
              </w:tc>
              <w:tc>
                <w:tcPr>
                  <w:tcW w:w="2337" w:type="dxa"/>
                  <w:noWrap w:val="0"/>
                  <w:vAlign w:val="top"/>
                </w:tcPr>
                <w:p w14:paraId="60047548">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1.</w:t>
                  </w:r>
                  <w:r>
                    <w:rPr>
                      <w:rFonts w:hint="default" w:ascii="Times New Roman" w:hAnsi="Times New Roman" w:eastAsia="宋体" w:cs="Times New Roman"/>
                      <w:color w:val="auto"/>
                      <w:sz w:val="21"/>
                      <w:szCs w:val="21"/>
                      <w:highlight w:val="none"/>
                    </w:rPr>
                    <w:t>加强环境应急预案管理和风险预警。园区及园区内企业应当结合经营性质、规模、组织体系，建立健全环境应急预案体系，并强化企业、园区以及上级政府环境应急预案之间的衔接。加强环境应急预案演练、评估与修订。园区管理机构应当组织建设有毒有害气体环境风险预警体系，建设园区环境风险防范设施。</w:t>
                  </w:r>
                </w:p>
                <w:p w14:paraId="1A4FFEC9">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2.</w:t>
                  </w:r>
                  <w:r>
                    <w:rPr>
                      <w:rFonts w:hint="default" w:ascii="Times New Roman" w:hAnsi="Times New Roman" w:eastAsia="宋体" w:cs="Times New Roman"/>
                      <w:color w:val="auto"/>
                      <w:sz w:val="21"/>
                      <w:szCs w:val="21"/>
                      <w:highlight w:val="none"/>
                    </w:rPr>
                    <w:t>园区应建立危险源数据库，并动态更新。建立园区、企业、装置三级应急联动方案，强化区域环境风险应急防范能力。建设突发环境事件应急物资储备库；强化环境风险防控工作，突出全防全控，完善各项环境风险防范制度，确保将风险防范融入日常环境管理制度体系，加强执法监督，逐步实现对重点工业园区、重点企业和主要环境风险类型的动态监控。</w:t>
                  </w:r>
                </w:p>
                <w:p w14:paraId="6AC9CD34">
                  <w:pPr>
                    <w:pStyle w:val="85"/>
                    <w:jc w:val="both"/>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3.</w:t>
                  </w:r>
                  <w:r>
                    <w:rPr>
                      <w:rFonts w:hint="default" w:ascii="Times New Roman" w:hAnsi="Times New Roman" w:eastAsia="宋体" w:cs="Times New Roman"/>
                      <w:color w:val="auto"/>
                      <w:sz w:val="21"/>
                      <w:szCs w:val="21"/>
                      <w:highlight w:val="none"/>
                    </w:rPr>
                    <w:t>在居住和工业企业混杂区域，应加强环境风险防控体系建设。</w:t>
                  </w:r>
                </w:p>
                <w:p w14:paraId="0482A6DD">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4.</w:t>
                  </w:r>
                  <w:r>
                    <w:rPr>
                      <w:rFonts w:hint="default" w:ascii="Times New Roman" w:hAnsi="Times New Roman" w:eastAsia="宋体" w:cs="Times New Roman"/>
                      <w:color w:val="auto"/>
                      <w:sz w:val="21"/>
                      <w:szCs w:val="21"/>
                      <w:highlight w:val="none"/>
                    </w:rPr>
                    <w:t>产业园区管理机构应将规划环评结论及审查意见落实到规划中，不得引入不符合规划环评结论及审查意见的入园建设项目，加强产业园区环境风险防控体系建设并编制应急预案，细化明确产业园区及区内企业环境风险防范责任，与地方政府应急预案做好衔接联动，切实做好环境风险防范工作。</w:t>
                  </w:r>
                </w:p>
                <w:p w14:paraId="1CC1D220">
                  <w:pPr>
                    <w:autoSpaceDE w:val="0"/>
                    <w:autoSpaceDN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5.同时执行准入要求：</w:t>
                  </w:r>
                </w:p>
                <w:p w14:paraId="70258648">
                  <w:pPr>
                    <w:autoSpaceDE w:val="0"/>
                    <w:autoSpaceDN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kern w:val="0"/>
                      <w:sz w:val="21"/>
                      <w:szCs w:val="21"/>
                      <w:highlight w:val="none"/>
                      <w:lang w:val="zh-CN"/>
                    </w:rPr>
                    <w:t>加强环境应急预案管理和风险预警。园区及园区内企业应当结合经营性质、规模、组织体系，建立健全环境应急预案体系，并强化企业、园区以及上级政府环境应急预案之间的衔接。加强环境应急预案演练、评估与修订。园区管理机构应当组织建设有毒有害气体环境风险预警体系，建设园区环境风险防范设施。</w:t>
                  </w:r>
                </w:p>
                <w:p w14:paraId="14611FC4">
                  <w:pPr>
                    <w:pStyle w:val="8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rPr>
                    <w:t>6.</w:t>
                  </w:r>
                  <w:r>
                    <w:rPr>
                      <w:rFonts w:hint="default" w:ascii="Times New Roman" w:hAnsi="Times New Roman" w:eastAsia="宋体" w:cs="Times New Roman"/>
                      <w:color w:val="auto"/>
                      <w:sz w:val="21"/>
                      <w:szCs w:val="21"/>
                      <w:highlight w:val="none"/>
                    </w:rPr>
                    <w:t>水环境工业污染重点管控区</w:t>
                  </w:r>
                  <w:r>
                    <w:rPr>
                      <w:rFonts w:hint="default" w:ascii="Times New Roman" w:hAnsi="Times New Roman" w:eastAsia="宋体" w:cs="Times New Roman"/>
                      <w:color w:val="auto"/>
                      <w:sz w:val="21"/>
                      <w:szCs w:val="21"/>
                      <w:highlight w:val="none"/>
                      <w:lang w:val="en-US"/>
                    </w:rPr>
                    <w:t>同时</w:t>
                  </w:r>
                  <w:r>
                    <w:rPr>
                      <w:rFonts w:hint="default" w:ascii="Times New Roman" w:hAnsi="Times New Roman" w:eastAsia="宋体" w:cs="Times New Roman"/>
                      <w:color w:val="auto"/>
                      <w:sz w:val="21"/>
                      <w:szCs w:val="21"/>
                      <w:highlight w:val="none"/>
                    </w:rPr>
                    <w:t>执行准入要求：</w:t>
                  </w:r>
                </w:p>
                <w:p w14:paraId="01884CE8">
                  <w:pPr>
                    <w:pStyle w:val="85"/>
                    <w:ind w:left="0" w:leftChars="0" w:right="0" w:right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排放《有毒有害水污染物名录》所列有毒有害水污染物的企业事业单位和其他生产经营者，应当对排污口和周边环境进行监测，评估环境风险，排查环境安全隐患，并公开有毒有害水污染物信息，采取有效措施防范环境风险。</w:t>
                  </w:r>
                </w:p>
              </w:tc>
              <w:tc>
                <w:tcPr>
                  <w:tcW w:w="1300" w:type="pct"/>
                  <w:noWrap w:val="0"/>
                  <w:vAlign w:val="center"/>
                </w:tcPr>
                <w:p w14:paraId="14A3D177">
                  <w:pPr>
                    <w:pStyle w:val="48"/>
                    <w:keepNext w:val="0"/>
                    <w:keepLines w:val="0"/>
                    <w:numPr>
                      <w:ilvl w:val="0"/>
                      <w:numId w:val="4"/>
                    </w:numPr>
                    <w:suppressLineNumbers w:val="0"/>
                    <w:spacing w:before="0" w:beforeAutospacing="0" w:after="0" w:afterAutospacing="0" w:line="276" w:lineRule="auto"/>
                    <w:ind w:left="0" w:right="0" w:firstLine="0" w:firstLineChars="0"/>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本项目不涉及环境风险物质</w:t>
                  </w:r>
                </w:p>
                <w:p w14:paraId="381D7925">
                  <w:pPr>
                    <w:pStyle w:val="48"/>
                    <w:keepNext w:val="0"/>
                    <w:keepLines w:val="0"/>
                    <w:numPr>
                      <w:ilvl w:val="0"/>
                      <w:numId w:val="4"/>
                    </w:numPr>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本项目不涉及环境风险物质</w:t>
                  </w:r>
                </w:p>
                <w:p w14:paraId="7C85081C">
                  <w:pPr>
                    <w:pStyle w:val="48"/>
                    <w:keepNext w:val="0"/>
                    <w:keepLines w:val="0"/>
                    <w:numPr>
                      <w:ilvl w:val="0"/>
                      <w:numId w:val="4"/>
                    </w:numPr>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本项目远离居住区，且不涉及环境风险物质，环境风险影响较小。</w:t>
                  </w:r>
                </w:p>
                <w:p w14:paraId="16BFC400">
                  <w:pPr>
                    <w:pStyle w:val="48"/>
                    <w:keepNext w:val="0"/>
                    <w:keepLines w:val="0"/>
                    <w:numPr>
                      <w:ilvl w:val="0"/>
                      <w:numId w:val="4"/>
                    </w:numPr>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本项目为园区基础设施建设项目，符合园区规划</w:t>
                  </w:r>
                </w:p>
                <w:p w14:paraId="7FF3E5A3">
                  <w:pPr>
                    <w:pStyle w:val="48"/>
                    <w:keepNext w:val="0"/>
                    <w:keepLines w:val="0"/>
                    <w:numPr>
                      <w:ilvl w:val="0"/>
                      <w:numId w:val="4"/>
                    </w:numPr>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本项目建成后将定期开展事故演练，配合</w:t>
                  </w:r>
                  <w:r>
                    <w:rPr>
                      <w:rFonts w:hint="eastAsia" w:eastAsia="宋体" w:cs="Times New Roman"/>
                      <w:color w:val="auto"/>
                      <w:kern w:val="0"/>
                      <w:sz w:val="21"/>
                      <w:szCs w:val="21"/>
                      <w:highlight w:val="none"/>
                      <w:lang w:val="en-US" w:eastAsia="zh-CN" w:bidi="ar"/>
                    </w:rPr>
                    <w:t>地方政府</w:t>
                  </w:r>
                  <w:r>
                    <w:rPr>
                      <w:rFonts w:hint="eastAsia" w:ascii="Times New Roman" w:hAnsi="Times New Roman" w:eastAsia="宋体" w:cs="Times New Roman"/>
                      <w:color w:val="auto"/>
                      <w:kern w:val="0"/>
                      <w:sz w:val="21"/>
                      <w:szCs w:val="21"/>
                      <w:highlight w:val="none"/>
                      <w:lang w:val="en-US" w:eastAsia="zh-CN" w:bidi="ar"/>
                    </w:rPr>
                    <w:t>和园区管理机构，与其做好应急联动。</w:t>
                  </w:r>
                </w:p>
                <w:p w14:paraId="18BF0033">
                  <w:pPr>
                    <w:pStyle w:val="48"/>
                    <w:keepNext w:val="0"/>
                    <w:keepLines w:val="0"/>
                    <w:numPr>
                      <w:ilvl w:val="0"/>
                      <w:numId w:val="4"/>
                    </w:numPr>
                    <w:suppressLineNumbers w:val="0"/>
                    <w:spacing w:before="0" w:beforeAutospacing="0" w:after="0" w:afterAutospacing="0" w:line="276" w:lineRule="auto"/>
                    <w:ind w:left="0" w:right="0" w:firstLine="0" w:firstLineChars="0"/>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本项目不排放有毒有害废水</w:t>
                  </w:r>
                </w:p>
                <w:p w14:paraId="0A871BFD">
                  <w:pPr>
                    <w:pStyle w:val="48"/>
                    <w:keepNext w:val="0"/>
                    <w:keepLines w:val="0"/>
                    <w:numPr>
                      <w:ilvl w:val="0"/>
                      <w:numId w:val="0"/>
                    </w:numPr>
                    <w:suppressLineNumbers w:val="0"/>
                    <w:spacing w:before="0" w:beforeAutospacing="0" w:after="0" w:afterAutospacing="0" w:line="276" w:lineRule="auto"/>
                    <w:ind w:leftChars="0" w:right="0" w:rightChars="0"/>
                    <w:textAlignment w:val="center"/>
                    <w:rPr>
                      <w:rFonts w:hint="default" w:eastAsia="宋体"/>
                      <w:color w:val="auto"/>
                      <w:sz w:val="21"/>
                      <w:szCs w:val="21"/>
                      <w:lang w:val="en-US" w:eastAsia="zh-CN"/>
                    </w:rPr>
                  </w:pPr>
                </w:p>
              </w:tc>
            </w:tr>
            <w:tr w14:paraId="55E57D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1084" w:type="dxa"/>
                  <w:vMerge w:val="continue"/>
                  <w:noWrap w:val="0"/>
                  <w:vAlign w:val="center"/>
                </w:tcPr>
                <w:p w14:paraId="0C782433">
                  <w:pPr>
                    <w:pStyle w:val="85"/>
                    <w:ind w:left="0" w:leftChars="0" w:right="0" w:rightChars="0"/>
                    <w:rPr>
                      <w:rFonts w:hint="default" w:ascii="Times New Roman" w:hAnsi="Times New Roman" w:eastAsia="宋体" w:cs="Times New Roman"/>
                      <w:color w:val="auto"/>
                      <w:sz w:val="21"/>
                      <w:szCs w:val="21"/>
                      <w:lang w:val="en-US" w:eastAsia="zh-CN"/>
                    </w:rPr>
                  </w:pPr>
                </w:p>
              </w:tc>
              <w:tc>
                <w:tcPr>
                  <w:tcW w:w="864" w:type="dxa"/>
                  <w:vMerge w:val="continue"/>
                  <w:noWrap w:val="0"/>
                  <w:vAlign w:val="center"/>
                </w:tcPr>
                <w:p w14:paraId="52F65D0C">
                  <w:pPr>
                    <w:pStyle w:val="85"/>
                    <w:ind w:left="0" w:leftChars="0" w:right="0" w:rightChars="0"/>
                    <w:rPr>
                      <w:rFonts w:hint="default" w:ascii="Times New Roman" w:hAnsi="Times New Roman" w:eastAsia="宋体" w:cs="Times New Roman"/>
                      <w:color w:val="auto"/>
                      <w:kern w:val="0"/>
                      <w:sz w:val="21"/>
                      <w:szCs w:val="21"/>
                      <w:lang w:val="en-US" w:eastAsia="zh-CN" w:bidi="ar"/>
                    </w:rPr>
                  </w:pPr>
                </w:p>
              </w:tc>
              <w:tc>
                <w:tcPr>
                  <w:tcW w:w="667" w:type="dxa"/>
                  <w:vMerge w:val="continue"/>
                  <w:noWrap w:val="0"/>
                  <w:vAlign w:val="center"/>
                </w:tcPr>
                <w:p w14:paraId="2D79D638">
                  <w:pPr>
                    <w:pStyle w:val="85"/>
                    <w:ind w:left="0" w:leftChars="0" w:right="0" w:rightChars="0"/>
                    <w:rPr>
                      <w:rFonts w:hint="default" w:ascii="Times New Roman" w:hAnsi="Times New Roman" w:eastAsia="宋体" w:cs="Times New Roman"/>
                      <w:color w:val="auto"/>
                      <w:sz w:val="21"/>
                      <w:szCs w:val="21"/>
                    </w:rPr>
                  </w:pPr>
                </w:p>
              </w:tc>
              <w:tc>
                <w:tcPr>
                  <w:tcW w:w="667" w:type="dxa"/>
                  <w:noWrap w:val="0"/>
                  <w:vAlign w:val="center"/>
                </w:tcPr>
                <w:p w14:paraId="420F9596">
                  <w:pPr>
                    <w:pStyle w:val="85"/>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资源利用效率要求</w:t>
                  </w:r>
                </w:p>
              </w:tc>
              <w:tc>
                <w:tcPr>
                  <w:tcW w:w="2337" w:type="dxa"/>
                  <w:noWrap w:val="0"/>
                  <w:vAlign w:val="top"/>
                </w:tcPr>
                <w:p w14:paraId="7573BE6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1.落实最严格的水资源管理制度，实行水资源消耗总量和强度双控。严格实行能源消耗总量和强度双控。</w:t>
                  </w:r>
                </w:p>
                <w:p w14:paraId="731D3A47">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2.全面推行清洁生产，依法在“双超双有高耗能”行业实施强制性清洁生产审核。</w:t>
                  </w:r>
                </w:p>
                <w:p w14:paraId="2A5DC65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3.实施清洁化改造，加强节水管理，提高中水回用率</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延长加工产业链，优化布局。</w:t>
                  </w:r>
                </w:p>
                <w:p w14:paraId="2CA956E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eastAsia="zh-CN"/>
                    </w:rPr>
                    <w:t>新上耗煤项目实施煤炭减量替代，单位产品（产值）能耗要达到清洁生产要求。</w:t>
                  </w:r>
                </w:p>
                <w:p w14:paraId="15E9B4DC">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5.禁止加剧自然资源资产数量减少、质量下降的开发建设行为。</w:t>
                  </w:r>
                </w:p>
                <w:p w14:paraId="1241EF23">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6.同时执行准入要求：</w:t>
                  </w:r>
                </w:p>
                <w:p w14:paraId="71010EA0">
                  <w:pPr>
                    <w:tabs>
                      <w:tab w:val="left" w:pos="265"/>
                    </w:tabs>
                    <w:autoSpaceDE w:val="0"/>
                    <w:autoSpaceDN w:val="0"/>
                    <w:ind w:right="96"/>
                    <w:rPr>
                      <w:rFonts w:hint="default" w:ascii="Times New Roman" w:hAnsi="Times New Roman" w:eastAsia="宋体" w:cs="Times New Roman"/>
                      <w:color w:val="auto"/>
                      <w:spacing w:val="-3"/>
                      <w:kern w:val="0"/>
                      <w:sz w:val="21"/>
                      <w:szCs w:val="21"/>
                      <w:highlight w:val="none"/>
                      <w:lang w:val="zh-CN"/>
                    </w:rPr>
                  </w:pPr>
                  <w:r>
                    <w:rPr>
                      <w:rFonts w:hint="default" w:ascii="Times New Roman" w:hAnsi="Times New Roman" w:eastAsia="宋体" w:cs="Times New Roman"/>
                      <w:color w:val="auto"/>
                      <w:spacing w:val="-3"/>
                      <w:kern w:val="0"/>
                      <w:sz w:val="21"/>
                      <w:szCs w:val="21"/>
                      <w:highlight w:val="none"/>
                    </w:rPr>
                    <w:t>1</w:t>
                  </w:r>
                  <w:r>
                    <w:rPr>
                      <w:rFonts w:hint="default" w:ascii="Times New Roman" w:hAnsi="Times New Roman" w:eastAsia="宋体" w:cs="Times New Roman"/>
                      <w:color w:val="auto"/>
                      <w:spacing w:val="-3"/>
                      <w:kern w:val="0"/>
                      <w:sz w:val="21"/>
                      <w:szCs w:val="21"/>
                      <w:highlight w:val="none"/>
                      <w:lang w:eastAsia="zh-CN"/>
                    </w:rPr>
                    <w:t>）</w:t>
                  </w:r>
                  <w:r>
                    <w:rPr>
                      <w:rFonts w:hint="default" w:ascii="Times New Roman" w:hAnsi="Times New Roman" w:eastAsia="宋体" w:cs="Times New Roman"/>
                      <w:color w:val="auto"/>
                      <w:spacing w:val="-3"/>
                      <w:kern w:val="0"/>
                      <w:sz w:val="21"/>
                      <w:szCs w:val="21"/>
                      <w:highlight w:val="none"/>
                      <w:lang w:val="zh-CN"/>
                    </w:rPr>
                    <w:t>落实最严格的水资源管理制度，实行水资源消耗总量和强度双控。</w:t>
                  </w:r>
                </w:p>
                <w:p w14:paraId="42ED7188">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kern w:val="0"/>
                      <w:sz w:val="21"/>
                      <w:szCs w:val="21"/>
                      <w:highlight w:val="none"/>
                    </w:rPr>
                    <w:t>2</w:t>
                  </w:r>
                  <w:r>
                    <w:rPr>
                      <w:rFonts w:hint="default" w:ascii="Times New Roman" w:hAnsi="Times New Roman" w:eastAsia="宋体" w:cs="Times New Roman"/>
                      <w:color w:val="auto"/>
                      <w:spacing w:val="-3"/>
                      <w:kern w:val="0"/>
                      <w:sz w:val="21"/>
                      <w:szCs w:val="21"/>
                      <w:highlight w:val="none"/>
                      <w:lang w:eastAsia="zh-CN"/>
                    </w:rPr>
                    <w:t>）</w:t>
                  </w:r>
                  <w:r>
                    <w:rPr>
                      <w:rFonts w:hint="default" w:ascii="Times New Roman" w:hAnsi="Times New Roman" w:eastAsia="宋体" w:cs="Times New Roman"/>
                      <w:color w:val="auto"/>
                      <w:spacing w:val="-3"/>
                      <w:kern w:val="0"/>
                      <w:sz w:val="21"/>
                      <w:szCs w:val="21"/>
                      <w:highlight w:val="none"/>
                      <w:lang w:val="zh-CN"/>
                    </w:rPr>
                    <w:t>全面推行清洁生产，依法在“双超双有高耗能”行业实施强制性清洁生产审核。</w:t>
                  </w:r>
                </w:p>
              </w:tc>
              <w:tc>
                <w:tcPr>
                  <w:tcW w:w="1300" w:type="pct"/>
                  <w:noWrap w:val="0"/>
                  <w:vAlign w:val="center"/>
                </w:tcPr>
                <w:p w14:paraId="3DDA4178">
                  <w:pPr>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lang w:val="en-US" w:eastAsia="zh-CN"/>
                    </w:rPr>
                    <w:t>1.</w:t>
                  </w:r>
                  <w:r>
                    <w:rPr>
                      <w:rFonts w:hint="eastAsia" w:ascii="Times New Roman" w:hAnsi="Times New Roman" w:eastAsia="宋体" w:cs="Times New Roman"/>
                      <w:color w:val="auto"/>
                      <w:sz w:val="21"/>
                      <w:szCs w:val="21"/>
                      <w:highlight w:val="none"/>
                      <w:lang w:val="en-US" w:eastAsia="zh-CN"/>
                    </w:rPr>
                    <w:t>本项目不开采地下水，用水由市政管网提供，用电由市政提供。</w:t>
                  </w:r>
                </w:p>
                <w:p w14:paraId="1A93980B">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2.本项目不属于双超双有高耗能行业</w:t>
                  </w:r>
                </w:p>
                <w:p w14:paraId="2C3EE19B">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3.本项目选择节水器具</w:t>
                  </w:r>
                </w:p>
                <w:p w14:paraId="09557D52">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4.本项目燃料为生物质气，不耗煤</w:t>
                  </w:r>
                </w:p>
                <w:p w14:paraId="685F5CC6">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5.本项目占地位于园区占地范围内，不消耗土地资源，用水为市政管网提供，不开采地下水资源</w:t>
                  </w:r>
                </w:p>
                <w:p w14:paraId="32F20824">
                  <w:pP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6.（1）本项目不开采地下水</w:t>
                  </w:r>
                </w:p>
                <w:p w14:paraId="29D852AD">
                  <w:pPr>
                    <w:rPr>
                      <w:rFonts w:hint="default" w:eastAsia="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（2）本项目不属于</w:t>
                  </w:r>
                  <w:r>
                    <w:rPr>
                      <w:rFonts w:hint="default" w:ascii="Times New Roman" w:hAnsi="Times New Roman" w:eastAsia="宋体" w:cs="Times New Roman"/>
                      <w:color w:val="auto"/>
                      <w:sz w:val="21"/>
                      <w:szCs w:val="21"/>
                      <w:highlight w:val="none"/>
                      <w:lang w:val="zh-CN"/>
                    </w:rPr>
                    <w:t>“双超双有高耗能”行业</w:t>
                  </w:r>
                </w:p>
              </w:tc>
            </w:tr>
          </w:tbl>
          <w:p w14:paraId="687FE342">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cs="Times New Roman"/>
                <w:color w:val="auto"/>
                <w:kern w:val="0"/>
                <w:szCs w:val="21"/>
                <w:highlight w:val="none"/>
              </w:rPr>
            </w:pPr>
          </w:p>
          <w:p w14:paraId="2473C79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本项目选址位于项目位于</w:t>
            </w:r>
            <w:r>
              <w:rPr>
                <w:rFonts w:hint="eastAsia" w:ascii="Times New Roman" w:hAnsi="Times New Roman" w:cs="Times New Roman"/>
                <w:color w:val="auto"/>
                <w:kern w:val="0"/>
                <w:sz w:val="24"/>
                <w:szCs w:val="24"/>
                <w:highlight w:val="none"/>
                <w:lang w:val="en-US" w:eastAsia="zh-CN"/>
              </w:rPr>
              <w:t>黑龙江省伊春市嘉荫县经济开发区小微企业基地内西南角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snapToGrid w:val="0"/>
                <w:color w:val="auto"/>
                <w:kern w:val="0"/>
                <w:sz w:val="24"/>
                <w:szCs w:val="24"/>
                <w:highlight w:val="none"/>
              </w:rPr>
              <w:t>本项目选址占地性质为</w:t>
            </w:r>
            <w:r>
              <w:rPr>
                <w:rFonts w:hint="eastAsia" w:ascii="Times New Roman" w:hAnsi="Times New Roman" w:cs="Times New Roman"/>
                <w:snapToGrid w:val="0"/>
                <w:color w:val="auto"/>
                <w:kern w:val="0"/>
                <w:sz w:val="24"/>
                <w:szCs w:val="24"/>
                <w:highlight w:val="none"/>
                <w:lang w:val="en-US" w:eastAsia="zh-CN"/>
              </w:rPr>
              <w:t>工业</w:t>
            </w:r>
            <w:r>
              <w:rPr>
                <w:rFonts w:hint="default" w:ascii="Times New Roman" w:hAnsi="Times New Roman" w:cs="Times New Roman"/>
                <w:snapToGrid w:val="0"/>
                <w:color w:val="auto"/>
                <w:kern w:val="0"/>
                <w:sz w:val="24"/>
                <w:szCs w:val="24"/>
                <w:highlight w:val="none"/>
                <w:lang w:eastAsia="zh-CN"/>
              </w:rPr>
              <w:t>用地</w:t>
            </w:r>
            <w:r>
              <w:rPr>
                <w:rFonts w:hint="default" w:ascii="Times New Roman" w:hAnsi="Times New Roman" w:cs="Times New Roman"/>
                <w:snapToGrid w:val="0"/>
                <w:color w:val="auto"/>
                <w:kern w:val="0"/>
                <w:sz w:val="24"/>
                <w:szCs w:val="24"/>
                <w:highlight w:val="none"/>
              </w:rPr>
              <w:t>，并采取了有效、可行的污染治理措施，各项污染物均可达标排放，本项目建设对周围环境影响较小，因此本项目符合</w:t>
            </w:r>
            <w:r>
              <w:rPr>
                <w:rFonts w:hint="eastAsia" w:ascii="Times New Roman" w:hAnsi="Times New Roman" w:cs="Times New Roman"/>
                <w:color w:val="auto"/>
                <w:kern w:val="0"/>
                <w:sz w:val="24"/>
                <w:szCs w:val="24"/>
                <w:highlight w:val="none"/>
              </w:rPr>
              <w:t>《伊春市人民政府关于实施“三线一单”生态环境分区管控意见》伊政规〔2021〕6号</w:t>
            </w:r>
            <w:r>
              <w:rPr>
                <w:rFonts w:hint="default" w:ascii="Times New Roman" w:hAnsi="Times New Roman" w:cs="Times New Roman"/>
                <w:snapToGrid w:val="0"/>
                <w:color w:val="auto"/>
                <w:kern w:val="0"/>
                <w:sz w:val="24"/>
                <w:szCs w:val="24"/>
                <w:highlight w:val="none"/>
              </w:rPr>
              <w:t>以及</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cs="Times New Roman"/>
                <w:snapToGrid w:val="0"/>
                <w:color w:val="auto"/>
                <w:kern w:val="0"/>
                <w:sz w:val="24"/>
                <w:szCs w:val="24"/>
                <w:highlight w:val="none"/>
              </w:rPr>
              <w:t>中要求。</w:t>
            </w:r>
          </w:p>
          <w:p w14:paraId="5814C4A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bidi="ar-SA"/>
              </w:rPr>
              <w:t>2、</w:t>
            </w:r>
            <w:r>
              <w:rPr>
                <w:rFonts w:hint="default" w:ascii="Times New Roman" w:hAnsi="Times New Roman" w:cs="Times New Roman"/>
                <w:color w:val="auto"/>
                <w:kern w:val="0"/>
                <w:sz w:val="24"/>
                <w:szCs w:val="24"/>
                <w:lang w:val="en-US" w:eastAsia="zh-CN"/>
              </w:rPr>
              <w:t>产业政策符合性分析：</w:t>
            </w:r>
          </w:p>
          <w:p w14:paraId="47AE315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根据《产业结构调整指导目录》</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2024年</w:t>
            </w:r>
            <w:r>
              <w:rPr>
                <w:rFonts w:hint="default" w:ascii="Times New Roman" w:hAnsi="Times New Roman" w:eastAsia="宋体" w:cs="Times New Roman"/>
                <w:color w:val="auto"/>
                <w:kern w:val="0"/>
                <w:sz w:val="24"/>
                <w:szCs w:val="24"/>
                <w:lang w:val="en-US" w:eastAsia="zh-CN"/>
              </w:rPr>
              <w:t>本</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本</w:t>
            </w:r>
            <w:r>
              <w:rPr>
                <w:rFonts w:hint="default" w:ascii="Times New Roman" w:hAnsi="Times New Roman" w:eastAsia="宋体" w:cs="Times New Roman"/>
                <w:color w:val="auto"/>
                <w:kern w:val="0"/>
                <w:sz w:val="24"/>
                <w:szCs w:val="24"/>
                <w:lang w:val="en-US" w:eastAsia="zh-CN"/>
              </w:rPr>
              <w:t>项目</w:t>
            </w:r>
            <w:r>
              <w:rPr>
                <w:rFonts w:hint="eastAsia" w:cs="Times New Roman"/>
                <w:color w:val="auto"/>
                <w:kern w:val="0"/>
                <w:sz w:val="24"/>
                <w:szCs w:val="24"/>
                <w:lang w:val="en-US" w:eastAsia="zh-CN"/>
              </w:rPr>
              <w:t>为热力生产供应项目，</w:t>
            </w:r>
            <w:r>
              <w:rPr>
                <w:rFonts w:hint="default" w:ascii="Times New Roman" w:hAnsi="Times New Roman" w:eastAsia="宋体" w:cs="Times New Roman"/>
                <w:color w:val="auto"/>
                <w:kern w:val="0"/>
                <w:sz w:val="24"/>
                <w:szCs w:val="24"/>
                <w:lang w:val="en-US" w:eastAsia="zh-CN"/>
              </w:rPr>
              <w:t>不属于鼓励、</w:t>
            </w:r>
            <w:r>
              <w:rPr>
                <w:rFonts w:hint="eastAsia" w:ascii="Times New Roman" w:hAnsi="Times New Roman" w:eastAsia="宋体" w:cs="Times New Roman"/>
                <w:color w:val="auto"/>
                <w:kern w:val="0"/>
                <w:sz w:val="24"/>
                <w:szCs w:val="24"/>
                <w:lang w:val="en-US" w:eastAsia="zh-CN"/>
              </w:rPr>
              <w:t>限制</w:t>
            </w:r>
            <w:r>
              <w:rPr>
                <w:rFonts w:hint="default" w:ascii="Times New Roman" w:hAnsi="Times New Roman" w:eastAsia="宋体" w:cs="Times New Roman"/>
                <w:color w:val="auto"/>
                <w:kern w:val="0"/>
                <w:sz w:val="24"/>
                <w:szCs w:val="24"/>
                <w:lang w:val="en-US" w:eastAsia="zh-CN"/>
              </w:rPr>
              <w:t>、禁止类项目，为允许类项目，因此本项目的建设符合国家产业政策。</w:t>
            </w:r>
          </w:p>
          <w:p w14:paraId="3BBC40F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bidi="ar-SA"/>
              </w:rPr>
              <w:t>3、</w:t>
            </w:r>
            <w:r>
              <w:rPr>
                <w:rFonts w:hint="default" w:ascii="Times New Roman" w:hAnsi="Times New Roman" w:cs="Times New Roman"/>
                <w:color w:val="auto"/>
                <w:kern w:val="0"/>
                <w:sz w:val="24"/>
                <w:szCs w:val="24"/>
                <w:highlight w:val="none"/>
                <w:lang w:val="en-US" w:eastAsia="zh-CN"/>
              </w:rPr>
              <w:t>选址合理性分析</w:t>
            </w:r>
          </w:p>
          <w:p w14:paraId="586424E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本项目位于</w:t>
            </w:r>
            <w:r>
              <w:rPr>
                <w:rFonts w:hint="eastAsia" w:cs="Times New Roman"/>
                <w:color w:val="auto"/>
                <w:sz w:val="24"/>
                <w:szCs w:val="24"/>
                <w:highlight w:val="none"/>
                <w:lang w:val="en-US" w:eastAsia="zh-CN"/>
              </w:rPr>
              <w:t>黑龙江省伊春市嘉荫县经济开发区小微企业基地内西南角</w:t>
            </w:r>
            <w:r>
              <w:rPr>
                <w:rFonts w:hint="default" w:ascii="Times New Roman" w:hAnsi="Times New Roman" w:eastAsia="宋体" w:cs="Times New Roman"/>
                <w:color w:val="auto"/>
                <w:kern w:val="2"/>
                <w:sz w:val="24"/>
                <w:szCs w:val="24"/>
                <w:highlight w:val="none"/>
                <w:lang w:val="en-US" w:eastAsia="zh-CN" w:bidi="ar"/>
              </w:rPr>
              <w:t>，用地性质为工业用地，行业类别与用地性质相符</w:t>
            </w:r>
            <w:r>
              <w:rPr>
                <w:rFonts w:hint="eastAsia" w:ascii="Times New Roman" w:hAnsi="Times New Roman" w:eastAsia="宋体" w:cs="Times New Roman"/>
                <w:color w:val="auto"/>
                <w:kern w:val="2"/>
                <w:sz w:val="24"/>
                <w:szCs w:val="24"/>
                <w:highlight w:val="none"/>
                <w:lang w:val="en-US" w:eastAsia="zh-CN" w:bidi="ar"/>
              </w:rPr>
              <w:t>，项目</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kern w:val="2"/>
                <w:sz w:val="24"/>
                <w:szCs w:val="24"/>
                <w:highlight w:val="none"/>
                <w:lang w:val="en-US" w:eastAsia="zh-CN" w:bidi="ar-SA"/>
              </w:rPr>
              <w:t>空地</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西侧</w:t>
            </w:r>
            <w:r>
              <w:rPr>
                <w:rFonts w:hint="default" w:ascii="Times New Roman" w:hAnsi="Times New Roman" w:eastAsia="宋体" w:cs="Times New Roman"/>
                <w:color w:val="auto"/>
                <w:kern w:val="2"/>
                <w:sz w:val="24"/>
                <w:szCs w:val="24"/>
                <w:highlight w:val="none"/>
                <w:lang w:val="en-US" w:eastAsia="zh-CN" w:bidi="ar-SA"/>
              </w:rPr>
              <w:t>为</w:t>
            </w:r>
            <w:r>
              <w:rPr>
                <w:rFonts w:hint="eastAsia" w:ascii="Times New Roman" w:hAnsi="Times New Roman" w:eastAsia="宋体" w:cs="Times New Roman"/>
                <w:color w:val="auto"/>
                <w:kern w:val="2"/>
                <w:sz w:val="24"/>
                <w:szCs w:val="24"/>
                <w:highlight w:val="none"/>
                <w:lang w:val="en-US" w:eastAsia="zh-CN" w:bidi="ar-SA"/>
              </w:rPr>
              <w:t>空地</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南侧为</w:t>
            </w:r>
            <w:r>
              <w:rPr>
                <w:rFonts w:hint="eastAsia" w:cs="Times New Roman"/>
                <w:color w:val="auto"/>
                <w:kern w:val="2"/>
                <w:sz w:val="24"/>
                <w:szCs w:val="24"/>
                <w:highlight w:val="none"/>
                <w:lang w:val="en-US" w:eastAsia="zh-CN" w:bidi="ar-SA"/>
              </w:rPr>
              <w:t>永安西河</w:t>
            </w:r>
            <w:r>
              <w:rPr>
                <w:rFonts w:hint="eastAsia" w:ascii="Times New Roman" w:hAnsi="Times New Roman" w:eastAsia="宋体" w:cs="Times New Roman"/>
                <w:color w:val="auto"/>
                <w:kern w:val="2"/>
                <w:sz w:val="24"/>
                <w:szCs w:val="24"/>
                <w:highlight w:val="none"/>
                <w:lang w:val="en-US" w:eastAsia="zh-CN" w:bidi="ar-SA"/>
              </w:rPr>
              <w:t>，东侧为</w:t>
            </w:r>
            <w:r>
              <w:rPr>
                <w:rFonts w:hint="eastAsia" w:cs="Times New Roman"/>
                <w:color w:val="auto"/>
                <w:kern w:val="2"/>
                <w:sz w:val="24"/>
                <w:szCs w:val="24"/>
                <w:highlight w:val="none"/>
                <w:lang w:val="en-US" w:eastAsia="zh-CN" w:bidi="ar-SA"/>
              </w:rPr>
              <w:t>空地</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本项目烟气经</w:t>
            </w:r>
            <w:r>
              <w:rPr>
                <w:rFonts w:hint="eastAsia" w:cs="Times New Roman"/>
                <w:color w:val="auto"/>
                <w:sz w:val="24"/>
                <w:szCs w:val="24"/>
                <w:highlight w:val="none"/>
                <w:lang w:val="en-US" w:eastAsia="zh-CN"/>
              </w:rPr>
              <w:t>多管除尘器+</w:t>
            </w:r>
            <w:r>
              <w:rPr>
                <w:rFonts w:hint="eastAsia" w:ascii="Times New Roman" w:hAnsi="Times New Roman" w:eastAsia="宋体" w:cs="Times New Roman"/>
                <w:color w:val="auto"/>
                <w:sz w:val="24"/>
                <w:szCs w:val="24"/>
                <w:highlight w:val="none"/>
                <w:lang w:val="en-US" w:eastAsia="zh-CN"/>
              </w:rPr>
              <w:t>布袋除尘器</w:t>
            </w:r>
            <w:r>
              <w:rPr>
                <w:rFonts w:hint="eastAsia" w:cs="Times New Roman"/>
                <w:color w:val="auto"/>
                <w:sz w:val="24"/>
                <w:szCs w:val="24"/>
                <w:highlight w:val="none"/>
                <w:lang w:val="en-US" w:eastAsia="zh-CN"/>
              </w:rPr>
              <w:t>+低氮燃烧器</w:t>
            </w:r>
            <w:r>
              <w:rPr>
                <w:rFonts w:hint="eastAsia" w:ascii="Times New Roman" w:hAnsi="Times New Roman" w:eastAsia="宋体" w:cs="Times New Roman"/>
                <w:color w:val="auto"/>
                <w:sz w:val="24"/>
                <w:szCs w:val="24"/>
                <w:highlight w:val="none"/>
                <w:lang w:val="en-US" w:eastAsia="zh-CN"/>
              </w:rPr>
              <w:t>处理后经15m高烟囱排放，</w:t>
            </w:r>
            <w:r>
              <w:rPr>
                <w:rFonts w:hint="eastAsia" w:cs="Times New Roman"/>
                <w:color w:val="auto"/>
                <w:sz w:val="24"/>
                <w:szCs w:val="24"/>
                <w:highlight w:val="none"/>
                <w:lang w:val="en-US" w:eastAsia="zh-CN"/>
              </w:rPr>
              <w:t>污染物排放满足</w:t>
            </w:r>
            <w:r>
              <w:rPr>
                <w:rFonts w:hint="eastAsia" w:ascii="Times New Roman" w:hAnsi="Times New Roman" w:eastAsia="宋体" w:cs="Times New Roman"/>
                <w:color w:val="auto"/>
                <w:sz w:val="24"/>
                <w:szCs w:val="24"/>
                <w:highlight w:val="none"/>
                <w:lang w:val="en-US" w:eastAsia="zh-CN"/>
              </w:rPr>
              <w:t>《锅炉大气污染物排放标准》（GB13271-2014）表2燃</w:t>
            </w:r>
            <w:r>
              <w:rPr>
                <w:rFonts w:hint="eastAsia" w:cs="Times New Roman"/>
                <w:color w:val="auto"/>
                <w:sz w:val="24"/>
                <w:szCs w:val="24"/>
                <w:highlight w:val="none"/>
                <w:lang w:val="en-US" w:eastAsia="zh-CN"/>
              </w:rPr>
              <w:t>气</w:t>
            </w:r>
            <w:r>
              <w:rPr>
                <w:rFonts w:hint="eastAsia" w:ascii="Times New Roman" w:hAnsi="Times New Roman" w:eastAsia="宋体" w:cs="Times New Roman"/>
                <w:color w:val="auto"/>
                <w:sz w:val="24"/>
                <w:szCs w:val="24"/>
                <w:highlight w:val="none"/>
                <w:lang w:val="en-US" w:eastAsia="zh-CN"/>
              </w:rPr>
              <w:t>锅炉大气污染物排放限值要求。采取措施后厂区内污染物排放量小，对环境空气影响较小，</w:t>
            </w:r>
            <w:r>
              <w:rPr>
                <w:rFonts w:hint="default" w:ascii="Times New Roman" w:hAnsi="Times New Roman" w:cs="Times New Roman"/>
                <w:color w:val="auto"/>
                <w:sz w:val="24"/>
                <w:szCs w:val="24"/>
                <w:highlight w:val="none"/>
                <w:lang w:val="en-US" w:eastAsia="zh-CN"/>
              </w:rPr>
              <w:t>不会对周围居民生活造成明显影响。综上所述，本项目选址较为合理。</w:t>
            </w:r>
          </w:p>
          <w:p w14:paraId="3D49BA22">
            <w:pPr>
              <w:pStyle w:val="36"/>
              <w:rPr>
                <w:rFonts w:hint="default"/>
                <w:color w:val="auto"/>
                <w:lang w:val="en-US" w:eastAsia="zh-CN"/>
              </w:rPr>
            </w:pPr>
            <w:r>
              <w:rPr>
                <w:rFonts w:hint="eastAsia" w:ascii="Times New Roman" w:hAnsi="Times New Roman"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、与《黑龙江省大气污染防治行动计划实施细则》符合性分析</w:t>
            </w:r>
          </w:p>
          <w:p w14:paraId="7680BF7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14:paraId="419ECC5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电力、冶金、石油石化、建材、焦化等重点行业，不属于钢铁、水泥、平板玻璃、电解铝等严重过剩产能项目，不属于上述高污染、高耗能行业，本项目燃生物质</w:t>
            </w:r>
            <w:r>
              <w:rPr>
                <w:rFonts w:hint="eastAsia" w:cs="Times New Roman"/>
                <w:color w:val="auto"/>
                <w:sz w:val="24"/>
                <w:szCs w:val="24"/>
                <w:highlight w:val="none"/>
                <w:lang w:val="en-US" w:eastAsia="zh-CN"/>
              </w:rPr>
              <w:t>气锅炉</w:t>
            </w:r>
            <w:r>
              <w:rPr>
                <w:rFonts w:hint="eastAsia" w:ascii="Times New Roman" w:hAnsi="Times New Roman" w:eastAsia="宋体" w:cs="Times New Roman"/>
                <w:color w:val="auto"/>
                <w:sz w:val="24"/>
                <w:szCs w:val="24"/>
                <w:highlight w:val="none"/>
                <w:lang w:val="en-US" w:eastAsia="zh-CN"/>
              </w:rPr>
              <w:t>烟气经</w:t>
            </w:r>
            <w:r>
              <w:rPr>
                <w:rFonts w:hint="eastAsia" w:cs="Times New Roman"/>
                <w:color w:val="auto"/>
                <w:sz w:val="24"/>
                <w:szCs w:val="24"/>
                <w:highlight w:val="none"/>
                <w:lang w:val="en-US" w:eastAsia="zh-CN"/>
              </w:rPr>
              <w:t>多管+</w:t>
            </w:r>
            <w:r>
              <w:rPr>
                <w:rFonts w:hint="eastAsia" w:ascii="Times New Roman" w:hAnsi="Times New Roman" w:eastAsia="宋体" w:cs="Times New Roman"/>
                <w:color w:val="auto"/>
                <w:sz w:val="24"/>
                <w:szCs w:val="24"/>
                <w:highlight w:val="none"/>
                <w:lang w:val="en-US" w:eastAsia="zh-CN"/>
              </w:rPr>
              <w:t>布袋除尘器</w:t>
            </w:r>
            <w:r>
              <w:rPr>
                <w:rFonts w:hint="eastAsia" w:cs="Times New Roman"/>
                <w:color w:val="auto"/>
                <w:sz w:val="24"/>
                <w:szCs w:val="24"/>
                <w:highlight w:val="none"/>
                <w:lang w:val="en-US" w:eastAsia="zh-CN"/>
              </w:rPr>
              <w:t>+低氮燃烧器</w:t>
            </w:r>
            <w:r>
              <w:rPr>
                <w:rFonts w:hint="eastAsia" w:ascii="Times New Roman" w:hAnsi="Times New Roman" w:eastAsia="宋体" w:cs="Times New Roman"/>
                <w:color w:val="auto"/>
                <w:sz w:val="24"/>
                <w:szCs w:val="24"/>
                <w:highlight w:val="none"/>
                <w:lang w:val="en-US" w:eastAsia="zh-CN"/>
              </w:rPr>
              <w:t>处理后经15m高烟囱排放，</w:t>
            </w:r>
            <w:r>
              <w:rPr>
                <w:rFonts w:hint="eastAsia" w:cs="Times New Roman"/>
                <w:color w:val="auto"/>
                <w:sz w:val="24"/>
                <w:szCs w:val="24"/>
                <w:highlight w:val="none"/>
                <w:lang w:val="en-US" w:eastAsia="zh-CN"/>
              </w:rPr>
              <w:t>污染物排放满足</w:t>
            </w:r>
            <w:r>
              <w:rPr>
                <w:rFonts w:hint="eastAsia" w:ascii="Times New Roman" w:hAnsi="Times New Roman" w:eastAsia="宋体" w:cs="Times New Roman"/>
                <w:color w:val="auto"/>
                <w:sz w:val="24"/>
                <w:szCs w:val="24"/>
                <w:highlight w:val="none"/>
                <w:lang w:val="en-US" w:eastAsia="zh-CN"/>
              </w:rPr>
              <w:t>《锅炉大气污染物排放标准》（GB13271-2014）表2燃</w:t>
            </w:r>
            <w:r>
              <w:rPr>
                <w:rFonts w:hint="eastAsia" w:cs="Times New Roman"/>
                <w:color w:val="auto"/>
                <w:sz w:val="24"/>
                <w:szCs w:val="24"/>
                <w:highlight w:val="none"/>
                <w:lang w:val="en-US" w:eastAsia="zh-CN"/>
              </w:rPr>
              <w:t>气</w:t>
            </w:r>
            <w:r>
              <w:rPr>
                <w:rFonts w:hint="eastAsia" w:ascii="Times New Roman" w:hAnsi="Times New Roman" w:eastAsia="宋体" w:cs="Times New Roman"/>
                <w:color w:val="auto"/>
                <w:sz w:val="24"/>
                <w:szCs w:val="24"/>
                <w:highlight w:val="none"/>
                <w:lang w:val="en-US" w:eastAsia="zh-CN"/>
              </w:rPr>
              <w:t>锅炉大气污染物排放限值要求。采取措施后厂区内污染物排放量小，对环境空气影响较小，因此本项目符合《黑龙江省大气污染防治行动计划实施细则》要求。</w:t>
            </w:r>
          </w:p>
          <w:p w14:paraId="00AFF0D6">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、与《伊春市空气质量持续改善行动计划实施方案》合理性分析</w:t>
            </w:r>
          </w:p>
          <w:p w14:paraId="704A7C16">
            <w:pPr>
              <w:pStyle w:val="36"/>
              <w:ind w:firstLine="480"/>
              <w:rPr>
                <w:rFonts w:hint="default" w:ascii="Times New Roman" w:hAnsi="Times New Roman" w:eastAsia="宋体" w:cs="Times New Roman"/>
                <w:color w:val="auto"/>
              </w:rPr>
            </w:pPr>
            <w:r>
              <w:rPr>
                <w:rFonts w:hint="default" w:ascii="Times New Roman" w:hAnsi="Times New Roman" w:cs="Times New Roman"/>
                <w:color w:val="auto"/>
                <w:kern w:val="0"/>
                <w:sz w:val="24"/>
              </w:rPr>
              <w:t>实施方案</w:t>
            </w:r>
            <w:r>
              <w:rPr>
                <w:rFonts w:hint="default" w:ascii="Times New Roman" w:hAnsi="Times New Roman" w:cs="Times New Roman"/>
                <w:color w:val="auto"/>
                <w:kern w:val="0"/>
                <w:sz w:val="24"/>
                <w:lang w:val="en-US" w:eastAsia="zh-CN"/>
              </w:rPr>
              <w:t>中提出</w:t>
            </w:r>
            <w:r>
              <w:rPr>
                <w:rFonts w:hint="default" w:ascii="Times New Roman" w:hAnsi="Times New Roman" w:cs="Times New Roman"/>
                <w:color w:val="auto"/>
              </w:rPr>
              <w:t>积极推进燃煤锅炉淘汰改造。各县</w:t>
            </w:r>
            <w:r>
              <w:rPr>
                <w:rFonts w:hint="eastAsia" w:ascii="Times New Roman" w:hAnsi="Times New Roman" w:cs="Times New Roman"/>
                <w:color w:val="auto"/>
                <w:lang w:eastAsia="zh-CN"/>
              </w:rPr>
              <w:t>（</w:t>
            </w:r>
            <w:r>
              <w:rPr>
                <w:rFonts w:hint="default" w:ascii="Times New Roman" w:hAnsi="Times New Roman" w:cs="Times New Roman"/>
                <w:color w:val="auto"/>
              </w:rPr>
              <w:t>市</w:t>
            </w:r>
            <w:r>
              <w:rPr>
                <w:rFonts w:hint="eastAsia" w:ascii="Times New Roman" w:hAnsi="Times New Roman" w:cs="Times New Roman"/>
                <w:color w:val="auto"/>
                <w:lang w:eastAsia="zh-CN"/>
              </w:rPr>
              <w:t>）</w:t>
            </w:r>
            <w:r>
              <w:rPr>
                <w:rFonts w:hint="default" w:ascii="Times New Roman" w:hAnsi="Times New Roman" w:cs="Times New Roman"/>
                <w:color w:val="auto"/>
              </w:rPr>
              <w:t>区要将燃煤供热锅炉替代项目纳入城镇供热规划。县级及以上城市建成区原则上不再新建35蒸吨/小时及以下燃煤锅炉</w:t>
            </w:r>
            <w:r>
              <w:rPr>
                <w:rFonts w:hint="eastAsia" w:ascii="Times New Roman" w:hAnsi="Times New Roman" w:cs="Times New Roman"/>
                <w:color w:val="auto"/>
                <w:lang w:eastAsia="zh-CN"/>
              </w:rPr>
              <w:t>，</w:t>
            </w:r>
            <w:r>
              <w:rPr>
                <w:rFonts w:hint="default" w:ascii="Times New Roman" w:hAnsi="Times New Roman" w:cs="Times New Roman"/>
                <w:color w:val="auto"/>
              </w:rPr>
              <w:t>其他地区原则上不再新建10蒸吨/小时及以下燃煤锅炉。加快热力管网建设，依托电厂、大型工业企业开展远距离供热示范，充分释放热电联产、工业余热等</w:t>
            </w:r>
            <w:r>
              <w:rPr>
                <w:rFonts w:hint="default" w:ascii="Times New Roman" w:hAnsi="Times New Roman" w:eastAsia="宋体" w:cs="Times New Roman"/>
                <w:color w:val="auto"/>
              </w:rPr>
              <w:t>供热能力，淘汰管网覆盖范围内的供热燃煤锅炉和散煤。</w:t>
            </w:r>
          </w:p>
          <w:p w14:paraId="00B3A070">
            <w:pPr>
              <w:pStyle w:val="3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本项目使用生物质</w:t>
            </w:r>
            <w:r>
              <w:rPr>
                <w:rFonts w:hint="eastAsia" w:ascii="Times New Roman" w:hAnsi="Times New Roman" w:eastAsia="宋体" w:cs="Times New Roman"/>
                <w:color w:val="auto"/>
                <w:lang w:val="en-US" w:eastAsia="zh-CN"/>
              </w:rPr>
              <w:t>气</w:t>
            </w:r>
            <w:r>
              <w:rPr>
                <w:rFonts w:hint="default" w:ascii="Times New Roman" w:hAnsi="Times New Roman" w:eastAsia="宋体" w:cs="Times New Roman"/>
                <w:color w:val="auto"/>
                <w:lang w:val="en-US" w:eastAsia="zh-CN"/>
              </w:rPr>
              <w:t>燃料，建设</w:t>
            </w:r>
            <w:r>
              <w:rPr>
                <w:rFonts w:hint="eastAsia" w:ascii="Times New Roman" w:hAnsi="Times New Roman" w:eastAsia="宋体" w:cs="Times New Roman"/>
                <w:color w:val="auto"/>
                <w:lang w:val="en-US" w:eastAsia="zh-CN"/>
              </w:rPr>
              <w:t>8t</w:t>
            </w:r>
            <w:r>
              <w:rPr>
                <w:rFonts w:hint="default" w:ascii="Times New Roman" w:hAnsi="Times New Roman" w:eastAsia="宋体" w:cs="Times New Roman"/>
                <w:color w:val="auto"/>
              </w:rPr>
              <w:t>燃生物质</w:t>
            </w:r>
            <w:r>
              <w:rPr>
                <w:rFonts w:hint="eastAsia" w:ascii="Times New Roman" w:hAnsi="Times New Roman" w:eastAsia="宋体" w:cs="Times New Roman"/>
                <w:color w:val="auto"/>
                <w:lang w:val="en-US" w:eastAsia="zh-CN"/>
              </w:rPr>
              <w:t>气蒸汽</w:t>
            </w:r>
            <w:r>
              <w:rPr>
                <w:rFonts w:hint="default" w:ascii="Times New Roman" w:hAnsi="Times New Roman" w:eastAsia="宋体" w:cs="Times New Roman"/>
                <w:color w:val="auto"/>
              </w:rPr>
              <w:t>锅炉</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锅炉烟气经除尘效率为</w:t>
            </w:r>
            <w:r>
              <w:rPr>
                <w:rFonts w:hint="eastAsia" w:ascii="Times New Roman" w:hAnsi="Times New Roman" w:eastAsia="宋体" w:cs="Times New Roman"/>
                <w:color w:val="auto"/>
                <w:lang w:val="en-US" w:eastAsia="zh-CN"/>
              </w:rPr>
              <w:t>多管除尘+</w:t>
            </w:r>
            <w:r>
              <w:rPr>
                <w:rFonts w:hint="default" w:ascii="Times New Roman" w:hAnsi="Times New Roman" w:eastAsia="宋体" w:cs="Times New Roman"/>
                <w:color w:val="auto"/>
              </w:rPr>
              <w:t>布袋除尘器+低氮燃烧器处理后，通过</w:t>
            </w:r>
            <w:r>
              <w:rPr>
                <w:rFonts w:hint="eastAsia" w:ascii="Times New Roman" w:hAnsi="Times New Roman" w:eastAsia="宋体" w:cs="Times New Roman"/>
                <w:color w:val="auto"/>
                <w:lang w:val="en-US" w:eastAsia="zh-CN"/>
              </w:rPr>
              <w:t>15</w:t>
            </w:r>
            <w:r>
              <w:rPr>
                <w:rFonts w:hint="default" w:ascii="Times New Roman" w:hAnsi="Times New Roman" w:eastAsia="宋体" w:cs="Times New Roman"/>
                <w:color w:val="auto"/>
              </w:rPr>
              <w:t>m高烟囱排放</w:t>
            </w:r>
          </w:p>
          <w:p w14:paraId="09B864AD">
            <w:pPr>
              <w:pStyle w:val="36"/>
              <w:jc w:val="both"/>
              <w:rPr>
                <w:rFonts w:hint="default" w:ascii="Times New Roman" w:hAnsi="Times New Roman" w:eastAsia="宋体" w:cs="Times New Roman"/>
                <w:color w:val="auto"/>
                <w:sz w:val="24"/>
                <w:szCs w:val="24"/>
                <w:highlight w:val="none"/>
                <w:lang w:val="en-US" w:eastAsia="zh-CN"/>
              </w:rPr>
            </w:pPr>
          </w:p>
          <w:p w14:paraId="1FFD118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Cs w:val="21"/>
                <w:lang w:val="en-US" w:eastAsia="zh-CN"/>
              </w:rPr>
            </w:pPr>
          </w:p>
        </w:tc>
      </w:tr>
    </w:tbl>
    <w:p w14:paraId="00CA1A91">
      <w:pPr>
        <w:spacing w:line="360" w:lineRule="auto"/>
        <w:outlineLvl w:val="9"/>
        <w:rPr>
          <w:rFonts w:hint="default" w:ascii="Times New Roman" w:hAnsi="Times New Roman" w:eastAsia="黑体" w:cs="Times New Roman"/>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46E7B43">
      <w:pPr>
        <w:pStyle w:val="23"/>
        <w:jc w:val="center"/>
        <w:outlineLvl w:val="0"/>
        <w:rPr>
          <w:rFonts w:hint="default" w:ascii="Times New Roman" w:hAnsi="Times New Roman" w:eastAsia="黑体" w:cs="Times New Roman"/>
          <w:snapToGrid w:val="0"/>
          <w:color w:val="auto"/>
          <w:sz w:val="30"/>
          <w:szCs w:val="30"/>
        </w:rPr>
      </w:pPr>
      <w:bookmarkStart w:id="15" w:name="_Toc20837"/>
      <w:bookmarkStart w:id="16" w:name="_Toc3913"/>
      <w:r>
        <w:rPr>
          <w:rFonts w:hint="default" w:ascii="Times New Roman" w:hAnsi="Times New Roman" w:eastAsia="黑体" w:cs="Times New Roman"/>
          <w:snapToGrid w:val="0"/>
          <w:color w:val="auto"/>
          <w:sz w:val="30"/>
          <w:szCs w:val="30"/>
        </w:rPr>
        <w:t>二、建设项目工程分析</w:t>
      </w:r>
      <w:bookmarkEnd w:id="15"/>
      <w:bookmarkEnd w:id="16"/>
    </w:p>
    <w:tbl>
      <w:tblPr>
        <w:tblStyle w:val="28"/>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8802"/>
      </w:tblGrid>
      <w:tr w14:paraId="0CDBD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5" w:hRule="atLeast"/>
          <w:jc w:val="center"/>
        </w:trPr>
        <w:tc>
          <w:tcPr>
            <w:tcW w:w="828" w:type="dxa"/>
            <w:noWrap w:val="0"/>
            <w:vAlign w:val="center"/>
          </w:tcPr>
          <w:p w14:paraId="3998BE85">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232" w:type="dxa"/>
            <w:noWrap w:val="0"/>
            <w:vAlign w:val="center"/>
          </w:tcPr>
          <w:p w14:paraId="6B0A85DD">
            <w:pPr>
              <w:spacing w:line="360" w:lineRule="auto"/>
              <w:rPr>
                <w:rFonts w:hint="default" w:ascii="Times New Roman" w:hAnsi="Times New Roman" w:eastAsia="宋体" w:cs="Times New Roman"/>
                <w:b/>
                <w:color w:val="auto"/>
                <w:kern w:val="0"/>
                <w:sz w:val="24"/>
                <w:szCs w:val="24"/>
              </w:rPr>
            </w:pPr>
            <w:r>
              <w:rPr>
                <w:rFonts w:hint="eastAsia" w:cs="Times New Roman"/>
                <w:b/>
                <w:color w:val="auto"/>
                <w:kern w:val="0"/>
                <w:sz w:val="24"/>
                <w:szCs w:val="24"/>
                <w:lang w:val="en-US" w:eastAsia="zh-CN"/>
              </w:rPr>
              <w:t>1</w:t>
            </w:r>
            <w:r>
              <w:rPr>
                <w:rFonts w:hint="default" w:ascii="Times New Roman" w:hAnsi="Times New Roman" w:eastAsia="宋体" w:cs="Times New Roman"/>
                <w:b/>
                <w:color w:val="auto"/>
                <w:kern w:val="0"/>
                <w:sz w:val="24"/>
                <w:szCs w:val="24"/>
              </w:rPr>
              <w:t>、项目建设内容</w:t>
            </w:r>
          </w:p>
          <w:p w14:paraId="1AF69B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bCs/>
                <w:color w:val="auto"/>
                <w:kern w:val="0"/>
                <w:sz w:val="24"/>
                <w:szCs w:val="24"/>
                <w:highlight w:val="yellow"/>
                <w:lang w:val="en-US" w:eastAsia="zh-CN"/>
              </w:rPr>
            </w:pPr>
            <w:bookmarkStart w:id="17" w:name="_Hlk108069045"/>
            <w:r>
              <w:rPr>
                <w:rFonts w:hint="eastAsia"/>
                <w:color w:val="auto"/>
                <w:kern w:val="0"/>
                <w:sz w:val="24"/>
              </w:rPr>
              <w:t>项目</w:t>
            </w:r>
            <w:r>
              <w:rPr>
                <w:rFonts w:hint="eastAsia"/>
                <w:color w:val="auto"/>
                <w:kern w:val="0"/>
                <w:sz w:val="24"/>
                <w:lang w:val="en-US" w:eastAsia="zh-CN"/>
              </w:rPr>
              <w:t>建设1</w:t>
            </w:r>
            <w:r>
              <w:rPr>
                <w:rFonts w:hint="eastAsia"/>
                <w:color w:val="auto"/>
                <w:kern w:val="0"/>
                <w:sz w:val="24"/>
              </w:rPr>
              <w:t>台2t/h（燃料耗量）生物质气化燃烧炉配</w:t>
            </w:r>
            <w:r>
              <w:rPr>
                <w:rFonts w:hint="eastAsia"/>
                <w:color w:val="auto"/>
                <w:kern w:val="0"/>
                <w:sz w:val="24"/>
                <w:lang w:val="en-US" w:eastAsia="zh-CN"/>
              </w:rPr>
              <w:t>1</w:t>
            </w:r>
            <w:r>
              <w:rPr>
                <w:rFonts w:hint="eastAsia"/>
                <w:color w:val="auto"/>
                <w:kern w:val="0"/>
                <w:sz w:val="24"/>
              </w:rPr>
              <w:t>台8t/h</w:t>
            </w:r>
            <w:r>
              <w:rPr>
                <w:rFonts w:hint="eastAsia"/>
                <w:color w:val="auto"/>
                <w:kern w:val="0"/>
                <w:sz w:val="24"/>
                <w:lang w:val="en-US" w:eastAsia="zh-CN"/>
              </w:rPr>
              <w:t>燃生物质气</w:t>
            </w:r>
            <w:r>
              <w:rPr>
                <w:rFonts w:hint="eastAsia"/>
                <w:color w:val="auto"/>
                <w:kern w:val="0"/>
                <w:sz w:val="24"/>
              </w:rPr>
              <w:t>蒸汽锅炉及1台40MW电热水锅炉（作为供暖备用）</w:t>
            </w:r>
            <w:bookmarkEnd w:id="17"/>
            <w:r>
              <w:rPr>
                <w:rFonts w:hint="eastAsia"/>
                <w:color w:val="auto"/>
                <w:kern w:val="0"/>
                <w:sz w:val="24"/>
                <w:lang w:eastAsia="zh-CN"/>
              </w:rPr>
              <w:t>，</w:t>
            </w:r>
            <w:r>
              <w:rPr>
                <w:rFonts w:hint="eastAsia"/>
                <w:color w:val="auto"/>
                <w:kern w:val="0"/>
                <w:sz w:val="24"/>
                <w:lang w:val="en-US" w:eastAsia="zh-CN"/>
              </w:rPr>
              <w:t>配套建设厂房等设施。</w:t>
            </w:r>
          </w:p>
          <w:p w14:paraId="7DF532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本项目具体组成内容详见下表2-1。</w:t>
            </w:r>
          </w:p>
          <w:p w14:paraId="4FF9D206">
            <w:pPr>
              <w:pStyle w:val="80"/>
              <w:adjustRightInd/>
              <w:snapToGrid/>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2-1 </w:t>
            </w:r>
            <w:r>
              <w:rPr>
                <w:rFonts w:hint="default" w:ascii="Times New Roman" w:hAnsi="Times New Roman" w:eastAsia="宋体" w:cs="Times New Roman"/>
                <w:b/>
                <w:bCs/>
                <w:color w:val="auto"/>
                <w:sz w:val="24"/>
                <w:szCs w:val="24"/>
              </w:rPr>
              <w:t>建设项目组成一览表</w:t>
            </w:r>
          </w:p>
          <w:tbl>
            <w:tblPr>
              <w:tblStyle w:val="28"/>
              <w:tblW w:w="49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497"/>
              <w:gridCol w:w="5596"/>
              <w:gridCol w:w="668"/>
            </w:tblGrid>
            <w:tr w14:paraId="15481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170" w:type="dxa"/>
                  <w:gridSpan w:val="2"/>
                  <w:noWrap w:val="0"/>
                  <w:vAlign w:val="center"/>
                </w:tcPr>
                <w:p w14:paraId="5C38CC74">
                  <w:pPr>
                    <w:spacing w:line="0" w:lineRule="atLeast"/>
                    <w:jc w:val="center"/>
                    <w:rPr>
                      <w:color w:val="auto"/>
                      <w:szCs w:val="21"/>
                    </w:rPr>
                  </w:pPr>
                  <w:bookmarkStart w:id="18" w:name="_Hlk108069065"/>
                  <w:r>
                    <w:rPr>
                      <w:rFonts w:hint="eastAsia"/>
                      <w:color w:val="auto"/>
                      <w:szCs w:val="21"/>
                    </w:rPr>
                    <w:t>建设</w:t>
                  </w:r>
                  <w:r>
                    <w:rPr>
                      <w:color w:val="auto"/>
                      <w:szCs w:val="21"/>
                    </w:rPr>
                    <w:t>内容</w:t>
                  </w:r>
                </w:p>
              </w:tc>
              <w:tc>
                <w:tcPr>
                  <w:tcW w:w="5291" w:type="dxa"/>
                  <w:noWrap w:val="0"/>
                  <w:vAlign w:val="center"/>
                </w:tcPr>
                <w:p w14:paraId="47304E0E">
                  <w:pPr>
                    <w:spacing w:line="0" w:lineRule="atLeast"/>
                    <w:jc w:val="center"/>
                    <w:rPr>
                      <w:color w:val="auto"/>
                      <w:szCs w:val="21"/>
                    </w:rPr>
                  </w:pPr>
                  <w:r>
                    <w:rPr>
                      <w:rFonts w:hint="eastAsia"/>
                      <w:color w:val="auto"/>
                      <w:szCs w:val="21"/>
                    </w:rPr>
                    <w:t>工程内容</w:t>
                  </w:r>
                </w:p>
              </w:tc>
              <w:tc>
                <w:tcPr>
                  <w:tcW w:w="632" w:type="dxa"/>
                  <w:noWrap w:val="0"/>
                  <w:vAlign w:val="center"/>
                </w:tcPr>
                <w:p w14:paraId="4793DA86">
                  <w:pPr>
                    <w:spacing w:line="0" w:lineRule="atLeast"/>
                    <w:jc w:val="center"/>
                    <w:rPr>
                      <w:color w:val="auto"/>
                      <w:szCs w:val="21"/>
                    </w:rPr>
                  </w:pPr>
                  <w:r>
                    <w:rPr>
                      <w:color w:val="auto"/>
                      <w:szCs w:val="21"/>
                    </w:rPr>
                    <w:t>备注</w:t>
                  </w:r>
                </w:p>
              </w:tc>
            </w:tr>
            <w:tr w14:paraId="061ED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55" w:type="dxa"/>
                  <w:noWrap w:val="0"/>
                  <w:vAlign w:val="center"/>
                </w:tcPr>
                <w:p w14:paraId="19B9314D">
                  <w:pPr>
                    <w:spacing w:line="0" w:lineRule="atLeast"/>
                    <w:jc w:val="center"/>
                    <w:rPr>
                      <w:color w:val="auto"/>
                      <w:szCs w:val="21"/>
                    </w:rPr>
                  </w:pPr>
                  <w:r>
                    <w:rPr>
                      <w:color w:val="auto"/>
                      <w:szCs w:val="21"/>
                    </w:rPr>
                    <w:t>主体工程</w:t>
                  </w:r>
                </w:p>
              </w:tc>
              <w:tc>
                <w:tcPr>
                  <w:tcW w:w="1415" w:type="dxa"/>
                  <w:noWrap w:val="0"/>
                  <w:vAlign w:val="center"/>
                </w:tcPr>
                <w:p w14:paraId="0D544A04">
                  <w:pPr>
                    <w:spacing w:line="0" w:lineRule="atLeast"/>
                    <w:jc w:val="center"/>
                    <w:rPr>
                      <w:color w:val="auto"/>
                      <w:szCs w:val="21"/>
                    </w:rPr>
                  </w:pPr>
                  <w:r>
                    <w:rPr>
                      <w:rFonts w:hint="eastAsia"/>
                      <w:color w:val="auto"/>
                      <w:szCs w:val="21"/>
                    </w:rPr>
                    <w:t>锅炉房</w:t>
                  </w:r>
                </w:p>
              </w:tc>
              <w:tc>
                <w:tcPr>
                  <w:tcW w:w="5291" w:type="dxa"/>
                  <w:noWrap w:val="0"/>
                  <w:vAlign w:val="center"/>
                </w:tcPr>
                <w:p w14:paraId="6FA3AC6F">
                  <w:pPr>
                    <w:spacing w:line="0" w:lineRule="atLeast"/>
                    <w:rPr>
                      <w:color w:val="auto"/>
                    </w:rPr>
                  </w:pPr>
                  <w:r>
                    <w:rPr>
                      <w:rFonts w:hint="eastAsia"/>
                      <w:color w:val="auto"/>
                      <w:szCs w:val="21"/>
                    </w:rPr>
                    <w:t>建筑面积</w:t>
                  </w:r>
                  <w:r>
                    <w:rPr>
                      <w:rFonts w:hint="eastAsia"/>
                      <w:color w:val="auto"/>
                      <w:szCs w:val="21"/>
                      <w:lang w:val="en-US" w:eastAsia="zh-CN"/>
                    </w:rPr>
                    <w:t>2706.52</w:t>
                  </w:r>
                  <w:r>
                    <w:rPr>
                      <w:rFonts w:hint="eastAsia"/>
                      <w:color w:val="auto"/>
                      <w:szCs w:val="21"/>
                    </w:rPr>
                    <w:t>m</w:t>
                  </w:r>
                  <w:r>
                    <w:rPr>
                      <w:color w:val="auto"/>
                      <w:szCs w:val="21"/>
                      <w:vertAlign w:val="superscript"/>
                    </w:rPr>
                    <w:t>2</w:t>
                  </w:r>
                  <w:r>
                    <w:rPr>
                      <w:rFonts w:hint="eastAsia"/>
                      <w:color w:val="auto"/>
                      <w:szCs w:val="21"/>
                    </w:rPr>
                    <w:t>，</w:t>
                  </w:r>
                  <w:r>
                    <w:rPr>
                      <w:rFonts w:hint="eastAsia"/>
                      <w:color w:val="auto"/>
                      <w:szCs w:val="21"/>
                      <w:lang w:val="en-US" w:eastAsia="zh-CN"/>
                    </w:rPr>
                    <w:t>高度11.8m，</w:t>
                  </w:r>
                  <w:r>
                    <w:rPr>
                      <w:rFonts w:hint="eastAsia"/>
                      <w:color w:val="auto"/>
                      <w:szCs w:val="21"/>
                    </w:rPr>
                    <w:t>建设1台2t/h（燃料耗量）生物质气化燃烧炉配1台8t/h燃生物质气蒸汽锅炉及1台40MW电热水锅炉（作为供暖备用）</w:t>
                  </w:r>
                </w:p>
              </w:tc>
              <w:tc>
                <w:tcPr>
                  <w:tcW w:w="632" w:type="dxa"/>
                  <w:noWrap w:val="0"/>
                  <w:vAlign w:val="center"/>
                </w:tcPr>
                <w:p w14:paraId="6125F4ED">
                  <w:pPr>
                    <w:spacing w:line="0" w:lineRule="atLeast"/>
                    <w:jc w:val="center"/>
                    <w:rPr>
                      <w:color w:val="auto"/>
                      <w:szCs w:val="21"/>
                    </w:rPr>
                  </w:pPr>
                  <w:r>
                    <w:rPr>
                      <w:rFonts w:hint="eastAsia"/>
                      <w:color w:val="auto"/>
                      <w:szCs w:val="21"/>
                    </w:rPr>
                    <w:t>新建</w:t>
                  </w:r>
                </w:p>
              </w:tc>
            </w:tr>
            <w:tr w14:paraId="4B220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55" w:type="dxa"/>
                  <w:vMerge w:val="restart"/>
                  <w:noWrap w:val="0"/>
                  <w:vAlign w:val="center"/>
                </w:tcPr>
                <w:p w14:paraId="5E37D5BE">
                  <w:pPr>
                    <w:spacing w:line="0" w:lineRule="atLeast"/>
                    <w:jc w:val="center"/>
                    <w:rPr>
                      <w:color w:val="auto"/>
                      <w:szCs w:val="21"/>
                    </w:rPr>
                  </w:pPr>
                  <w:r>
                    <w:rPr>
                      <w:rFonts w:hint="eastAsia"/>
                      <w:color w:val="auto"/>
                      <w:szCs w:val="21"/>
                    </w:rPr>
                    <w:t>辅助工程</w:t>
                  </w:r>
                </w:p>
              </w:tc>
              <w:tc>
                <w:tcPr>
                  <w:tcW w:w="1415" w:type="dxa"/>
                  <w:noWrap w:val="0"/>
                  <w:vAlign w:val="center"/>
                </w:tcPr>
                <w:p w14:paraId="1B9565CB">
                  <w:pPr>
                    <w:spacing w:line="0" w:lineRule="atLeast"/>
                    <w:jc w:val="center"/>
                    <w:rPr>
                      <w:rFonts w:hint="eastAsia" w:eastAsia="宋体"/>
                      <w:color w:val="auto"/>
                      <w:szCs w:val="21"/>
                      <w:lang w:eastAsia="zh-CN"/>
                    </w:rPr>
                  </w:pPr>
                  <w:r>
                    <w:rPr>
                      <w:rFonts w:hint="eastAsia"/>
                      <w:color w:val="auto"/>
                      <w:szCs w:val="21"/>
                    </w:rPr>
                    <w:t>生物质</w:t>
                  </w:r>
                  <w:r>
                    <w:rPr>
                      <w:rFonts w:hint="eastAsia"/>
                      <w:color w:val="auto"/>
                      <w:szCs w:val="21"/>
                      <w:lang w:val="en-US" w:eastAsia="zh-CN"/>
                    </w:rPr>
                    <w:t>料棚</w:t>
                  </w:r>
                </w:p>
              </w:tc>
              <w:tc>
                <w:tcPr>
                  <w:tcW w:w="5291" w:type="dxa"/>
                  <w:noWrap w:val="0"/>
                  <w:vAlign w:val="center"/>
                </w:tcPr>
                <w:p w14:paraId="1AEEFDC9">
                  <w:pPr>
                    <w:spacing w:line="0" w:lineRule="atLeast"/>
                    <w:rPr>
                      <w:rFonts w:hint="eastAsia"/>
                      <w:color w:val="auto"/>
                      <w:szCs w:val="21"/>
                    </w:rPr>
                  </w:pPr>
                  <w:r>
                    <w:rPr>
                      <w:rFonts w:hint="eastAsia"/>
                      <w:color w:val="auto"/>
                      <w:szCs w:val="21"/>
                    </w:rPr>
                    <w:t>新建</w:t>
                  </w:r>
                  <w:r>
                    <w:rPr>
                      <w:rFonts w:hint="eastAsia"/>
                      <w:color w:val="auto"/>
                      <w:szCs w:val="21"/>
                      <w:lang w:val="en-US" w:eastAsia="zh-CN"/>
                    </w:rPr>
                    <w:t>生物质料棚</w:t>
                  </w:r>
                  <w:r>
                    <w:rPr>
                      <w:rFonts w:hint="eastAsia"/>
                      <w:color w:val="auto"/>
                      <w:szCs w:val="21"/>
                    </w:rPr>
                    <w:t>，建筑面积</w:t>
                  </w:r>
                  <w:r>
                    <w:rPr>
                      <w:rFonts w:hint="eastAsia"/>
                      <w:color w:val="auto"/>
                      <w:szCs w:val="21"/>
                      <w:lang w:val="en-US" w:eastAsia="zh-CN"/>
                    </w:rPr>
                    <w:t>1786.23</w:t>
                  </w:r>
                  <w:r>
                    <w:rPr>
                      <w:rFonts w:hint="eastAsia"/>
                      <w:color w:val="auto"/>
                      <w:szCs w:val="21"/>
                    </w:rPr>
                    <w:t>m</w:t>
                  </w:r>
                  <w:r>
                    <w:rPr>
                      <w:color w:val="auto"/>
                      <w:szCs w:val="21"/>
                      <w:vertAlign w:val="superscript"/>
                    </w:rPr>
                    <w:t>2</w:t>
                  </w:r>
                  <w:r>
                    <w:rPr>
                      <w:rFonts w:hint="eastAsia"/>
                      <w:color w:val="auto"/>
                      <w:szCs w:val="21"/>
                      <w:lang w:eastAsia="zh-CN"/>
                    </w:rPr>
                    <w:t>，</w:t>
                  </w:r>
                  <w:r>
                    <w:rPr>
                      <w:rFonts w:hint="eastAsia"/>
                      <w:color w:val="auto"/>
                      <w:szCs w:val="21"/>
                      <w:lang w:val="en-US" w:eastAsia="zh-CN"/>
                    </w:rPr>
                    <w:t>高度9.2m，</w:t>
                  </w:r>
                  <w:r>
                    <w:rPr>
                      <w:rFonts w:hint="eastAsia"/>
                      <w:color w:val="auto"/>
                      <w:szCs w:val="21"/>
                    </w:rPr>
                    <w:t>生物质</w:t>
                  </w:r>
                  <w:r>
                    <w:rPr>
                      <w:rFonts w:hint="eastAsia"/>
                      <w:color w:val="auto"/>
                      <w:szCs w:val="21"/>
                      <w:lang w:val="en-US" w:eastAsia="zh-CN"/>
                    </w:rPr>
                    <w:t>原料</w:t>
                  </w:r>
                  <w:r>
                    <w:rPr>
                      <w:rFonts w:hint="eastAsia"/>
                      <w:color w:val="auto"/>
                      <w:szCs w:val="21"/>
                    </w:rPr>
                    <w:t>根据企业的锅炉运行状况有计划的采购入厂、堆存和使用。</w:t>
                  </w:r>
                </w:p>
              </w:tc>
              <w:tc>
                <w:tcPr>
                  <w:tcW w:w="632" w:type="dxa"/>
                  <w:noWrap w:val="0"/>
                  <w:vAlign w:val="center"/>
                </w:tcPr>
                <w:p w14:paraId="16D0B51B">
                  <w:pPr>
                    <w:spacing w:line="0" w:lineRule="atLeast"/>
                    <w:jc w:val="center"/>
                    <w:rPr>
                      <w:rFonts w:hint="eastAsia"/>
                      <w:color w:val="auto"/>
                      <w:szCs w:val="21"/>
                    </w:rPr>
                  </w:pPr>
                  <w:r>
                    <w:rPr>
                      <w:rFonts w:hint="eastAsia"/>
                      <w:color w:val="auto"/>
                      <w:szCs w:val="21"/>
                    </w:rPr>
                    <w:t>新</w:t>
                  </w:r>
                  <w:r>
                    <w:rPr>
                      <w:color w:val="auto"/>
                      <w:szCs w:val="21"/>
                    </w:rPr>
                    <w:t>建</w:t>
                  </w:r>
                </w:p>
              </w:tc>
            </w:tr>
            <w:tr w14:paraId="65ACC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55" w:type="dxa"/>
                  <w:vMerge w:val="continue"/>
                  <w:noWrap w:val="0"/>
                  <w:vAlign w:val="center"/>
                </w:tcPr>
                <w:p w14:paraId="2B6DCD3A">
                  <w:pPr>
                    <w:spacing w:line="0" w:lineRule="atLeast"/>
                    <w:jc w:val="center"/>
                    <w:rPr>
                      <w:rFonts w:hint="eastAsia"/>
                      <w:color w:val="auto"/>
                      <w:szCs w:val="21"/>
                    </w:rPr>
                  </w:pPr>
                </w:p>
              </w:tc>
              <w:tc>
                <w:tcPr>
                  <w:tcW w:w="1415" w:type="dxa"/>
                  <w:noWrap w:val="0"/>
                  <w:vAlign w:val="center"/>
                </w:tcPr>
                <w:p w14:paraId="1B0EB7D9">
                  <w:pPr>
                    <w:spacing w:line="0" w:lineRule="atLeast"/>
                    <w:jc w:val="center"/>
                    <w:rPr>
                      <w:rFonts w:hint="default" w:eastAsia="宋体"/>
                      <w:color w:val="auto"/>
                      <w:szCs w:val="21"/>
                      <w:lang w:val="en-US" w:eastAsia="zh-CN"/>
                    </w:rPr>
                  </w:pPr>
                  <w:r>
                    <w:rPr>
                      <w:rFonts w:hint="eastAsia"/>
                      <w:color w:val="auto"/>
                      <w:szCs w:val="21"/>
                      <w:lang w:val="en-US" w:eastAsia="zh-CN"/>
                    </w:rPr>
                    <w:t>软化水处理设备</w:t>
                  </w:r>
                </w:p>
              </w:tc>
              <w:tc>
                <w:tcPr>
                  <w:tcW w:w="5291" w:type="dxa"/>
                  <w:noWrap w:val="0"/>
                  <w:vAlign w:val="center"/>
                </w:tcPr>
                <w:p w14:paraId="515D13F7">
                  <w:pPr>
                    <w:spacing w:line="0" w:lineRule="atLeast"/>
                    <w:rPr>
                      <w:rFonts w:hint="default" w:eastAsia="宋体"/>
                      <w:color w:val="auto"/>
                      <w:szCs w:val="21"/>
                      <w:lang w:val="en-US" w:eastAsia="zh-CN"/>
                    </w:rPr>
                  </w:pPr>
                  <w:r>
                    <w:rPr>
                      <w:rFonts w:hint="eastAsia"/>
                      <w:color w:val="auto"/>
                      <w:szCs w:val="21"/>
                      <w:lang w:val="en-US" w:eastAsia="zh-CN"/>
                    </w:rPr>
                    <w:t>本项目配套20t/h软化水处理设备，建设45</w:t>
                  </w:r>
                  <w:r>
                    <w:rPr>
                      <w:rFonts w:hint="eastAsia"/>
                      <w:color w:val="auto"/>
                      <w:szCs w:val="21"/>
                    </w:rPr>
                    <w:t>m</w:t>
                  </w:r>
                  <w:r>
                    <w:rPr>
                      <w:rFonts w:hint="eastAsia"/>
                      <w:color w:val="auto"/>
                      <w:szCs w:val="21"/>
                      <w:vertAlign w:val="superscript"/>
                      <w:lang w:val="en-US" w:eastAsia="zh-CN"/>
                    </w:rPr>
                    <w:t>3</w:t>
                  </w:r>
                  <w:r>
                    <w:rPr>
                      <w:rFonts w:hint="eastAsia"/>
                      <w:color w:val="auto"/>
                      <w:szCs w:val="21"/>
                      <w:lang w:val="en-US" w:eastAsia="zh-CN"/>
                    </w:rPr>
                    <w:t>软化水箱</w:t>
                  </w:r>
                </w:p>
              </w:tc>
              <w:tc>
                <w:tcPr>
                  <w:tcW w:w="632" w:type="dxa"/>
                  <w:noWrap w:val="0"/>
                  <w:vAlign w:val="center"/>
                </w:tcPr>
                <w:p w14:paraId="07FEDD38">
                  <w:pPr>
                    <w:spacing w:line="0" w:lineRule="atLeast"/>
                    <w:jc w:val="center"/>
                    <w:rPr>
                      <w:rFonts w:hint="eastAsia"/>
                      <w:color w:val="auto"/>
                      <w:szCs w:val="21"/>
                    </w:rPr>
                  </w:pPr>
                </w:p>
              </w:tc>
            </w:tr>
            <w:tr w14:paraId="277ED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55" w:type="dxa"/>
                  <w:vMerge w:val="continue"/>
                  <w:noWrap w:val="0"/>
                  <w:vAlign w:val="center"/>
                </w:tcPr>
                <w:p w14:paraId="284B6035">
                  <w:pPr>
                    <w:spacing w:line="0" w:lineRule="atLeast"/>
                    <w:jc w:val="center"/>
                    <w:rPr>
                      <w:rFonts w:hint="eastAsia"/>
                      <w:color w:val="auto"/>
                      <w:szCs w:val="21"/>
                    </w:rPr>
                  </w:pPr>
                </w:p>
              </w:tc>
              <w:tc>
                <w:tcPr>
                  <w:tcW w:w="1415" w:type="dxa"/>
                  <w:noWrap w:val="0"/>
                  <w:vAlign w:val="center"/>
                </w:tcPr>
                <w:p w14:paraId="5AFA068F">
                  <w:pPr>
                    <w:spacing w:line="0" w:lineRule="atLeast"/>
                    <w:jc w:val="center"/>
                    <w:rPr>
                      <w:rFonts w:hint="eastAsia"/>
                      <w:color w:val="auto"/>
                    </w:rPr>
                  </w:pPr>
                  <w:r>
                    <w:rPr>
                      <w:rFonts w:hint="eastAsia"/>
                      <w:color w:val="auto"/>
                      <w:szCs w:val="21"/>
                    </w:rPr>
                    <w:t>锅炉灰渣和除尘器收尘存储</w:t>
                  </w:r>
                </w:p>
              </w:tc>
              <w:tc>
                <w:tcPr>
                  <w:tcW w:w="5291" w:type="dxa"/>
                  <w:noWrap w:val="0"/>
                  <w:vAlign w:val="center"/>
                </w:tcPr>
                <w:p w14:paraId="797C0F56">
                  <w:pPr>
                    <w:spacing w:line="0" w:lineRule="atLeast"/>
                    <w:rPr>
                      <w:rFonts w:hint="eastAsia"/>
                      <w:color w:val="auto"/>
                    </w:rPr>
                  </w:pPr>
                  <w:r>
                    <w:rPr>
                      <w:rFonts w:hint="eastAsia"/>
                      <w:color w:val="auto"/>
                      <w:szCs w:val="21"/>
                      <w:lang w:val="en-US" w:eastAsia="zh-CN"/>
                    </w:rPr>
                    <w:t>生物质</w:t>
                  </w:r>
                  <w:r>
                    <w:rPr>
                      <w:rFonts w:hint="eastAsia"/>
                      <w:color w:val="auto"/>
                      <w:szCs w:val="21"/>
                    </w:rPr>
                    <w:t>灰渣产生后暂存于锅炉房内，贮存区</w:t>
                  </w:r>
                  <w:r>
                    <w:rPr>
                      <w:rFonts w:hint="eastAsia"/>
                      <w:color w:val="auto"/>
                      <w:szCs w:val="21"/>
                      <w:lang w:val="en-US" w:eastAsia="zh-CN"/>
                    </w:rPr>
                    <w:t>50</w:t>
                  </w:r>
                  <w:r>
                    <w:rPr>
                      <w:rFonts w:hint="eastAsia"/>
                      <w:color w:val="auto"/>
                      <w:szCs w:val="21"/>
                    </w:rPr>
                    <w:t>m</w:t>
                  </w:r>
                  <w:r>
                    <w:rPr>
                      <w:color w:val="auto"/>
                      <w:szCs w:val="21"/>
                      <w:vertAlign w:val="superscript"/>
                    </w:rPr>
                    <w:t>2</w:t>
                  </w:r>
                  <w:r>
                    <w:rPr>
                      <w:rFonts w:hint="eastAsia"/>
                      <w:color w:val="auto"/>
                      <w:szCs w:val="21"/>
                    </w:rPr>
                    <w:t>，表面采取洒水降尘措施，避免二次扬尘产生。除尘器收尘则利用袋装收集，避免扬尘产生。灰渣和收尘日产日清，外售综合利用。</w:t>
                  </w:r>
                </w:p>
              </w:tc>
              <w:tc>
                <w:tcPr>
                  <w:tcW w:w="632" w:type="dxa"/>
                  <w:noWrap w:val="0"/>
                  <w:vAlign w:val="center"/>
                </w:tcPr>
                <w:p w14:paraId="26FFAA0C">
                  <w:pPr>
                    <w:spacing w:line="0" w:lineRule="atLeast"/>
                    <w:jc w:val="center"/>
                    <w:rPr>
                      <w:rFonts w:hint="eastAsia"/>
                      <w:color w:val="auto"/>
                      <w:szCs w:val="21"/>
                    </w:rPr>
                  </w:pPr>
                  <w:r>
                    <w:rPr>
                      <w:rFonts w:hint="eastAsia"/>
                      <w:color w:val="auto"/>
                      <w:szCs w:val="21"/>
                    </w:rPr>
                    <w:t>新建</w:t>
                  </w:r>
                </w:p>
              </w:tc>
            </w:tr>
            <w:tr w14:paraId="21C8E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55" w:type="dxa"/>
                  <w:vMerge w:val="restart"/>
                  <w:noWrap w:val="0"/>
                  <w:vAlign w:val="center"/>
                </w:tcPr>
                <w:p w14:paraId="006122AC">
                  <w:pPr>
                    <w:spacing w:line="0" w:lineRule="atLeast"/>
                    <w:jc w:val="center"/>
                    <w:rPr>
                      <w:color w:val="auto"/>
                      <w:szCs w:val="21"/>
                    </w:rPr>
                  </w:pPr>
                  <w:r>
                    <w:rPr>
                      <w:rFonts w:hint="eastAsia"/>
                      <w:color w:val="auto"/>
                      <w:szCs w:val="21"/>
                    </w:rPr>
                    <w:t>公用工程</w:t>
                  </w:r>
                </w:p>
              </w:tc>
              <w:tc>
                <w:tcPr>
                  <w:tcW w:w="1415" w:type="dxa"/>
                  <w:noWrap w:val="0"/>
                  <w:vAlign w:val="center"/>
                </w:tcPr>
                <w:p w14:paraId="1D4249C3">
                  <w:pPr>
                    <w:spacing w:line="0" w:lineRule="atLeast"/>
                    <w:jc w:val="center"/>
                    <w:rPr>
                      <w:color w:val="auto"/>
                      <w:szCs w:val="21"/>
                    </w:rPr>
                  </w:pPr>
                  <w:r>
                    <w:rPr>
                      <w:color w:val="auto"/>
                      <w:szCs w:val="21"/>
                    </w:rPr>
                    <w:t>给水</w:t>
                  </w:r>
                </w:p>
              </w:tc>
              <w:tc>
                <w:tcPr>
                  <w:tcW w:w="5291" w:type="dxa"/>
                  <w:noWrap w:val="0"/>
                  <w:vAlign w:val="center"/>
                </w:tcPr>
                <w:p w14:paraId="64062C45">
                  <w:pPr>
                    <w:spacing w:line="0" w:lineRule="atLeast"/>
                    <w:rPr>
                      <w:color w:val="auto"/>
                      <w:szCs w:val="21"/>
                    </w:rPr>
                  </w:pPr>
                  <w:r>
                    <w:rPr>
                      <w:color w:val="auto"/>
                      <w:szCs w:val="21"/>
                    </w:rPr>
                    <w:t>本项目供水由</w:t>
                  </w:r>
                  <w:r>
                    <w:rPr>
                      <w:rFonts w:hint="eastAsia"/>
                      <w:color w:val="auto"/>
                      <w:szCs w:val="21"/>
                    </w:rPr>
                    <w:t>市政管网</w:t>
                  </w:r>
                  <w:r>
                    <w:rPr>
                      <w:color w:val="auto"/>
                      <w:szCs w:val="21"/>
                    </w:rPr>
                    <w:t>提供，用水</w:t>
                  </w:r>
                  <w:r>
                    <w:rPr>
                      <w:rFonts w:hint="eastAsia"/>
                      <w:color w:val="auto"/>
                      <w:szCs w:val="21"/>
                    </w:rPr>
                    <w:t>主要为工作人员生活用水和</w:t>
                  </w:r>
                  <w:r>
                    <w:rPr>
                      <w:color w:val="auto"/>
                      <w:szCs w:val="21"/>
                    </w:rPr>
                    <w:t>锅炉用水</w:t>
                  </w:r>
                  <w:r>
                    <w:rPr>
                      <w:rFonts w:hint="eastAsia"/>
                      <w:color w:val="auto"/>
                      <w:szCs w:val="21"/>
                    </w:rPr>
                    <w:t>。</w:t>
                  </w:r>
                </w:p>
              </w:tc>
              <w:tc>
                <w:tcPr>
                  <w:tcW w:w="632" w:type="dxa"/>
                  <w:noWrap w:val="0"/>
                  <w:vAlign w:val="center"/>
                </w:tcPr>
                <w:p w14:paraId="44F1948C">
                  <w:pPr>
                    <w:spacing w:line="0" w:lineRule="atLeast"/>
                    <w:jc w:val="center"/>
                    <w:rPr>
                      <w:color w:val="auto"/>
                      <w:szCs w:val="21"/>
                    </w:rPr>
                  </w:pPr>
                  <w:r>
                    <w:rPr>
                      <w:rFonts w:hint="eastAsia"/>
                      <w:color w:val="auto"/>
                      <w:szCs w:val="21"/>
                    </w:rPr>
                    <w:t>新建</w:t>
                  </w:r>
                </w:p>
              </w:tc>
            </w:tr>
            <w:tr w14:paraId="3C94E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55" w:type="dxa"/>
                  <w:vMerge w:val="continue"/>
                  <w:noWrap w:val="0"/>
                  <w:vAlign w:val="center"/>
                </w:tcPr>
                <w:p w14:paraId="4A15B5C5">
                  <w:pPr>
                    <w:spacing w:line="0" w:lineRule="atLeast"/>
                    <w:jc w:val="center"/>
                    <w:rPr>
                      <w:color w:val="auto"/>
                      <w:szCs w:val="21"/>
                    </w:rPr>
                  </w:pPr>
                </w:p>
              </w:tc>
              <w:tc>
                <w:tcPr>
                  <w:tcW w:w="1415" w:type="dxa"/>
                  <w:noWrap w:val="0"/>
                  <w:vAlign w:val="center"/>
                </w:tcPr>
                <w:p w14:paraId="58F1A008">
                  <w:pPr>
                    <w:spacing w:line="0" w:lineRule="atLeast"/>
                    <w:jc w:val="center"/>
                    <w:rPr>
                      <w:color w:val="auto"/>
                      <w:szCs w:val="21"/>
                    </w:rPr>
                  </w:pPr>
                  <w:r>
                    <w:rPr>
                      <w:color w:val="auto"/>
                      <w:szCs w:val="21"/>
                    </w:rPr>
                    <w:t>排</w:t>
                  </w:r>
                  <w:r>
                    <w:rPr>
                      <w:rFonts w:hint="eastAsia"/>
                      <w:color w:val="auto"/>
                      <w:szCs w:val="21"/>
                    </w:rPr>
                    <w:t>水</w:t>
                  </w:r>
                </w:p>
              </w:tc>
              <w:tc>
                <w:tcPr>
                  <w:tcW w:w="5291" w:type="dxa"/>
                  <w:noWrap w:val="0"/>
                  <w:vAlign w:val="center"/>
                </w:tcPr>
                <w:p w14:paraId="39A232C4">
                  <w:pPr>
                    <w:spacing w:line="0" w:lineRule="atLeast"/>
                    <w:rPr>
                      <w:color w:val="auto"/>
                      <w:szCs w:val="21"/>
                    </w:rPr>
                  </w:pPr>
                  <w:r>
                    <w:rPr>
                      <w:rFonts w:ascii="宋体"/>
                      <w:color w:val="auto"/>
                    </w:rPr>
                    <w:t>本项目</w:t>
                  </w:r>
                  <w:r>
                    <w:rPr>
                      <w:rFonts w:hint="eastAsia" w:ascii="宋体"/>
                      <w:color w:val="auto"/>
                    </w:rPr>
                    <w:t>锅炉排污水</w:t>
                  </w:r>
                  <w:r>
                    <w:rPr>
                      <w:rFonts w:hint="eastAsia" w:ascii="宋体"/>
                      <w:color w:val="auto"/>
                      <w:lang w:val="en-US" w:eastAsia="zh-CN"/>
                    </w:rPr>
                    <w:t>沉淀后与生活污水一同排入市政污水管网</w:t>
                  </w:r>
                  <w:r>
                    <w:rPr>
                      <w:rFonts w:ascii="宋体"/>
                      <w:color w:val="auto"/>
                    </w:rPr>
                    <w:t>。</w:t>
                  </w:r>
                </w:p>
              </w:tc>
              <w:tc>
                <w:tcPr>
                  <w:tcW w:w="632" w:type="dxa"/>
                  <w:noWrap w:val="0"/>
                  <w:vAlign w:val="center"/>
                </w:tcPr>
                <w:p w14:paraId="0F7DC13C">
                  <w:pPr>
                    <w:spacing w:line="0" w:lineRule="atLeast"/>
                    <w:jc w:val="center"/>
                    <w:rPr>
                      <w:color w:val="auto"/>
                      <w:szCs w:val="21"/>
                    </w:rPr>
                  </w:pPr>
                  <w:r>
                    <w:rPr>
                      <w:rFonts w:hint="eastAsia"/>
                      <w:color w:val="auto"/>
                      <w:szCs w:val="21"/>
                    </w:rPr>
                    <w:t>新建</w:t>
                  </w:r>
                </w:p>
              </w:tc>
            </w:tr>
            <w:tr w14:paraId="07CB1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55" w:type="dxa"/>
                  <w:vMerge w:val="continue"/>
                  <w:noWrap w:val="0"/>
                  <w:vAlign w:val="center"/>
                </w:tcPr>
                <w:p w14:paraId="5660A010">
                  <w:pPr>
                    <w:spacing w:line="0" w:lineRule="atLeast"/>
                    <w:jc w:val="center"/>
                    <w:rPr>
                      <w:color w:val="auto"/>
                      <w:szCs w:val="21"/>
                    </w:rPr>
                  </w:pPr>
                </w:p>
              </w:tc>
              <w:tc>
                <w:tcPr>
                  <w:tcW w:w="1415" w:type="dxa"/>
                  <w:noWrap w:val="0"/>
                  <w:vAlign w:val="center"/>
                </w:tcPr>
                <w:p w14:paraId="42ACBFB0">
                  <w:pPr>
                    <w:spacing w:line="0" w:lineRule="atLeast"/>
                    <w:jc w:val="center"/>
                    <w:rPr>
                      <w:color w:val="auto"/>
                      <w:szCs w:val="21"/>
                    </w:rPr>
                  </w:pPr>
                  <w:r>
                    <w:rPr>
                      <w:color w:val="auto"/>
                      <w:szCs w:val="21"/>
                    </w:rPr>
                    <w:t>供热</w:t>
                  </w:r>
                </w:p>
              </w:tc>
              <w:tc>
                <w:tcPr>
                  <w:tcW w:w="5291" w:type="dxa"/>
                  <w:noWrap w:val="0"/>
                  <w:vAlign w:val="center"/>
                </w:tcPr>
                <w:p w14:paraId="02446D69">
                  <w:pPr>
                    <w:spacing w:line="0" w:lineRule="atLeast"/>
                    <w:jc w:val="left"/>
                    <w:rPr>
                      <w:color w:val="auto"/>
                      <w:szCs w:val="21"/>
                    </w:rPr>
                  </w:pPr>
                  <w:r>
                    <w:rPr>
                      <w:rFonts w:hint="eastAsia"/>
                      <w:color w:val="auto"/>
                      <w:szCs w:val="21"/>
                    </w:rPr>
                    <w:t>供暖由</w:t>
                  </w:r>
                  <w:r>
                    <w:rPr>
                      <w:rFonts w:hint="eastAsia"/>
                      <w:color w:val="auto"/>
                      <w:szCs w:val="21"/>
                      <w:lang w:val="en-US" w:eastAsia="zh-CN"/>
                    </w:rPr>
                    <w:t>8t/h</w:t>
                  </w:r>
                  <w:r>
                    <w:rPr>
                      <w:color w:val="auto"/>
                      <w:szCs w:val="21"/>
                    </w:rPr>
                    <w:t>燃生物质</w:t>
                  </w:r>
                  <w:r>
                    <w:rPr>
                      <w:rFonts w:hint="eastAsia"/>
                      <w:color w:val="auto"/>
                      <w:szCs w:val="21"/>
                      <w:lang w:val="en-US" w:eastAsia="zh-CN"/>
                    </w:rPr>
                    <w:t>气</w:t>
                  </w:r>
                  <w:r>
                    <w:rPr>
                      <w:color w:val="auto"/>
                      <w:szCs w:val="21"/>
                    </w:rPr>
                    <w:t>锅炉</w:t>
                  </w:r>
                  <w:r>
                    <w:rPr>
                      <w:rFonts w:hint="eastAsia"/>
                      <w:color w:val="auto"/>
                      <w:szCs w:val="21"/>
                    </w:rPr>
                    <w:t>提供。</w:t>
                  </w:r>
                </w:p>
              </w:tc>
              <w:tc>
                <w:tcPr>
                  <w:tcW w:w="632" w:type="dxa"/>
                  <w:noWrap w:val="0"/>
                  <w:vAlign w:val="center"/>
                </w:tcPr>
                <w:p w14:paraId="16643840">
                  <w:pPr>
                    <w:spacing w:line="0" w:lineRule="atLeast"/>
                    <w:jc w:val="center"/>
                    <w:rPr>
                      <w:color w:val="auto"/>
                      <w:szCs w:val="21"/>
                    </w:rPr>
                  </w:pPr>
                  <w:r>
                    <w:rPr>
                      <w:rFonts w:hint="eastAsia"/>
                      <w:color w:val="auto"/>
                      <w:szCs w:val="21"/>
                    </w:rPr>
                    <w:t>新建</w:t>
                  </w:r>
                </w:p>
              </w:tc>
            </w:tr>
            <w:tr w14:paraId="3FCD8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55" w:type="dxa"/>
                  <w:vMerge w:val="continue"/>
                  <w:noWrap w:val="0"/>
                  <w:vAlign w:val="center"/>
                </w:tcPr>
                <w:p w14:paraId="0A479961">
                  <w:pPr>
                    <w:spacing w:line="0" w:lineRule="atLeast"/>
                    <w:jc w:val="center"/>
                    <w:rPr>
                      <w:color w:val="auto"/>
                      <w:szCs w:val="21"/>
                    </w:rPr>
                  </w:pPr>
                </w:p>
              </w:tc>
              <w:tc>
                <w:tcPr>
                  <w:tcW w:w="1415" w:type="dxa"/>
                  <w:noWrap w:val="0"/>
                  <w:vAlign w:val="center"/>
                </w:tcPr>
                <w:p w14:paraId="1F0D3770">
                  <w:pPr>
                    <w:spacing w:line="0" w:lineRule="atLeast"/>
                    <w:jc w:val="center"/>
                    <w:rPr>
                      <w:color w:val="auto"/>
                      <w:szCs w:val="21"/>
                    </w:rPr>
                  </w:pPr>
                  <w:r>
                    <w:rPr>
                      <w:color w:val="auto"/>
                      <w:szCs w:val="21"/>
                    </w:rPr>
                    <w:t>供电</w:t>
                  </w:r>
                </w:p>
              </w:tc>
              <w:tc>
                <w:tcPr>
                  <w:tcW w:w="5291" w:type="dxa"/>
                  <w:noWrap w:val="0"/>
                  <w:vAlign w:val="center"/>
                </w:tcPr>
                <w:p w14:paraId="527E34CE">
                  <w:pPr>
                    <w:spacing w:line="0" w:lineRule="atLeast"/>
                    <w:rPr>
                      <w:color w:val="auto"/>
                      <w:szCs w:val="21"/>
                    </w:rPr>
                  </w:pPr>
                  <w:r>
                    <w:rPr>
                      <w:rFonts w:hint="eastAsia"/>
                      <w:color w:val="auto"/>
                      <w:szCs w:val="21"/>
                    </w:rPr>
                    <w:t>由当地电业局提供</w:t>
                  </w:r>
                </w:p>
              </w:tc>
              <w:tc>
                <w:tcPr>
                  <w:tcW w:w="632" w:type="dxa"/>
                  <w:noWrap w:val="0"/>
                  <w:vAlign w:val="center"/>
                </w:tcPr>
                <w:p w14:paraId="45B9CC3E">
                  <w:pPr>
                    <w:spacing w:line="0" w:lineRule="atLeast"/>
                    <w:jc w:val="center"/>
                    <w:rPr>
                      <w:color w:val="auto"/>
                      <w:szCs w:val="21"/>
                    </w:rPr>
                  </w:pPr>
                  <w:r>
                    <w:rPr>
                      <w:color w:val="auto"/>
                      <w:szCs w:val="21"/>
                    </w:rPr>
                    <w:t>依托</w:t>
                  </w:r>
                </w:p>
              </w:tc>
            </w:tr>
            <w:tr w14:paraId="1423F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55" w:type="dxa"/>
                  <w:vMerge w:val="restart"/>
                  <w:noWrap w:val="0"/>
                  <w:vAlign w:val="center"/>
                </w:tcPr>
                <w:p w14:paraId="478A03FA">
                  <w:pPr>
                    <w:spacing w:line="0" w:lineRule="atLeast"/>
                    <w:jc w:val="center"/>
                    <w:rPr>
                      <w:color w:val="auto"/>
                      <w:szCs w:val="21"/>
                    </w:rPr>
                  </w:pPr>
                  <w:r>
                    <w:rPr>
                      <w:color w:val="auto"/>
                      <w:szCs w:val="21"/>
                    </w:rPr>
                    <w:t>环保工程</w:t>
                  </w:r>
                </w:p>
              </w:tc>
              <w:tc>
                <w:tcPr>
                  <w:tcW w:w="1415" w:type="dxa"/>
                  <w:noWrap w:val="0"/>
                  <w:vAlign w:val="center"/>
                </w:tcPr>
                <w:p w14:paraId="20A21FDB">
                  <w:pPr>
                    <w:spacing w:line="0" w:lineRule="atLeast"/>
                    <w:jc w:val="center"/>
                    <w:rPr>
                      <w:color w:val="auto"/>
                      <w:szCs w:val="21"/>
                    </w:rPr>
                  </w:pPr>
                  <w:r>
                    <w:rPr>
                      <w:color w:val="auto"/>
                      <w:szCs w:val="21"/>
                    </w:rPr>
                    <w:t>废气治理措施</w:t>
                  </w:r>
                </w:p>
              </w:tc>
              <w:tc>
                <w:tcPr>
                  <w:tcW w:w="5291" w:type="dxa"/>
                  <w:noWrap w:val="0"/>
                  <w:vAlign w:val="center"/>
                </w:tcPr>
                <w:p w14:paraId="541C2716">
                  <w:pPr>
                    <w:spacing w:line="0" w:lineRule="atLeast"/>
                    <w:rPr>
                      <w:rFonts w:hint="eastAsia"/>
                      <w:color w:val="auto"/>
                      <w:szCs w:val="21"/>
                    </w:rPr>
                  </w:pPr>
                  <w:r>
                    <w:rPr>
                      <w:rFonts w:hint="eastAsia"/>
                      <w:color w:val="auto"/>
                      <w:szCs w:val="21"/>
                    </w:rPr>
                    <w:t>本项目运行期间产生的锅炉烟气通过</w:t>
                  </w:r>
                  <w:r>
                    <w:rPr>
                      <w:rFonts w:hint="eastAsia"/>
                      <w:bCs/>
                      <w:color w:val="auto"/>
                      <w:kern w:val="0"/>
                      <w:sz w:val="21"/>
                      <w:szCs w:val="18"/>
                      <w:lang w:val="en-US" w:eastAsia="zh-CN"/>
                    </w:rPr>
                    <w:t>多管</w:t>
                  </w:r>
                  <w:r>
                    <w:rPr>
                      <w:rFonts w:hint="eastAsia"/>
                      <w:bCs/>
                      <w:color w:val="auto"/>
                      <w:kern w:val="0"/>
                      <w:sz w:val="21"/>
                      <w:szCs w:val="18"/>
                    </w:rPr>
                    <w:t>+</w:t>
                  </w:r>
                  <w:r>
                    <w:rPr>
                      <w:rFonts w:hint="eastAsia"/>
                      <w:color w:val="auto"/>
                      <w:szCs w:val="21"/>
                    </w:rPr>
                    <w:t>布袋除尘器+低氮燃烧器进行处理。经处理后的锅炉烟气通过</w:t>
                  </w:r>
                  <w:r>
                    <w:rPr>
                      <w:rFonts w:hint="eastAsia"/>
                      <w:color w:val="auto"/>
                      <w:szCs w:val="21"/>
                      <w:lang w:val="en-US" w:eastAsia="zh-CN"/>
                    </w:rPr>
                    <w:t>15</w:t>
                  </w:r>
                  <w:r>
                    <w:rPr>
                      <w:color w:val="auto"/>
                      <w:szCs w:val="21"/>
                    </w:rPr>
                    <w:t>m</w:t>
                  </w:r>
                  <w:r>
                    <w:rPr>
                      <w:rFonts w:hint="eastAsia"/>
                      <w:color w:val="auto"/>
                      <w:szCs w:val="21"/>
                    </w:rPr>
                    <w:t>高烟囱高空排放，满足《锅炉大气污染物排放标准》（</w:t>
                  </w:r>
                  <w:r>
                    <w:rPr>
                      <w:color w:val="auto"/>
                      <w:szCs w:val="21"/>
                    </w:rPr>
                    <w:t>GB13271-2014</w:t>
                  </w:r>
                  <w:r>
                    <w:rPr>
                      <w:rFonts w:hint="eastAsia"/>
                      <w:color w:val="auto"/>
                      <w:szCs w:val="21"/>
                    </w:rPr>
                    <w:t>）表</w:t>
                  </w:r>
                  <w:r>
                    <w:rPr>
                      <w:color w:val="auto"/>
                      <w:szCs w:val="21"/>
                    </w:rPr>
                    <w:t>2</w:t>
                  </w:r>
                  <w:r>
                    <w:rPr>
                      <w:rFonts w:hint="eastAsia"/>
                      <w:color w:val="auto"/>
                      <w:szCs w:val="21"/>
                    </w:rPr>
                    <w:t>燃</w:t>
                  </w:r>
                  <w:r>
                    <w:rPr>
                      <w:rFonts w:hint="eastAsia"/>
                      <w:color w:val="auto"/>
                      <w:szCs w:val="21"/>
                      <w:lang w:val="en-US" w:eastAsia="zh-CN"/>
                    </w:rPr>
                    <w:t>气</w:t>
                  </w:r>
                  <w:r>
                    <w:rPr>
                      <w:rFonts w:hint="eastAsia"/>
                      <w:color w:val="auto"/>
                      <w:szCs w:val="21"/>
                    </w:rPr>
                    <w:t>锅炉大气污染物排放限值要求</w:t>
                  </w:r>
                  <w:r>
                    <w:rPr>
                      <w:color w:val="auto"/>
                      <w:szCs w:val="21"/>
                    </w:rPr>
                    <w:t>。</w:t>
                  </w:r>
                </w:p>
              </w:tc>
              <w:tc>
                <w:tcPr>
                  <w:tcW w:w="632" w:type="dxa"/>
                  <w:noWrap w:val="0"/>
                  <w:vAlign w:val="center"/>
                </w:tcPr>
                <w:p w14:paraId="0CA0CC9E">
                  <w:pPr>
                    <w:spacing w:line="0" w:lineRule="atLeast"/>
                    <w:jc w:val="center"/>
                    <w:rPr>
                      <w:color w:val="auto"/>
                      <w:szCs w:val="21"/>
                    </w:rPr>
                  </w:pPr>
                  <w:r>
                    <w:rPr>
                      <w:rFonts w:hint="eastAsia"/>
                      <w:color w:val="auto"/>
                      <w:szCs w:val="21"/>
                    </w:rPr>
                    <w:t>新建</w:t>
                  </w:r>
                </w:p>
              </w:tc>
            </w:tr>
            <w:tr w14:paraId="7DB61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55" w:type="dxa"/>
                  <w:vMerge w:val="continue"/>
                  <w:noWrap w:val="0"/>
                  <w:vAlign w:val="center"/>
                </w:tcPr>
                <w:p w14:paraId="564B3A18">
                  <w:pPr>
                    <w:spacing w:line="0" w:lineRule="atLeast"/>
                    <w:jc w:val="center"/>
                    <w:rPr>
                      <w:color w:val="auto"/>
                      <w:szCs w:val="21"/>
                    </w:rPr>
                  </w:pPr>
                </w:p>
              </w:tc>
              <w:tc>
                <w:tcPr>
                  <w:tcW w:w="1415" w:type="dxa"/>
                  <w:noWrap w:val="0"/>
                  <w:vAlign w:val="center"/>
                </w:tcPr>
                <w:p w14:paraId="31832CC1">
                  <w:pPr>
                    <w:spacing w:line="0" w:lineRule="atLeast"/>
                    <w:jc w:val="center"/>
                    <w:rPr>
                      <w:rFonts w:hint="default" w:eastAsia="宋体"/>
                      <w:color w:val="auto"/>
                      <w:szCs w:val="21"/>
                      <w:lang w:val="en-US" w:eastAsia="zh-CN"/>
                    </w:rPr>
                  </w:pPr>
                  <w:r>
                    <w:rPr>
                      <w:rFonts w:hint="eastAsia"/>
                      <w:color w:val="auto"/>
                      <w:szCs w:val="21"/>
                      <w:lang w:val="en-US" w:eastAsia="zh-CN"/>
                    </w:rPr>
                    <w:t>废水治理设施</w:t>
                  </w:r>
                </w:p>
              </w:tc>
              <w:tc>
                <w:tcPr>
                  <w:tcW w:w="5291" w:type="dxa"/>
                  <w:noWrap w:val="0"/>
                  <w:vAlign w:val="center"/>
                </w:tcPr>
                <w:p w14:paraId="7A04115A">
                  <w:pPr>
                    <w:spacing w:line="0" w:lineRule="atLeast"/>
                    <w:rPr>
                      <w:rFonts w:hint="eastAsia"/>
                      <w:color w:val="auto"/>
                      <w:szCs w:val="21"/>
                    </w:rPr>
                  </w:pPr>
                  <w:r>
                    <w:rPr>
                      <w:rFonts w:ascii="宋体"/>
                      <w:color w:val="auto"/>
                    </w:rPr>
                    <w:t>本项目</w:t>
                  </w:r>
                  <w:r>
                    <w:rPr>
                      <w:rFonts w:hint="eastAsia" w:ascii="宋体"/>
                      <w:color w:val="auto"/>
                    </w:rPr>
                    <w:t>锅炉排污水</w:t>
                  </w:r>
                  <w:r>
                    <w:rPr>
                      <w:rFonts w:hint="eastAsia" w:ascii="宋体"/>
                      <w:color w:val="auto"/>
                      <w:lang w:val="en-US" w:eastAsia="zh-CN"/>
                    </w:rPr>
                    <w:t>沉淀后与生活污水经化粪池处理后一同排入市政污水管网</w:t>
                  </w:r>
                  <w:r>
                    <w:rPr>
                      <w:rFonts w:ascii="宋体"/>
                      <w:color w:val="auto"/>
                    </w:rPr>
                    <w:t>。</w:t>
                  </w:r>
                </w:p>
              </w:tc>
              <w:tc>
                <w:tcPr>
                  <w:tcW w:w="632" w:type="dxa"/>
                  <w:noWrap w:val="0"/>
                  <w:vAlign w:val="center"/>
                </w:tcPr>
                <w:p w14:paraId="28C8920B">
                  <w:pPr>
                    <w:spacing w:line="0" w:lineRule="atLeast"/>
                    <w:jc w:val="center"/>
                    <w:rPr>
                      <w:rFonts w:hint="eastAsia"/>
                      <w:color w:val="auto"/>
                      <w:szCs w:val="21"/>
                    </w:rPr>
                  </w:pPr>
                  <w:r>
                    <w:rPr>
                      <w:rFonts w:hint="eastAsia"/>
                      <w:color w:val="auto"/>
                      <w:szCs w:val="21"/>
                    </w:rPr>
                    <w:t>新建</w:t>
                  </w:r>
                </w:p>
              </w:tc>
            </w:tr>
            <w:tr w14:paraId="4EC82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55" w:type="dxa"/>
                  <w:vMerge w:val="continue"/>
                  <w:noWrap w:val="0"/>
                  <w:vAlign w:val="center"/>
                </w:tcPr>
                <w:p w14:paraId="4CC79B95">
                  <w:pPr>
                    <w:spacing w:line="0" w:lineRule="atLeast"/>
                    <w:jc w:val="center"/>
                    <w:rPr>
                      <w:color w:val="auto"/>
                      <w:szCs w:val="21"/>
                    </w:rPr>
                  </w:pPr>
                </w:p>
              </w:tc>
              <w:tc>
                <w:tcPr>
                  <w:tcW w:w="1415" w:type="dxa"/>
                  <w:noWrap w:val="0"/>
                  <w:vAlign w:val="center"/>
                </w:tcPr>
                <w:p w14:paraId="6A836E3D">
                  <w:pPr>
                    <w:spacing w:line="0" w:lineRule="atLeast"/>
                    <w:jc w:val="center"/>
                    <w:rPr>
                      <w:color w:val="auto"/>
                      <w:szCs w:val="21"/>
                    </w:rPr>
                  </w:pPr>
                  <w:r>
                    <w:rPr>
                      <w:rFonts w:hint="eastAsia"/>
                      <w:color w:val="auto"/>
                      <w:szCs w:val="21"/>
                    </w:rPr>
                    <w:t>噪声</w:t>
                  </w:r>
                </w:p>
              </w:tc>
              <w:tc>
                <w:tcPr>
                  <w:tcW w:w="5291" w:type="dxa"/>
                  <w:noWrap w:val="0"/>
                  <w:vAlign w:val="center"/>
                </w:tcPr>
                <w:p w14:paraId="28A52E89">
                  <w:pPr>
                    <w:spacing w:line="0" w:lineRule="atLeast"/>
                    <w:rPr>
                      <w:rFonts w:hint="eastAsia"/>
                      <w:color w:val="auto"/>
                      <w:szCs w:val="21"/>
                    </w:rPr>
                  </w:pPr>
                  <w:r>
                    <w:rPr>
                      <w:color w:val="auto"/>
                      <w:szCs w:val="21"/>
                    </w:rPr>
                    <w:t>采用低噪环保设备、</w:t>
                  </w:r>
                  <w:r>
                    <w:rPr>
                      <w:rFonts w:hint="eastAsia"/>
                      <w:color w:val="auto"/>
                      <w:szCs w:val="21"/>
                    </w:rPr>
                    <w:t>采取减振</w:t>
                  </w:r>
                  <w:r>
                    <w:rPr>
                      <w:color w:val="auto"/>
                      <w:szCs w:val="21"/>
                    </w:rPr>
                    <w:t>、</w:t>
                  </w:r>
                  <w:r>
                    <w:rPr>
                      <w:rFonts w:hint="eastAsia"/>
                      <w:color w:val="auto"/>
                      <w:szCs w:val="21"/>
                    </w:rPr>
                    <w:t>降噪、</w:t>
                  </w:r>
                  <w:r>
                    <w:rPr>
                      <w:color w:val="auto"/>
                      <w:szCs w:val="21"/>
                    </w:rPr>
                    <w:t>隔声等措施</w:t>
                  </w:r>
                  <w:r>
                    <w:rPr>
                      <w:rFonts w:hint="eastAsia"/>
                      <w:color w:val="auto"/>
                      <w:szCs w:val="21"/>
                    </w:rPr>
                    <w:t>对噪声进行治理。治理后，北、南、西、东侧厂界噪声</w:t>
                  </w:r>
                  <w:r>
                    <w:rPr>
                      <w:color w:val="auto"/>
                      <w:szCs w:val="21"/>
                    </w:rPr>
                    <w:t>可满足《工业企业厂界环境噪声排放标准》（GB12348-2008）</w:t>
                  </w:r>
                  <w:r>
                    <w:rPr>
                      <w:rFonts w:hint="eastAsia"/>
                      <w:color w:val="auto"/>
                      <w:szCs w:val="21"/>
                      <w:lang w:val="en-US" w:eastAsia="zh-CN"/>
                    </w:rPr>
                    <w:t>3</w:t>
                  </w:r>
                  <w:r>
                    <w:rPr>
                      <w:color w:val="auto"/>
                      <w:szCs w:val="21"/>
                    </w:rPr>
                    <w:t>类标准的要求</w:t>
                  </w:r>
                  <w:r>
                    <w:rPr>
                      <w:rFonts w:hint="eastAsia"/>
                      <w:color w:val="auto"/>
                      <w:szCs w:val="21"/>
                    </w:rPr>
                    <w:t>。</w:t>
                  </w:r>
                </w:p>
              </w:tc>
              <w:tc>
                <w:tcPr>
                  <w:tcW w:w="632" w:type="dxa"/>
                  <w:noWrap w:val="0"/>
                  <w:vAlign w:val="center"/>
                </w:tcPr>
                <w:p w14:paraId="1E33F723">
                  <w:pPr>
                    <w:spacing w:line="0" w:lineRule="atLeast"/>
                    <w:jc w:val="center"/>
                    <w:rPr>
                      <w:color w:val="auto"/>
                      <w:szCs w:val="21"/>
                    </w:rPr>
                  </w:pPr>
                  <w:r>
                    <w:rPr>
                      <w:rFonts w:hint="eastAsia"/>
                      <w:color w:val="auto"/>
                      <w:szCs w:val="21"/>
                    </w:rPr>
                    <w:t>新建</w:t>
                  </w:r>
                </w:p>
              </w:tc>
            </w:tr>
            <w:tr w14:paraId="2D065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55" w:type="dxa"/>
                  <w:vMerge w:val="continue"/>
                  <w:noWrap w:val="0"/>
                  <w:vAlign w:val="center"/>
                </w:tcPr>
                <w:p w14:paraId="0667C1CE">
                  <w:pPr>
                    <w:spacing w:line="0" w:lineRule="atLeast"/>
                    <w:jc w:val="center"/>
                    <w:rPr>
                      <w:color w:val="auto"/>
                      <w:szCs w:val="21"/>
                    </w:rPr>
                  </w:pPr>
                </w:p>
              </w:tc>
              <w:tc>
                <w:tcPr>
                  <w:tcW w:w="1415" w:type="dxa"/>
                  <w:noWrap w:val="0"/>
                  <w:vAlign w:val="center"/>
                </w:tcPr>
                <w:p w14:paraId="63EE6A17">
                  <w:pPr>
                    <w:spacing w:line="0" w:lineRule="atLeast"/>
                    <w:jc w:val="center"/>
                    <w:rPr>
                      <w:color w:val="auto"/>
                      <w:szCs w:val="21"/>
                    </w:rPr>
                  </w:pPr>
                  <w:r>
                    <w:rPr>
                      <w:rFonts w:hint="eastAsia"/>
                      <w:color w:val="auto"/>
                      <w:szCs w:val="21"/>
                    </w:rPr>
                    <w:t>固废处理</w:t>
                  </w:r>
                  <w:r>
                    <w:rPr>
                      <w:color w:val="auto"/>
                      <w:szCs w:val="21"/>
                    </w:rPr>
                    <w:t>措施</w:t>
                  </w:r>
                </w:p>
              </w:tc>
              <w:tc>
                <w:tcPr>
                  <w:tcW w:w="5291" w:type="dxa"/>
                  <w:noWrap w:val="0"/>
                  <w:vAlign w:val="center"/>
                </w:tcPr>
                <w:p w14:paraId="782082FD">
                  <w:pPr>
                    <w:spacing w:line="0" w:lineRule="atLeast"/>
                    <w:rPr>
                      <w:rFonts w:hint="default" w:eastAsia="宋体"/>
                      <w:color w:val="auto"/>
                      <w:szCs w:val="21"/>
                      <w:lang w:val="en-US" w:eastAsia="zh-CN"/>
                    </w:rPr>
                  </w:pPr>
                  <w:r>
                    <w:rPr>
                      <w:rFonts w:hint="eastAsia"/>
                      <w:color w:val="auto"/>
                      <w:szCs w:val="21"/>
                      <w:lang w:val="en-US" w:eastAsia="zh-CN"/>
                    </w:rPr>
                    <w:t>生物质</w:t>
                  </w:r>
                  <w:r>
                    <w:rPr>
                      <w:color w:val="auto"/>
                      <w:szCs w:val="21"/>
                    </w:rPr>
                    <w:t>灰渣，除尘器收集粉尘：集中收集，外售综合利用</w:t>
                  </w:r>
                  <w:r>
                    <w:rPr>
                      <w:rFonts w:hint="eastAsia"/>
                      <w:color w:val="auto"/>
                      <w:szCs w:val="21"/>
                    </w:rPr>
                    <w:t>；</w:t>
                  </w:r>
                  <w:r>
                    <w:rPr>
                      <w:rFonts w:hint="eastAsia"/>
                      <w:color w:val="auto"/>
                      <w:szCs w:val="21"/>
                      <w:lang w:val="en-US" w:eastAsia="zh-CN"/>
                    </w:rPr>
                    <w:t>生活垃圾由环卫部门处置</w:t>
                  </w:r>
                </w:p>
              </w:tc>
              <w:tc>
                <w:tcPr>
                  <w:tcW w:w="632" w:type="dxa"/>
                  <w:noWrap w:val="0"/>
                  <w:vAlign w:val="center"/>
                </w:tcPr>
                <w:p w14:paraId="2DBB73BD">
                  <w:pPr>
                    <w:spacing w:line="0" w:lineRule="atLeast"/>
                    <w:jc w:val="center"/>
                    <w:rPr>
                      <w:color w:val="auto"/>
                      <w:szCs w:val="21"/>
                    </w:rPr>
                  </w:pPr>
                  <w:r>
                    <w:rPr>
                      <w:rFonts w:hint="eastAsia"/>
                      <w:color w:val="auto"/>
                      <w:szCs w:val="21"/>
                    </w:rPr>
                    <w:t>新建</w:t>
                  </w:r>
                </w:p>
              </w:tc>
            </w:tr>
            <w:bookmarkEnd w:id="18"/>
          </w:tbl>
          <w:p w14:paraId="7AE84DC9">
            <w:pPr>
              <w:spacing w:line="360" w:lineRule="auto"/>
              <w:rPr>
                <w:rFonts w:hint="default"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2、</w:t>
            </w:r>
            <w:r>
              <w:rPr>
                <w:rFonts w:hint="default" w:ascii="Times New Roman" w:hAnsi="Times New Roman" w:cs="Times New Roman"/>
                <w:b/>
                <w:bCs/>
                <w:color w:val="auto"/>
                <w:kern w:val="0"/>
                <w:sz w:val="24"/>
                <w:szCs w:val="24"/>
                <w:lang w:val="en-US" w:eastAsia="zh-CN"/>
              </w:rPr>
              <w:t>主要生产设备及设备参数</w:t>
            </w:r>
          </w:p>
          <w:p w14:paraId="2C9D33C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本项目主要生产及辅助设备见下表。</w:t>
            </w:r>
          </w:p>
          <w:p w14:paraId="5BA726BC">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2-2</w:t>
            </w:r>
            <w:r>
              <w:rPr>
                <w:rFonts w:hint="default" w:ascii="Times New Roman" w:hAnsi="Times New Roman" w:eastAsia="宋体" w:cs="Times New Roman"/>
                <w:b/>
                <w:bCs/>
                <w:color w:val="auto"/>
                <w:sz w:val="24"/>
                <w:szCs w:val="24"/>
                <w:lang w:eastAsia="zh-CN"/>
              </w:rPr>
              <w:t>主要设备</w:t>
            </w:r>
            <w:r>
              <w:rPr>
                <w:rFonts w:hint="default" w:ascii="Times New Roman" w:hAnsi="Times New Roman" w:eastAsia="宋体" w:cs="Times New Roman"/>
                <w:b/>
                <w:bCs/>
                <w:color w:val="auto"/>
                <w:sz w:val="24"/>
                <w:szCs w:val="24"/>
              </w:rPr>
              <w:t>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3985"/>
              <w:gridCol w:w="1465"/>
              <w:gridCol w:w="1712"/>
            </w:tblGrid>
            <w:tr w14:paraId="710AB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29" w:type="pct"/>
                  <w:noWrap w:val="0"/>
                  <w:vAlign w:val="center"/>
                </w:tcPr>
                <w:p w14:paraId="5C4A182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320" w:type="pct"/>
                  <w:noWrap w:val="0"/>
                  <w:vAlign w:val="center"/>
                </w:tcPr>
                <w:p w14:paraId="144C38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853" w:type="pct"/>
                  <w:noWrap w:val="0"/>
                  <w:vAlign w:val="center"/>
                </w:tcPr>
                <w:p w14:paraId="156F9F5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996" w:type="pct"/>
                  <w:noWrap w:val="0"/>
                  <w:vAlign w:val="center"/>
                </w:tcPr>
                <w:p w14:paraId="5C8B99F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r>
            <w:tr w14:paraId="6B948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29" w:type="pct"/>
                  <w:noWrap w:val="0"/>
                  <w:vAlign w:val="center"/>
                </w:tcPr>
                <w:p w14:paraId="62522E6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2320" w:type="pct"/>
                  <w:noWrap w:val="0"/>
                  <w:vAlign w:val="center"/>
                </w:tcPr>
                <w:p w14:paraId="09555D32">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2t/h气化燃烧炉</w:t>
                  </w:r>
                </w:p>
              </w:tc>
              <w:tc>
                <w:tcPr>
                  <w:tcW w:w="853" w:type="pct"/>
                  <w:noWrap w:val="0"/>
                  <w:vAlign w:val="center"/>
                </w:tcPr>
                <w:p w14:paraId="1E508D7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996" w:type="pct"/>
                  <w:noWrap w:val="0"/>
                  <w:vAlign w:val="center"/>
                </w:tcPr>
                <w:p w14:paraId="38AA729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14:paraId="390E8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29" w:type="pct"/>
                  <w:noWrap w:val="0"/>
                  <w:vAlign w:val="center"/>
                </w:tcPr>
                <w:p w14:paraId="424BD09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2320" w:type="pct"/>
                  <w:noWrap w:val="0"/>
                  <w:vAlign w:val="center"/>
                </w:tcPr>
                <w:p w14:paraId="4C9E6319">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8t/h蒸汽锅炉</w:t>
                  </w:r>
                </w:p>
              </w:tc>
              <w:tc>
                <w:tcPr>
                  <w:tcW w:w="853" w:type="pct"/>
                  <w:noWrap w:val="0"/>
                  <w:vAlign w:val="center"/>
                </w:tcPr>
                <w:p w14:paraId="24FB6DF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996" w:type="pct"/>
                  <w:noWrap w:val="0"/>
                  <w:vAlign w:val="center"/>
                </w:tcPr>
                <w:p w14:paraId="4DCD1B0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r>
            <w:tr w14:paraId="733C9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29" w:type="pct"/>
                  <w:noWrap w:val="0"/>
                  <w:vAlign w:val="center"/>
                </w:tcPr>
                <w:p w14:paraId="3A109DE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2320" w:type="pct"/>
                  <w:noWrap w:val="0"/>
                  <w:vAlign w:val="center"/>
                </w:tcPr>
                <w:p w14:paraId="07D33084">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40MW电热水锅炉</w:t>
                  </w:r>
                </w:p>
              </w:tc>
              <w:tc>
                <w:tcPr>
                  <w:tcW w:w="853" w:type="pct"/>
                  <w:noWrap w:val="0"/>
                  <w:vAlign w:val="center"/>
                </w:tcPr>
                <w:p w14:paraId="09D71F8E">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台</w:t>
                  </w:r>
                </w:p>
              </w:tc>
              <w:tc>
                <w:tcPr>
                  <w:tcW w:w="996" w:type="pct"/>
                  <w:noWrap w:val="0"/>
                  <w:vAlign w:val="center"/>
                </w:tcPr>
                <w:p w14:paraId="67A2AB0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2B1EB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29" w:type="pct"/>
                  <w:noWrap w:val="0"/>
                  <w:vAlign w:val="center"/>
                </w:tcPr>
                <w:p w14:paraId="3B7CF30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2320" w:type="pct"/>
                  <w:noWrap w:val="0"/>
                  <w:vAlign w:val="center"/>
                </w:tcPr>
                <w:p w14:paraId="1044FF13">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sz w:val="21"/>
                      <w:szCs w:val="21"/>
                    </w:rPr>
                    <w:t>一次风机</w:t>
                  </w:r>
                </w:p>
              </w:tc>
              <w:tc>
                <w:tcPr>
                  <w:tcW w:w="853" w:type="pct"/>
                  <w:noWrap w:val="0"/>
                  <w:vAlign w:val="center"/>
                </w:tcPr>
                <w:p w14:paraId="6ECF801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996" w:type="pct"/>
                  <w:noWrap w:val="0"/>
                  <w:vAlign w:val="center"/>
                </w:tcPr>
                <w:p w14:paraId="35F6B7F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r>
            <w:tr w14:paraId="136A8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829" w:type="pct"/>
                  <w:noWrap w:val="0"/>
                  <w:vAlign w:val="center"/>
                </w:tcPr>
                <w:p w14:paraId="367F95C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2320" w:type="pct"/>
                  <w:noWrap w:val="0"/>
                  <w:vAlign w:val="center"/>
                </w:tcPr>
                <w:p w14:paraId="73F84C85">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sz w:val="21"/>
                      <w:szCs w:val="21"/>
                    </w:rPr>
                    <w:t>二次风机</w:t>
                  </w:r>
                </w:p>
              </w:tc>
              <w:tc>
                <w:tcPr>
                  <w:tcW w:w="853" w:type="pct"/>
                  <w:noWrap w:val="0"/>
                  <w:vAlign w:val="center"/>
                </w:tcPr>
                <w:p w14:paraId="14AC86E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996" w:type="pct"/>
                  <w:noWrap w:val="0"/>
                  <w:vAlign w:val="center"/>
                </w:tcPr>
                <w:p w14:paraId="3E248BA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r>
          </w:tbl>
          <w:p w14:paraId="212692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主要原辅材料及燃料</w:t>
            </w:r>
          </w:p>
          <w:p w14:paraId="0B3C73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highlight w:val="none"/>
              </w:rPr>
              <w:t>本项目燃料主要是当地阔叶林抚育剪伐产生的林下物，还有农业秸秆、废弃菌棒等。原辅材料用量见下表。</w:t>
            </w:r>
          </w:p>
          <w:p w14:paraId="5C25621A">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 xml:space="preserve">3 </w:t>
            </w:r>
            <w:r>
              <w:rPr>
                <w:rFonts w:hint="default" w:ascii="Times New Roman" w:hAnsi="Times New Roman" w:eastAsia="宋体" w:cs="Times New Roman"/>
                <w:b/>
                <w:bCs/>
                <w:color w:val="auto"/>
                <w:sz w:val="24"/>
                <w:szCs w:val="24"/>
                <w:lang w:eastAsia="zh-CN"/>
              </w:rPr>
              <w:t>原、辅材料情况</w:t>
            </w:r>
            <w:r>
              <w:rPr>
                <w:rFonts w:hint="default" w:ascii="Times New Roman" w:hAnsi="Times New Roman" w:eastAsia="宋体" w:cs="Times New Roman"/>
                <w:b/>
                <w:bCs/>
                <w:color w:val="auto"/>
                <w:sz w:val="24"/>
                <w:szCs w:val="24"/>
              </w:rPr>
              <w:t>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92"/>
              <w:gridCol w:w="1946"/>
              <w:gridCol w:w="3941"/>
            </w:tblGrid>
            <w:tr w14:paraId="0FFED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0" w:type="pct"/>
                  <w:noWrap w:val="0"/>
                  <w:vAlign w:val="center"/>
                </w:tcPr>
                <w:p w14:paraId="10BB085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160" w:type="pct"/>
                  <w:noWrap w:val="0"/>
                  <w:vAlign w:val="center"/>
                </w:tcPr>
                <w:p w14:paraId="147A8F9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133" w:type="pct"/>
                  <w:noWrap w:val="0"/>
                  <w:vAlign w:val="center"/>
                </w:tcPr>
                <w:p w14:paraId="6574BDD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年用量</w:t>
                  </w:r>
                </w:p>
              </w:tc>
              <w:tc>
                <w:tcPr>
                  <w:tcW w:w="2295" w:type="pct"/>
                  <w:noWrap w:val="0"/>
                  <w:vAlign w:val="center"/>
                </w:tcPr>
                <w:p w14:paraId="7BDEF60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r>
            <w:tr w14:paraId="74BEB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0" w:type="pct"/>
                  <w:noWrap w:val="0"/>
                  <w:vAlign w:val="center"/>
                </w:tcPr>
                <w:p w14:paraId="7394967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60" w:type="pct"/>
                  <w:noWrap w:val="0"/>
                  <w:vAlign w:val="center"/>
                </w:tcPr>
                <w:p w14:paraId="0E33C60A">
                  <w:pPr>
                    <w:adjustRightInd w:val="0"/>
                    <w:snapToGrid w:val="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生物质</w:t>
                  </w:r>
                </w:p>
              </w:tc>
              <w:tc>
                <w:tcPr>
                  <w:tcW w:w="1133" w:type="pct"/>
                  <w:noWrap w:val="0"/>
                  <w:vAlign w:val="center"/>
                </w:tcPr>
                <w:p w14:paraId="60C136A7">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6000</w:t>
                  </w:r>
                  <w:r>
                    <w:rPr>
                      <w:rFonts w:hint="default" w:ascii="Times New Roman" w:hAnsi="Times New Roman" w:cs="Times New Roman"/>
                      <w:color w:val="auto"/>
                      <w:szCs w:val="21"/>
                      <w:highlight w:val="none"/>
                    </w:rPr>
                    <w:t>t/a</w:t>
                  </w:r>
                </w:p>
              </w:tc>
              <w:tc>
                <w:tcPr>
                  <w:tcW w:w="2295" w:type="pct"/>
                  <w:noWrap w:val="0"/>
                  <w:vAlign w:val="center"/>
                </w:tcPr>
                <w:p w14:paraId="24A8F2B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当地阔叶林抚育剪伐产生的林下物，还有农业秸秆、废弃菌棒</w:t>
                  </w:r>
                </w:p>
              </w:tc>
            </w:tr>
            <w:tr w14:paraId="3A2D9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0" w:type="pct"/>
                  <w:noWrap w:val="0"/>
                  <w:vAlign w:val="center"/>
                </w:tcPr>
                <w:p w14:paraId="6687D1A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1160" w:type="pct"/>
                  <w:noWrap w:val="0"/>
                  <w:vAlign w:val="center"/>
                </w:tcPr>
                <w:p w14:paraId="460E71A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新鲜水</w:t>
                  </w:r>
                </w:p>
              </w:tc>
              <w:tc>
                <w:tcPr>
                  <w:tcW w:w="1133" w:type="pct"/>
                  <w:noWrap w:val="0"/>
                  <w:vAlign w:val="center"/>
                </w:tcPr>
                <w:p w14:paraId="435E19E2">
                  <w:pPr>
                    <w:adjustRightInd w:val="0"/>
                    <w:snapToGrid w:val="0"/>
                    <w:jc w:val="center"/>
                    <w:rPr>
                      <w:rFonts w:hint="default" w:ascii="Times New Roman" w:hAnsi="Times New Roman" w:cs="Times New Roman"/>
                      <w:color w:val="auto"/>
                      <w:szCs w:val="21"/>
                      <w:highlight w:val="none"/>
                      <w:lang w:val="en-US" w:eastAsia="zh-CN"/>
                    </w:rPr>
                  </w:pPr>
                  <w:r>
                    <w:rPr>
                      <w:rFonts w:hint="eastAsia"/>
                      <w:color w:val="auto"/>
                      <w:lang w:val="en-US" w:eastAsia="zh-CN"/>
                    </w:rPr>
                    <w:t>11.52</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rPr>
                    <w:t>/a</w:t>
                  </w:r>
                </w:p>
              </w:tc>
              <w:tc>
                <w:tcPr>
                  <w:tcW w:w="2295" w:type="pct"/>
                  <w:noWrap w:val="0"/>
                  <w:vAlign w:val="center"/>
                </w:tcPr>
                <w:p w14:paraId="79F9A044">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外购</w:t>
                  </w:r>
                </w:p>
              </w:tc>
            </w:tr>
          </w:tbl>
          <w:p w14:paraId="4725F5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①</w:t>
            </w:r>
            <w:r>
              <w:rPr>
                <w:rFonts w:hint="default" w:ascii="Times New Roman" w:hAnsi="Times New Roman" w:eastAsia="宋体" w:cs="Times New Roman"/>
                <w:color w:val="auto"/>
                <w:kern w:val="0"/>
                <w:sz w:val="24"/>
                <w:szCs w:val="24"/>
                <w:lang w:val="en-US" w:eastAsia="zh-CN"/>
              </w:rPr>
              <w:t>生物质</w:t>
            </w:r>
            <w:r>
              <w:rPr>
                <w:rFonts w:hint="eastAsia" w:cs="Times New Roman"/>
                <w:color w:val="auto"/>
                <w:kern w:val="0"/>
                <w:sz w:val="24"/>
                <w:szCs w:val="24"/>
                <w:lang w:val="en-US" w:eastAsia="zh-CN"/>
              </w:rPr>
              <w:t>原料</w:t>
            </w:r>
            <w:r>
              <w:rPr>
                <w:rFonts w:hint="default" w:ascii="Times New Roman" w:hAnsi="Times New Roman" w:eastAsia="宋体" w:cs="Times New Roman"/>
                <w:color w:val="auto"/>
                <w:kern w:val="0"/>
                <w:sz w:val="24"/>
                <w:szCs w:val="24"/>
                <w:lang w:val="en-US" w:eastAsia="zh-CN"/>
              </w:rPr>
              <w:t>消耗量计算：</w:t>
            </w:r>
          </w:p>
          <w:p w14:paraId="2E71F1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本项目建设1台2t/h（燃料耗量）生物质气化燃烧炉，气化炉年运行约8000h，约333d，则生物质原料最大消耗量约16000t/a，生物质气化炉的气体产率为2.0m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/kg，本项目生物质气产出率为3200万m</w:t>
            </w:r>
            <w:r>
              <w:rPr>
                <w:rFonts w:hint="eastAsia" w:ascii="Times New Roman" w:hAnsi="Times New Roman" w:eastAsia="宋体" w:cs="Times New Roman"/>
                <w:color w:val="auto"/>
                <w:kern w:val="0"/>
                <w:sz w:val="24"/>
                <w:szCs w:val="24"/>
                <w:vertAlign w:val="superscript"/>
                <w:lang w:val="en-US" w:eastAsia="zh-CN"/>
              </w:rPr>
              <w:t>3</w:t>
            </w:r>
            <w:r>
              <w:rPr>
                <w:rFonts w:hint="eastAsia" w:ascii="Times New Roman" w:hAnsi="Times New Roman" w:eastAsia="宋体" w:cs="Times New Roman"/>
                <w:color w:val="auto"/>
                <w:kern w:val="0"/>
                <w:sz w:val="24"/>
                <w:szCs w:val="24"/>
                <w:lang w:val="en-US" w:eastAsia="zh-CN"/>
              </w:rPr>
              <w:t>/a，项目使用</w:t>
            </w:r>
            <w:r>
              <w:rPr>
                <w:rFonts w:hint="default" w:ascii="Times New Roman" w:hAnsi="Times New Roman" w:eastAsia="宋体" w:cs="Times New Roman"/>
                <w:color w:val="auto"/>
                <w:kern w:val="0"/>
                <w:sz w:val="24"/>
                <w:szCs w:val="24"/>
                <w:lang w:val="en-US" w:eastAsia="zh-CN"/>
              </w:rPr>
              <w:t>当地阔叶林抚育剪伐产生的林下物，还有农业秸秆、废弃菌棒</w:t>
            </w:r>
            <w:r>
              <w:rPr>
                <w:rFonts w:hint="eastAsia" w:ascii="Times New Roman" w:hAnsi="Times New Roman" w:eastAsia="宋体" w:cs="Times New Roman"/>
                <w:color w:val="auto"/>
                <w:kern w:val="0"/>
                <w:sz w:val="24"/>
                <w:szCs w:val="24"/>
                <w:lang w:val="en-US" w:eastAsia="zh-CN"/>
              </w:rPr>
              <w:t>作为原料制取生物质气，根据设计资料，原料平均低位发热量14.57MJ/kg生物质原料计算，因此生物质气化炉产生的热量为233120000MJ/a，29140MJ/h，项目生物质原料投入气化装置后，由点火装置直接点燃生物质原料，无需投入其他燃料或采用电加热为反应过程提供热量。</w:t>
            </w:r>
          </w:p>
          <w:p w14:paraId="423C9A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②</w:t>
            </w:r>
            <w:r>
              <w:rPr>
                <w:rFonts w:hint="default" w:ascii="Times New Roman" w:hAnsi="Times New Roman" w:eastAsia="宋体" w:cs="Times New Roman"/>
                <w:color w:val="auto"/>
                <w:kern w:val="0"/>
                <w:sz w:val="24"/>
                <w:szCs w:val="24"/>
                <w:lang w:val="en-US" w:eastAsia="zh-CN"/>
              </w:rPr>
              <w:t>水量计算：</w:t>
            </w:r>
          </w:p>
          <w:p w14:paraId="686DC2C6">
            <w:pPr>
              <w:spacing w:line="360" w:lineRule="auto"/>
              <w:ind w:firstLine="480" w:firstLineChars="200"/>
              <w:rPr>
                <w:color w:val="auto"/>
                <w:sz w:val="24"/>
              </w:rPr>
            </w:pPr>
            <w:r>
              <w:rPr>
                <w:rFonts w:hint="eastAsia"/>
                <w:color w:val="auto"/>
                <w:sz w:val="24"/>
              </w:rPr>
              <w:t>本项目供水由市政管网提供，用水主要为生活用水和锅炉用水。</w:t>
            </w:r>
          </w:p>
          <w:p w14:paraId="6C21A2BE">
            <w:pPr>
              <w:spacing w:line="360" w:lineRule="auto"/>
              <w:ind w:firstLine="480" w:firstLineChars="200"/>
              <w:rPr>
                <w:rFonts w:hint="eastAsia"/>
                <w:color w:val="auto"/>
                <w:sz w:val="24"/>
              </w:rPr>
            </w:pPr>
            <w:r>
              <w:rPr>
                <w:rFonts w:hint="eastAsia"/>
                <w:color w:val="auto"/>
                <w:sz w:val="24"/>
              </w:rPr>
              <w:t>生活用水：</w:t>
            </w:r>
            <w:r>
              <w:rPr>
                <w:rFonts w:hint="eastAsia"/>
                <w:color w:val="auto"/>
                <w:kern w:val="0"/>
                <w:sz w:val="24"/>
              </w:rPr>
              <w:t>本</w:t>
            </w:r>
            <w:r>
              <w:rPr>
                <w:color w:val="auto"/>
                <w:kern w:val="0"/>
                <w:sz w:val="24"/>
              </w:rPr>
              <w:t>项目劳动定员</w:t>
            </w:r>
            <w:r>
              <w:rPr>
                <w:rFonts w:hint="eastAsia"/>
                <w:color w:val="auto"/>
                <w:kern w:val="0"/>
                <w:sz w:val="24"/>
                <w:lang w:val="en-US" w:eastAsia="zh-CN"/>
              </w:rPr>
              <w:t>25</w:t>
            </w:r>
            <w:r>
              <w:rPr>
                <w:color w:val="auto"/>
                <w:kern w:val="0"/>
                <w:sz w:val="24"/>
              </w:rPr>
              <w:t>人，年工作</w:t>
            </w:r>
            <w:r>
              <w:rPr>
                <w:rFonts w:hint="eastAsia"/>
                <w:color w:val="auto"/>
                <w:kern w:val="0"/>
                <w:sz w:val="24"/>
                <w:lang w:val="en-US" w:eastAsia="zh-CN"/>
              </w:rPr>
              <w:t>333</w:t>
            </w:r>
            <w:r>
              <w:rPr>
                <w:color w:val="auto"/>
                <w:kern w:val="0"/>
                <w:sz w:val="24"/>
              </w:rPr>
              <w:t>天，</w:t>
            </w:r>
            <w:r>
              <w:rPr>
                <w:rFonts w:hint="eastAsia"/>
                <w:color w:val="auto"/>
                <w:sz w:val="24"/>
              </w:rPr>
              <w:t>用水量参照</w:t>
            </w:r>
            <w:r>
              <w:rPr>
                <w:color w:val="auto"/>
                <w:sz w:val="24"/>
              </w:rPr>
              <w:t>黑龙江省地方标准</w:t>
            </w:r>
            <w:r>
              <w:rPr>
                <w:color w:val="auto"/>
                <w:kern w:val="0"/>
                <w:sz w:val="24"/>
              </w:rPr>
              <w:t>《用水定额》（DB23/T727-2021）表H.</w:t>
            </w:r>
            <w:r>
              <w:rPr>
                <w:rFonts w:hint="eastAsia"/>
                <w:color w:val="auto"/>
                <w:kern w:val="0"/>
                <w:sz w:val="24"/>
              </w:rPr>
              <w:t>2</w:t>
            </w:r>
            <w:r>
              <w:rPr>
                <w:color w:val="auto"/>
                <w:kern w:val="0"/>
                <w:sz w:val="24"/>
              </w:rPr>
              <w:t>确定，用水定额为</w:t>
            </w:r>
            <w:r>
              <w:rPr>
                <w:rFonts w:hint="eastAsia"/>
                <w:color w:val="auto"/>
                <w:kern w:val="0"/>
                <w:sz w:val="24"/>
              </w:rPr>
              <w:t>80L</w:t>
            </w:r>
            <w:r>
              <w:rPr>
                <w:color w:val="auto"/>
                <w:kern w:val="0"/>
                <w:sz w:val="24"/>
              </w:rPr>
              <w:t>/（</w:t>
            </w:r>
            <w:r>
              <w:rPr>
                <w:rFonts w:hint="eastAsia"/>
                <w:color w:val="auto"/>
                <w:kern w:val="0"/>
                <w:sz w:val="24"/>
              </w:rPr>
              <w:t>人</w:t>
            </w:r>
            <w:r>
              <w:rPr>
                <w:color w:val="auto"/>
                <w:kern w:val="0"/>
                <w:sz w:val="24"/>
              </w:rPr>
              <w:t>·</w:t>
            </w:r>
            <w:r>
              <w:rPr>
                <w:rFonts w:hint="eastAsia"/>
                <w:color w:val="auto"/>
                <w:kern w:val="0"/>
                <w:sz w:val="24"/>
              </w:rPr>
              <w:t>d</w:t>
            </w:r>
            <w:r>
              <w:rPr>
                <w:color w:val="auto"/>
                <w:kern w:val="0"/>
                <w:sz w:val="24"/>
              </w:rPr>
              <w:t>），</w:t>
            </w:r>
          </w:p>
          <w:p w14:paraId="3C863BD5">
            <w:pPr>
              <w:spacing w:line="360" w:lineRule="auto"/>
              <w:rPr>
                <w:color w:val="auto"/>
                <w:sz w:val="24"/>
              </w:rPr>
            </w:pPr>
            <w:r>
              <w:rPr>
                <w:color w:val="auto"/>
                <w:sz w:val="24"/>
              </w:rPr>
              <w:t>则生活用水量</w:t>
            </w:r>
            <w:r>
              <w:rPr>
                <w:rFonts w:hint="eastAsia"/>
                <w:color w:val="auto"/>
                <w:sz w:val="24"/>
                <w:lang w:val="en-US" w:eastAsia="zh-CN"/>
              </w:rPr>
              <w:t>2</w:t>
            </w:r>
            <w:r>
              <w:rPr>
                <w:rFonts w:hint="eastAsia"/>
                <w:color w:val="auto"/>
                <w:sz w:val="24"/>
              </w:rPr>
              <w:t>t</w:t>
            </w:r>
            <w:r>
              <w:rPr>
                <w:color w:val="auto"/>
                <w:sz w:val="24"/>
              </w:rPr>
              <w:t>/d</w:t>
            </w:r>
            <w:r>
              <w:rPr>
                <w:rFonts w:hint="eastAsia"/>
                <w:color w:val="auto"/>
                <w:sz w:val="24"/>
              </w:rPr>
              <w:t>（</w:t>
            </w:r>
            <w:r>
              <w:rPr>
                <w:rFonts w:hint="eastAsia"/>
                <w:color w:val="auto"/>
                <w:sz w:val="24"/>
                <w:lang w:val="en-US" w:eastAsia="zh-CN"/>
              </w:rPr>
              <w:t>666</w:t>
            </w:r>
            <w:r>
              <w:rPr>
                <w:rFonts w:hint="eastAsia"/>
                <w:color w:val="auto"/>
                <w:sz w:val="24"/>
              </w:rPr>
              <w:t>t/a）。</w:t>
            </w:r>
          </w:p>
          <w:p w14:paraId="5F8D6DF0">
            <w:pPr>
              <w:spacing w:line="360" w:lineRule="auto"/>
              <w:ind w:firstLine="480" w:firstLineChars="200"/>
              <w:rPr>
                <w:rFonts w:hint="default" w:eastAsia="宋体"/>
                <w:color w:val="auto"/>
                <w:sz w:val="24"/>
                <w:lang w:val="en-US" w:eastAsia="zh-CN"/>
              </w:rPr>
            </w:pPr>
            <w:r>
              <w:rPr>
                <w:rFonts w:hint="eastAsia"/>
                <w:color w:val="auto"/>
                <w:sz w:val="24"/>
              </w:rPr>
              <w:t>锅炉用水：</w:t>
            </w:r>
            <w:r>
              <w:rPr>
                <w:rFonts w:hint="default" w:ascii="Times New Roman" w:hAnsi="Times New Roman" w:eastAsia="宋体" w:cs="Times New Roman"/>
                <w:sz w:val="24"/>
                <w:szCs w:val="24"/>
              </w:rPr>
              <w:t>锅炉房用水主要用于制备蒸汽及定期排污损耗，使用软水。项目蒸汽锅炉额定蒸发量为</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t/h，年运行时间</w:t>
            </w:r>
            <w:r>
              <w:rPr>
                <w:rFonts w:hint="default" w:ascii="Times New Roman" w:hAnsi="Times New Roman" w:eastAsia="宋体" w:cs="Times New Roman"/>
                <w:sz w:val="24"/>
                <w:szCs w:val="24"/>
                <w:lang w:val="en-US" w:eastAsia="zh-CN"/>
              </w:rPr>
              <w:t>8000h</w:t>
            </w:r>
            <w:r>
              <w:rPr>
                <w:rFonts w:hint="default" w:ascii="Times New Roman" w:hAnsi="Times New Roman" w:eastAsia="宋体" w:cs="Times New Roman"/>
                <w:sz w:val="24"/>
                <w:szCs w:val="24"/>
              </w:rPr>
              <w:t>，则蒸汽制备量为</w:t>
            </w:r>
            <w:r>
              <w:rPr>
                <w:rFonts w:hint="default" w:ascii="Times New Roman" w:hAnsi="Times New Roman" w:eastAsia="宋体" w:cs="Times New Roman"/>
                <w:sz w:val="24"/>
                <w:szCs w:val="24"/>
                <w:lang w:val="en-US" w:eastAsia="zh-CN"/>
              </w:rPr>
              <w:t>6.4</w:t>
            </w:r>
            <w:r>
              <w:rPr>
                <w:rFonts w:hint="default" w:ascii="Times New Roman" w:hAnsi="Times New Roman" w:eastAsia="宋体" w:cs="Times New Roman"/>
                <w:sz w:val="24"/>
                <w:szCs w:val="24"/>
              </w:rPr>
              <w:t>万t/a。根据《工业锅炉水质》（GB1576-2018），以软化水为补给水的锅炉正常排污率不应超过1%，本环评以1%计算，则锅炉排水量为</w:t>
            </w:r>
            <w:r>
              <w:rPr>
                <w:rFonts w:hint="default" w:ascii="Times New Roman" w:hAnsi="Times New Roman" w:eastAsia="宋体" w:cs="Times New Roman"/>
                <w:sz w:val="24"/>
                <w:szCs w:val="24"/>
                <w:lang w:val="en-US" w:eastAsia="zh-CN"/>
              </w:rPr>
              <w:t>640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/a。因此，项目锅炉房用水量约</w:t>
            </w:r>
            <w:r>
              <w:rPr>
                <w:rFonts w:hint="default" w:ascii="Times New Roman" w:hAnsi="Times New Roman" w:eastAsia="宋体" w:cs="Times New Roman"/>
                <w:sz w:val="24"/>
                <w:szCs w:val="24"/>
                <w:lang w:val="en-US" w:eastAsia="zh-CN"/>
              </w:rPr>
              <w:t>64640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/a。锅炉系统排水主要污染物COD≤50mg/L、SS≤100mg/L、少量Ca</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、Mg</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等无机盐离子，浓度较低，可直接纳管排放。</w:t>
            </w:r>
            <w:r>
              <w:rPr>
                <w:rFonts w:hint="eastAsia" w:ascii="Times New Roman" w:hAnsi="Times New Roman" w:eastAsia="宋体" w:cs="Times New Roman"/>
                <w:sz w:val="24"/>
                <w:szCs w:val="24"/>
                <w:lang w:val="en-US" w:eastAsia="zh-CN"/>
              </w:rPr>
              <w:t>本项目软化水制备效率90%，则本项目锅炉及软化水处理用水量为71822t/a，215.68t/d。</w:t>
            </w:r>
          </w:p>
          <w:p w14:paraId="73FB6455">
            <w:pPr>
              <w:spacing w:line="360" w:lineRule="auto"/>
              <w:ind w:firstLine="480"/>
              <w:jc w:val="left"/>
              <w:rPr>
                <w:color w:val="auto"/>
                <w:sz w:val="24"/>
              </w:rPr>
            </w:pPr>
            <w:r>
              <w:rPr>
                <w:rFonts w:hint="eastAsia"/>
                <w:color w:val="auto"/>
                <w:sz w:val="24"/>
              </w:rPr>
              <w:t>综上，总用水量为</w:t>
            </w:r>
            <w:r>
              <w:rPr>
                <w:rFonts w:hint="eastAsia"/>
                <w:color w:val="auto"/>
                <w:sz w:val="24"/>
                <w:lang w:val="en-US" w:eastAsia="zh-CN"/>
              </w:rPr>
              <w:t>217.68</w:t>
            </w:r>
            <w:r>
              <w:rPr>
                <w:rFonts w:hint="eastAsia"/>
                <w:color w:val="auto"/>
                <w:sz w:val="24"/>
              </w:rPr>
              <w:t>t</w:t>
            </w:r>
            <w:r>
              <w:rPr>
                <w:color w:val="auto"/>
                <w:sz w:val="24"/>
              </w:rPr>
              <w:t>/d</w:t>
            </w:r>
            <w:r>
              <w:rPr>
                <w:rFonts w:hint="eastAsia"/>
                <w:color w:val="auto"/>
                <w:sz w:val="24"/>
              </w:rPr>
              <w:t>（</w:t>
            </w:r>
            <w:r>
              <w:rPr>
                <w:rFonts w:hint="eastAsia"/>
                <w:color w:val="auto"/>
                <w:sz w:val="24"/>
                <w:lang w:val="en-US" w:eastAsia="zh-CN"/>
              </w:rPr>
              <w:t>72488</w:t>
            </w:r>
            <w:r>
              <w:rPr>
                <w:rFonts w:hint="eastAsia"/>
                <w:color w:val="auto"/>
                <w:sz w:val="24"/>
              </w:rPr>
              <w:t>t/a）</w:t>
            </w:r>
          </w:p>
          <w:p w14:paraId="2361EE52">
            <w:pPr>
              <w:spacing w:line="360" w:lineRule="auto"/>
              <w:ind w:firstLine="480"/>
              <w:jc w:val="left"/>
              <w:rPr>
                <w:color w:val="auto"/>
                <w:sz w:val="24"/>
              </w:rPr>
            </w:pPr>
            <w:r>
              <w:rPr>
                <w:rFonts w:hint="eastAsia"/>
                <w:color w:val="auto"/>
                <w:sz w:val="24"/>
              </w:rPr>
              <w:t>（</w:t>
            </w:r>
            <w:r>
              <w:rPr>
                <w:color w:val="auto"/>
                <w:sz w:val="24"/>
              </w:rPr>
              <w:t>2</w:t>
            </w:r>
            <w:r>
              <w:rPr>
                <w:rFonts w:hint="eastAsia"/>
                <w:color w:val="auto"/>
                <w:sz w:val="24"/>
              </w:rPr>
              <w:t>）排水</w:t>
            </w:r>
          </w:p>
          <w:p w14:paraId="14509980">
            <w:pPr>
              <w:spacing w:line="360" w:lineRule="auto"/>
              <w:ind w:firstLine="480"/>
              <w:jc w:val="left"/>
              <w:rPr>
                <w:color w:val="auto"/>
                <w:sz w:val="24"/>
              </w:rPr>
            </w:pPr>
            <w:r>
              <w:rPr>
                <w:color w:val="auto"/>
                <w:sz w:val="24"/>
              </w:rPr>
              <w:t>生活污水：生活</w:t>
            </w:r>
            <w:r>
              <w:rPr>
                <w:rFonts w:hint="eastAsia"/>
                <w:color w:val="auto"/>
                <w:sz w:val="24"/>
              </w:rPr>
              <w:t>污水</w:t>
            </w:r>
            <w:r>
              <w:rPr>
                <w:color w:val="auto"/>
                <w:sz w:val="24"/>
              </w:rPr>
              <w:t>排放量按用水量的80%计，则生活污水的排放量为</w:t>
            </w:r>
            <w:r>
              <w:rPr>
                <w:rFonts w:hint="eastAsia"/>
                <w:color w:val="auto"/>
                <w:sz w:val="24"/>
                <w:lang w:val="en-US" w:eastAsia="zh-CN"/>
              </w:rPr>
              <w:t>1.6</w:t>
            </w:r>
            <w:r>
              <w:rPr>
                <w:rFonts w:hint="eastAsia"/>
                <w:color w:val="auto"/>
                <w:sz w:val="24"/>
              </w:rPr>
              <w:t>t</w:t>
            </w:r>
            <w:r>
              <w:rPr>
                <w:color w:val="auto"/>
                <w:sz w:val="24"/>
              </w:rPr>
              <w:t>/d</w:t>
            </w:r>
            <w:r>
              <w:rPr>
                <w:rFonts w:hint="eastAsia"/>
                <w:color w:val="auto"/>
                <w:sz w:val="24"/>
              </w:rPr>
              <w:t>（</w:t>
            </w:r>
            <w:r>
              <w:rPr>
                <w:rFonts w:hint="eastAsia"/>
                <w:color w:val="auto"/>
                <w:sz w:val="24"/>
                <w:lang w:val="en-US" w:eastAsia="zh-CN"/>
              </w:rPr>
              <w:t>532.8</w:t>
            </w:r>
            <w:r>
              <w:rPr>
                <w:rFonts w:hint="eastAsia"/>
                <w:color w:val="auto"/>
                <w:sz w:val="24"/>
              </w:rPr>
              <w:t>t/a）</w:t>
            </w:r>
            <w:r>
              <w:rPr>
                <w:color w:val="auto"/>
                <w:sz w:val="24"/>
              </w:rPr>
              <w:t>。</w:t>
            </w:r>
          </w:p>
          <w:p w14:paraId="17BE74B7">
            <w:pPr>
              <w:spacing w:line="360" w:lineRule="auto"/>
              <w:ind w:firstLine="480"/>
              <w:jc w:val="left"/>
              <w:rPr>
                <w:rFonts w:hint="eastAsia"/>
                <w:color w:val="auto"/>
                <w:sz w:val="24"/>
              </w:rPr>
            </w:pPr>
            <w:r>
              <w:rPr>
                <w:color w:val="auto"/>
                <w:sz w:val="24"/>
              </w:rPr>
              <w:t>锅炉排污水</w:t>
            </w:r>
            <w:r>
              <w:rPr>
                <w:rFonts w:hint="eastAsia"/>
                <w:color w:val="auto"/>
                <w:sz w:val="24"/>
                <w:lang w:val="en-US" w:eastAsia="zh-CN"/>
              </w:rPr>
              <w:t>及软化水处理</w:t>
            </w:r>
            <w:r>
              <w:rPr>
                <w:color w:val="auto"/>
                <w:sz w:val="24"/>
              </w:rPr>
              <w:t>废水：</w:t>
            </w:r>
          </w:p>
          <w:p w14:paraId="282902CD">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z w:val="24"/>
                <w:szCs w:val="24"/>
              </w:rPr>
              <w:t>锅炉房用水主要用于制备蒸汽及定期排污损耗，使用软水。项目蒸汽锅炉额定蒸发量为</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t/h，年运行时间</w:t>
            </w:r>
            <w:r>
              <w:rPr>
                <w:rFonts w:hint="default" w:ascii="Times New Roman" w:hAnsi="Times New Roman" w:eastAsia="宋体" w:cs="Times New Roman"/>
                <w:sz w:val="24"/>
                <w:szCs w:val="24"/>
                <w:lang w:val="en-US" w:eastAsia="zh-CN"/>
              </w:rPr>
              <w:t>8000h</w:t>
            </w:r>
            <w:r>
              <w:rPr>
                <w:rFonts w:hint="default" w:ascii="Times New Roman" w:hAnsi="Times New Roman" w:eastAsia="宋体" w:cs="Times New Roman"/>
                <w:sz w:val="24"/>
                <w:szCs w:val="24"/>
              </w:rPr>
              <w:t>，则蒸汽制备量为</w:t>
            </w:r>
            <w:r>
              <w:rPr>
                <w:rFonts w:hint="default" w:ascii="Times New Roman" w:hAnsi="Times New Roman" w:eastAsia="宋体" w:cs="Times New Roman"/>
                <w:sz w:val="24"/>
                <w:szCs w:val="24"/>
                <w:lang w:val="en-US" w:eastAsia="zh-CN"/>
              </w:rPr>
              <w:t>6.4</w:t>
            </w:r>
            <w:r>
              <w:rPr>
                <w:rFonts w:hint="default" w:ascii="Times New Roman" w:hAnsi="Times New Roman" w:eastAsia="宋体" w:cs="Times New Roman"/>
                <w:sz w:val="24"/>
                <w:szCs w:val="24"/>
              </w:rPr>
              <w:t>万t/a。根据《工业锅炉水质》（GB1576-2018），以软化水为补给水的锅炉正常排污率不应超过1%，本环评以1%计算，则锅炉排水量为</w:t>
            </w:r>
            <w:r>
              <w:rPr>
                <w:rFonts w:hint="default" w:ascii="Times New Roman" w:hAnsi="Times New Roman" w:eastAsia="宋体" w:cs="Times New Roman"/>
                <w:sz w:val="24"/>
                <w:szCs w:val="24"/>
                <w:lang w:val="en-US" w:eastAsia="zh-CN"/>
              </w:rPr>
              <w:t>640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/a。因此，项目锅炉房用水量约</w:t>
            </w:r>
            <w:r>
              <w:rPr>
                <w:rFonts w:hint="default" w:ascii="Times New Roman" w:hAnsi="Times New Roman" w:eastAsia="宋体" w:cs="Times New Roman"/>
                <w:sz w:val="24"/>
                <w:szCs w:val="24"/>
                <w:lang w:val="en-US" w:eastAsia="zh-CN"/>
              </w:rPr>
              <w:t>64640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/a。锅炉系统排水主要污染物COD≤50mg/L、SS≤100mg/L、少量Ca</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、Mg</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等无机盐离子，浓度较低，可直接纳管排放。</w:t>
            </w:r>
            <w:r>
              <w:rPr>
                <w:rFonts w:hint="eastAsia" w:ascii="Times New Roman" w:hAnsi="Times New Roman" w:eastAsia="宋体" w:cs="Times New Roman"/>
                <w:sz w:val="24"/>
                <w:szCs w:val="24"/>
                <w:lang w:val="en-US" w:eastAsia="zh-CN"/>
              </w:rPr>
              <w:t>本项目软化水制备效率90%，则本项目锅炉及软化水处理用水量为71822t/a，软化水制备废水产生量为7182t/a，锅炉排污水及软化水处理废水产生量为7822t/a。</w:t>
            </w:r>
          </w:p>
          <w:p w14:paraId="258933AF">
            <w:pPr>
              <w:pStyle w:val="91"/>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4983480" cy="1947545"/>
                  <wp:effectExtent l="0" t="0" r="0" b="0"/>
                  <wp:docPr id="3" name="ECB019B1-382A-4266-B25C-5B523AA43C14-1" descr="C:/Users/WY001/AppData/Local/Temp/wps.RbUoL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WY001/AppData/Local/Temp/wps.RbUoLlwps"/>
                          <pic:cNvPicPr>
                            <a:picLocks noChangeAspect="1"/>
                          </pic:cNvPicPr>
                        </pic:nvPicPr>
                        <pic:blipFill>
                          <a:blip r:embed="rId9"/>
                          <a:stretch>
                            <a:fillRect/>
                          </a:stretch>
                        </pic:blipFill>
                        <pic:spPr>
                          <a:xfrm>
                            <a:off x="0" y="0"/>
                            <a:ext cx="4983480" cy="1947545"/>
                          </a:xfrm>
                          <a:prstGeom prst="rect">
                            <a:avLst/>
                          </a:prstGeom>
                        </pic:spPr>
                      </pic:pic>
                    </a:graphicData>
                  </a:graphic>
                </wp:inline>
              </w:drawing>
            </w:r>
          </w:p>
          <w:p w14:paraId="327CD9AA">
            <w:pPr>
              <w:pStyle w:val="80"/>
              <w:adjustRightInd/>
              <w:snapToGrid/>
              <w:spacing w:line="240" w:lineRule="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图2-1水平衡图</w:t>
            </w:r>
          </w:p>
          <w:p w14:paraId="34F6F6F1">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供电</w:t>
            </w:r>
          </w:p>
          <w:p w14:paraId="761FC63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lang w:val="en-US" w:eastAsia="zh-CN"/>
              </w:rPr>
              <w:t>国家电网</w:t>
            </w:r>
            <w:r>
              <w:rPr>
                <w:rFonts w:hint="default" w:ascii="Times New Roman" w:hAnsi="Times New Roman" w:eastAsia="宋体" w:cs="Times New Roman"/>
                <w:color w:val="auto"/>
                <w:sz w:val="24"/>
                <w:szCs w:val="24"/>
                <w:highlight w:val="none"/>
                <w:lang w:eastAsia="zh-CN"/>
              </w:rPr>
              <w:t>提供</w:t>
            </w:r>
            <w:r>
              <w:rPr>
                <w:rFonts w:hint="default" w:ascii="Times New Roman" w:hAnsi="Times New Roman" w:eastAsia="宋体" w:cs="Times New Roman"/>
                <w:color w:val="auto"/>
                <w:sz w:val="24"/>
                <w:szCs w:val="24"/>
                <w:highlight w:val="none"/>
                <w:lang w:val="zh-CN" w:eastAsia="zh-CN"/>
              </w:rPr>
              <w:t>。</w:t>
            </w:r>
          </w:p>
          <w:p w14:paraId="5C1D8C24">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供</w:t>
            </w:r>
            <w:r>
              <w:rPr>
                <w:rFonts w:hint="default" w:ascii="Times New Roman" w:hAnsi="Times New Roman" w:eastAsia="宋体" w:cs="Times New Roman"/>
                <w:color w:val="auto"/>
                <w:sz w:val="24"/>
                <w:szCs w:val="24"/>
                <w:highlight w:val="none"/>
                <w:lang w:eastAsia="zh-CN"/>
              </w:rPr>
              <w:t>热</w:t>
            </w:r>
          </w:p>
          <w:p w14:paraId="3BD2316A">
            <w:pPr>
              <w:keepNext w:val="0"/>
              <w:keepLines w:val="0"/>
              <w:pageBreakBefore w:val="0"/>
              <w:widowControl w:val="0"/>
              <w:kinsoku/>
              <w:wordWrap/>
              <w:topLinePunct w:val="0"/>
              <w:bidi w:val="0"/>
              <w:snapToGrid/>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办公室冬季</w:t>
            </w:r>
            <w:r>
              <w:rPr>
                <w:rFonts w:hint="default" w:ascii="Times New Roman" w:hAnsi="Times New Roman" w:eastAsia="宋体" w:cs="Times New Roman"/>
                <w:color w:val="auto"/>
                <w:sz w:val="24"/>
                <w:szCs w:val="24"/>
                <w:highlight w:val="none"/>
              </w:rPr>
              <w:t>供暖采用</w:t>
            </w:r>
            <w:r>
              <w:rPr>
                <w:rFonts w:hint="eastAsia" w:cs="Times New Roman"/>
                <w:color w:val="auto"/>
                <w:sz w:val="24"/>
                <w:szCs w:val="24"/>
                <w:highlight w:val="none"/>
                <w:lang w:val="en-US" w:eastAsia="zh-CN"/>
              </w:rPr>
              <w:t>8t/h蒸汽锅炉</w:t>
            </w:r>
            <w:r>
              <w:rPr>
                <w:rFonts w:hint="default" w:ascii="Times New Roman" w:hAnsi="Times New Roman" w:eastAsia="宋体" w:cs="Times New Roman"/>
                <w:color w:val="auto"/>
                <w:sz w:val="24"/>
                <w:szCs w:val="24"/>
                <w:highlight w:val="none"/>
              </w:rPr>
              <w:t>取暖；</w:t>
            </w:r>
          </w:p>
          <w:p w14:paraId="16A7A2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劳动定员及工作制度</w:t>
            </w:r>
          </w:p>
          <w:p w14:paraId="52CE33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rPr>
              <w:t>本项目建成后</w:t>
            </w:r>
            <w:r>
              <w:rPr>
                <w:rFonts w:hint="default" w:ascii="Times New Roman" w:hAnsi="Times New Roman" w:cs="Times New Roman"/>
                <w:color w:val="auto"/>
                <w:kern w:val="0"/>
                <w:sz w:val="24"/>
                <w:szCs w:val="24"/>
                <w:highlight w:val="none"/>
                <w:lang w:val="en-US" w:eastAsia="zh-CN"/>
              </w:rPr>
              <w:t>工作人员约</w:t>
            </w:r>
            <w:r>
              <w:rPr>
                <w:rFonts w:hint="eastAsia" w:cs="Times New Roman"/>
                <w:color w:val="auto"/>
                <w:kern w:val="0"/>
                <w:sz w:val="24"/>
                <w:szCs w:val="24"/>
                <w:highlight w:val="none"/>
                <w:lang w:val="en-US" w:eastAsia="zh-CN"/>
              </w:rPr>
              <w:t>25</w:t>
            </w:r>
            <w:r>
              <w:rPr>
                <w:rFonts w:hint="default" w:ascii="Times New Roman" w:hAnsi="Times New Roman" w:cs="Times New Roman"/>
                <w:color w:val="auto"/>
                <w:kern w:val="0"/>
                <w:sz w:val="24"/>
                <w:szCs w:val="24"/>
                <w:highlight w:val="none"/>
                <w:lang w:val="en-US" w:eastAsia="zh-CN"/>
              </w:rPr>
              <w:t>人，年工作</w:t>
            </w:r>
            <w:r>
              <w:rPr>
                <w:rFonts w:hint="eastAsia" w:ascii="Times New Roman" w:hAnsi="Times New Roman" w:cs="Times New Roman"/>
                <w:color w:val="auto"/>
                <w:kern w:val="0"/>
                <w:sz w:val="24"/>
                <w:szCs w:val="24"/>
                <w:highlight w:val="none"/>
                <w:lang w:val="en-US" w:eastAsia="zh-CN"/>
              </w:rPr>
              <w:t>3</w:t>
            </w:r>
            <w:r>
              <w:rPr>
                <w:rFonts w:hint="eastAsia" w:cs="Times New Roman"/>
                <w:color w:val="auto"/>
                <w:kern w:val="0"/>
                <w:sz w:val="24"/>
                <w:szCs w:val="24"/>
                <w:highlight w:val="none"/>
                <w:lang w:val="en-US" w:eastAsia="zh-CN"/>
              </w:rPr>
              <w:t>33</w:t>
            </w:r>
            <w:r>
              <w:rPr>
                <w:rFonts w:hint="default" w:ascii="Times New Roman" w:hAnsi="Times New Roman" w:cs="Times New Roman"/>
                <w:color w:val="auto"/>
                <w:kern w:val="0"/>
                <w:sz w:val="24"/>
                <w:szCs w:val="24"/>
                <w:highlight w:val="none"/>
                <w:lang w:val="en-US" w:eastAsia="zh-CN"/>
              </w:rPr>
              <w:t>天</w:t>
            </w:r>
            <w:r>
              <w:rPr>
                <w:rFonts w:hint="eastAsia" w:cs="Times New Roman"/>
                <w:color w:val="auto"/>
                <w:kern w:val="0"/>
                <w:sz w:val="24"/>
                <w:szCs w:val="24"/>
                <w:highlight w:val="none"/>
                <w:lang w:val="en-US" w:eastAsia="zh-CN"/>
              </w:rPr>
              <w:t>，8000小时</w:t>
            </w:r>
            <w:r>
              <w:rPr>
                <w:rFonts w:hint="default" w:ascii="Times New Roman" w:hAnsi="Times New Roman" w:cs="Times New Roman"/>
                <w:color w:val="auto"/>
                <w:kern w:val="0"/>
                <w:sz w:val="24"/>
                <w:szCs w:val="24"/>
                <w:highlight w:val="none"/>
                <w:lang w:val="en-US" w:eastAsia="zh-CN"/>
              </w:rPr>
              <w:t>。</w:t>
            </w:r>
          </w:p>
          <w:p w14:paraId="1EAFC82E">
            <w:pPr>
              <w:widowControl/>
              <w:spacing w:line="360" w:lineRule="auto"/>
              <w:rPr>
                <w:b/>
                <w:bCs/>
                <w:color w:val="auto"/>
                <w:kern w:val="0"/>
                <w:sz w:val="24"/>
                <w:highlight w:val="none"/>
              </w:rPr>
            </w:pPr>
            <w:r>
              <w:rPr>
                <w:rFonts w:hint="eastAsia"/>
                <w:b/>
                <w:bCs/>
                <w:color w:val="auto"/>
                <w:kern w:val="0"/>
                <w:sz w:val="24"/>
                <w:highlight w:val="none"/>
                <w:lang w:val="en-US" w:eastAsia="zh-CN"/>
              </w:rPr>
              <w:t>5</w:t>
            </w:r>
            <w:r>
              <w:rPr>
                <w:rFonts w:hint="eastAsia"/>
                <w:b/>
                <w:bCs/>
                <w:color w:val="auto"/>
                <w:kern w:val="0"/>
                <w:sz w:val="24"/>
                <w:highlight w:val="none"/>
              </w:rPr>
              <w:t>、</w:t>
            </w:r>
            <w:r>
              <w:rPr>
                <w:b/>
                <w:bCs/>
                <w:color w:val="auto"/>
                <w:kern w:val="0"/>
                <w:sz w:val="24"/>
                <w:highlight w:val="none"/>
              </w:rPr>
              <w:t>环保投资</w:t>
            </w:r>
          </w:p>
          <w:p w14:paraId="5488247B">
            <w:pPr>
              <w:spacing w:line="360" w:lineRule="auto"/>
              <w:ind w:firstLine="480" w:firstLineChars="200"/>
              <w:rPr>
                <w:b/>
                <w:color w:val="auto"/>
                <w:sz w:val="24"/>
                <w:highlight w:val="yellow"/>
              </w:rPr>
            </w:pPr>
            <w:r>
              <w:rPr>
                <w:color w:val="auto"/>
                <w:sz w:val="24"/>
                <w:highlight w:val="none"/>
              </w:rPr>
              <w:t>本项目总投资</w:t>
            </w:r>
            <w:r>
              <w:rPr>
                <w:rFonts w:hint="eastAsia"/>
                <w:color w:val="auto"/>
                <w:sz w:val="24"/>
                <w:highlight w:val="none"/>
                <w:lang w:val="en-US" w:eastAsia="zh-CN"/>
              </w:rPr>
              <w:t>5300</w:t>
            </w:r>
            <w:r>
              <w:rPr>
                <w:color w:val="auto"/>
                <w:sz w:val="24"/>
                <w:highlight w:val="none"/>
              </w:rPr>
              <w:t>万元，环保投资</w:t>
            </w:r>
            <w:r>
              <w:rPr>
                <w:rFonts w:hint="eastAsia"/>
                <w:color w:val="auto"/>
                <w:sz w:val="24"/>
                <w:highlight w:val="none"/>
                <w:lang w:val="en-US" w:eastAsia="zh-CN"/>
              </w:rPr>
              <w:t>20</w:t>
            </w:r>
            <w:r>
              <w:rPr>
                <w:color w:val="auto"/>
                <w:sz w:val="24"/>
                <w:highlight w:val="none"/>
              </w:rPr>
              <w:t>万元，环保总投资占项目总投资的</w:t>
            </w:r>
            <w:r>
              <w:rPr>
                <w:rFonts w:hint="eastAsia"/>
                <w:color w:val="auto"/>
                <w:sz w:val="24"/>
                <w:highlight w:val="none"/>
                <w:lang w:val="en-US" w:eastAsia="zh-CN"/>
              </w:rPr>
              <w:t>0.38</w:t>
            </w:r>
            <w:r>
              <w:rPr>
                <w:color w:val="auto"/>
                <w:sz w:val="24"/>
                <w:highlight w:val="none"/>
              </w:rPr>
              <w:t>%。环保投资详见表</w:t>
            </w:r>
            <w:r>
              <w:rPr>
                <w:rFonts w:hint="eastAsia"/>
                <w:color w:val="auto"/>
                <w:sz w:val="24"/>
                <w:highlight w:val="none"/>
                <w:lang w:val="en-US" w:eastAsia="zh-CN"/>
              </w:rPr>
              <w:t>2-4</w:t>
            </w:r>
            <w:r>
              <w:rPr>
                <w:color w:val="auto"/>
                <w:sz w:val="24"/>
                <w:highlight w:val="none"/>
              </w:rPr>
              <w:t>。</w:t>
            </w:r>
          </w:p>
          <w:p w14:paraId="1C1FC127">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2-4</w:t>
            </w:r>
            <w:r>
              <w:rPr>
                <w:rFonts w:hint="default" w:ascii="Times New Roman" w:hAnsi="Times New Roman" w:eastAsia="宋体" w:cs="Times New Roman"/>
                <w:b/>
                <w:bCs/>
                <w:color w:val="auto"/>
                <w:sz w:val="24"/>
                <w:szCs w:val="24"/>
              </w:rPr>
              <w:t xml:space="preserve"> 环保投资一览表</w:t>
            </w:r>
          </w:p>
          <w:tbl>
            <w:tblPr>
              <w:tblStyle w:val="28"/>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5570"/>
              <w:gridCol w:w="1621"/>
            </w:tblGrid>
            <w:tr w14:paraId="036FB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313" w:type="dxa"/>
                  <w:noWrap w:val="0"/>
                  <w:vAlign w:val="center"/>
                </w:tcPr>
                <w:p w14:paraId="481C8799">
                  <w:pPr>
                    <w:overflowPunct w:val="0"/>
                    <w:jc w:val="center"/>
                    <w:rPr>
                      <w:color w:val="auto"/>
                      <w:szCs w:val="21"/>
                      <w:highlight w:val="none"/>
                    </w:rPr>
                  </w:pPr>
                  <w:r>
                    <w:rPr>
                      <w:color w:val="auto"/>
                      <w:szCs w:val="21"/>
                      <w:highlight w:val="none"/>
                    </w:rPr>
                    <w:t>类别</w:t>
                  </w:r>
                </w:p>
              </w:tc>
              <w:tc>
                <w:tcPr>
                  <w:tcW w:w="5570" w:type="dxa"/>
                  <w:noWrap w:val="0"/>
                  <w:vAlign w:val="center"/>
                </w:tcPr>
                <w:p w14:paraId="1CEEDC27">
                  <w:pPr>
                    <w:overflowPunct w:val="0"/>
                    <w:jc w:val="center"/>
                    <w:rPr>
                      <w:color w:val="auto"/>
                      <w:szCs w:val="21"/>
                      <w:highlight w:val="none"/>
                    </w:rPr>
                  </w:pPr>
                  <w:r>
                    <w:rPr>
                      <w:color w:val="auto"/>
                      <w:szCs w:val="21"/>
                      <w:highlight w:val="none"/>
                    </w:rPr>
                    <w:t>治理措施</w:t>
                  </w:r>
                </w:p>
              </w:tc>
              <w:tc>
                <w:tcPr>
                  <w:tcW w:w="1621" w:type="dxa"/>
                  <w:noWrap w:val="0"/>
                  <w:vAlign w:val="center"/>
                </w:tcPr>
                <w:p w14:paraId="30F5E041">
                  <w:pPr>
                    <w:overflowPunct w:val="0"/>
                    <w:jc w:val="center"/>
                    <w:rPr>
                      <w:color w:val="auto"/>
                      <w:szCs w:val="21"/>
                      <w:highlight w:val="none"/>
                    </w:rPr>
                  </w:pPr>
                  <w:r>
                    <w:rPr>
                      <w:color w:val="auto"/>
                      <w:szCs w:val="21"/>
                      <w:highlight w:val="none"/>
                    </w:rPr>
                    <w:t>投资（万元）</w:t>
                  </w:r>
                </w:p>
              </w:tc>
            </w:tr>
            <w:tr w14:paraId="72906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13" w:type="dxa"/>
                  <w:noWrap w:val="0"/>
                  <w:vAlign w:val="center"/>
                </w:tcPr>
                <w:p w14:paraId="372D452A">
                  <w:pPr>
                    <w:overflowPunct w:val="0"/>
                    <w:jc w:val="center"/>
                    <w:rPr>
                      <w:color w:val="auto"/>
                      <w:szCs w:val="21"/>
                      <w:highlight w:val="none"/>
                    </w:rPr>
                  </w:pPr>
                  <w:r>
                    <w:rPr>
                      <w:color w:val="auto"/>
                      <w:szCs w:val="21"/>
                      <w:highlight w:val="none"/>
                    </w:rPr>
                    <w:t>废气</w:t>
                  </w:r>
                </w:p>
              </w:tc>
              <w:tc>
                <w:tcPr>
                  <w:tcW w:w="5570" w:type="dxa"/>
                  <w:noWrap w:val="0"/>
                  <w:vAlign w:val="center"/>
                </w:tcPr>
                <w:p w14:paraId="6C3B93F3">
                  <w:pPr>
                    <w:overflowPunct w:val="0"/>
                    <w:jc w:val="center"/>
                    <w:rPr>
                      <w:color w:val="auto"/>
                      <w:szCs w:val="21"/>
                      <w:highlight w:val="none"/>
                    </w:rPr>
                  </w:pPr>
                  <w:r>
                    <w:rPr>
                      <w:rFonts w:hint="eastAsia"/>
                      <w:color w:val="auto"/>
                      <w:szCs w:val="21"/>
                      <w:highlight w:val="none"/>
                    </w:rPr>
                    <w:t>烟气</w:t>
                  </w:r>
                  <w:r>
                    <w:rPr>
                      <w:rFonts w:hint="eastAsia" w:ascii="Times New Roman" w:hAnsi="Times New Roman"/>
                      <w:bCs/>
                      <w:color w:val="auto"/>
                      <w:szCs w:val="21"/>
                      <w:highlight w:val="none"/>
                      <w:lang w:eastAsia="zh-CN"/>
                    </w:rPr>
                    <w:t>通过</w:t>
                  </w:r>
                  <w:r>
                    <w:rPr>
                      <w:rFonts w:ascii="Times New Roman" w:hAnsi="Times New Roman"/>
                      <w:bCs/>
                      <w:color w:val="auto"/>
                      <w:szCs w:val="21"/>
                      <w:highlight w:val="none"/>
                    </w:rPr>
                    <w:t>布袋除尘器</w:t>
                  </w:r>
                  <w:r>
                    <w:rPr>
                      <w:rFonts w:hint="eastAsia"/>
                      <w:bCs/>
                      <w:color w:val="auto"/>
                      <w:szCs w:val="21"/>
                      <w:highlight w:val="none"/>
                      <w:lang w:val="en-US" w:eastAsia="zh-CN"/>
                    </w:rPr>
                    <w:t>+</w:t>
                  </w:r>
                  <w:r>
                    <w:rPr>
                      <w:rFonts w:hint="eastAsia"/>
                      <w:color w:val="auto"/>
                      <w:szCs w:val="21"/>
                      <w:highlight w:val="none"/>
                      <w:lang w:val="en-US" w:eastAsia="zh-CN"/>
                    </w:rPr>
                    <w:t>低氮燃烧器+15</w:t>
                  </w:r>
                  <w:r>
                    <w:rPr>
                      <w:rFonts w:hint="eastAsia"/>
                      <w:color w:val="auto"/>
                      <w:szCs w:val="21"/>
                      <w:highlight w:val="none"/>
                    </w:rPr>
                    <w:t>m高</w:t>
                  </w:r>
                  <w:r>
                    <w:rPr>
                      <w:rFonts w:hint="eastAsia"/>
                      <w:color w:val="auto"/>
                      <w:szCs w:val="21"/>
                      <w:highlight w:val="none"/>
                      <w:lang w:eastAsia="zh-CN"/>
                    </w:rPr>
                    <w:t>烟囱</w:t>
                  </w:r>
                </w:p>
              </w:tc>
              <w:tc>
                <w:tcPr>
                  <w:tcW w:w="1621" w:type="dxa"/>
                  <w:noWrap w:val="0"/>
                  <w:vAlign w:val="center"/>
                </w:tcPr>
                <w:p w14:paraId="61BDA5D6">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r w14:paraId="63C08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13" w:type="dxa"/>
                  <w:noWrap w:val="0"/>
                  <w:vAlign w:val="center"/>
                </w:tcPr>
                <w:p w14:paraId="740AA6EE">
                  <w:pPr>
                    <w:overflowPunct w:val="0"/>
                    <w:jc w:val="center"/>
                    <w:rPr>
                      <w:rFonts w:hint="eastAsia" w:eastAsia="宋体"/>
                      <w:color w:val="auto"/>
                      <w:szCs w:val="21"/>
                      <w:highlight w:val="none"/>
                      <w:lang w:val="en-US" w:eastAsia="zh-CN"/>
                    </w:rPr>
                  </w:pPr>
                  <w:r>
                    <w:rPr>
                      <w:rFonts w:hint="eastAsia"/>
                      <w:color w:val="auto"/>
                      <w:szCs w:val="21"/>
                      <w:highlight w:val="none"/>
                      <w:lang w:val="en-US" w:eastAsia="zh-CN"/>
                    </w:rPr>
                    <w:t>废水</w:t>
                  </w:r>
                </w:p>
              </w:tc>
              <w:tc>
                <w:tcPr>
                  <w:tcW w:w="5570" w:type="dxa"/>
                  <w:noWrap w:val="0"/>
                  <w:vAlign w:val="center"/>
                </w:tcPr>
                <w:p w14:paraId="731D79CA">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沉淀池、化粪池</w:t>
                  </w:r>
                </w:p>
              </w:tc>
              <w:tc>
                <w:tcPr>
                  <w:tcW w:w="1621" w:type="dxa"/>
                  <w:noWrap w:val="0"/>
                  <w:vAlign w:val="center"/>
                </w:tcPr>
                <w:p w14:paraId="5115DAFB">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2</w:t>
                  </w:r>
                </w:p>
              </w:tc>
            </w:tr>
            <w:tr w14:paraId="3F6AD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7" w:hRule="atLeast"/>
                <w:jc w:val="center"/>
              </w:trPr>
              <w:tc>
                <w:tcPr>
                  <w:tcW w:w="1313" w:type="dxa"/>
                  <w:noWrap w:val="0"/>
                  <w:vAlign w:val="center"/>
                </w:tcPr>
                <w:p w14:paraId="27BAFC90">
                  <w:pPr>
                    <w:overflowPunct w:val="0"/>
                    <w:jc w:val="center"/>
                    <w:rPr>
                      <w:color w:val="auto"/>
                      <w:szCs w:val="21"/>
                      <w:highlight w:val="none"/>
                    </w:rPr>
                  </w:pPr>
                  <w:r>
                    <w:rPr>
                      <w:color w:val="auto"/>
                      <w:szCs w:val="21"/>
                      <w:highlight w:val="none"/>
                    </w:rPr>
                    <w:t>固废</w:t>
                  </w:r>
                </w:p>
              </w:tc>
              <w:tc>
                <w:tcPr>
                  <w:tcW w:w="5570" w:type="dxa"/>
                  <w:noWrap w:val="0"/>
                  <w:vAlign w:val="center"/>
                </w:tcPr>
                <w:p w14:paraId="5028F162">
                  <w:pPr>
                    <w:overflowPunct w:val="0"/>
                    <w:jc w:val="center"/>
                    <w:rPr>
                      <w:rFonts w:hint="eastAsia" w:eastAsia="宋体"/>
                      <w:color w:val="auto"/>
                      <w:szCs w:val="21"/>
                      <w:highlight w:val="none"/>
                      <w:lang w:eastAsia="zh-CN"/>
                    </w:rPr>
                  </w:pPr>
                  <w:r>
                    <w:rPr>
                      <w:rFonts w:hint="eastAsia"/>
                      <w:color w:val="auto"/>
                      <w:szCs w:val="21"/>
                      <w:highlight w:val="none"/>
                    </w:rPr>
                    <w:t>垃圾箱</w:t>
                  </w:r>
                  <w:r>
                    <w:rPr>
                      <w:rFonts w:hint="eastAsia"/>
                      <w:color w:val="auto"/>
                      <w:highlight w:val="none"/>
                      <w:lang w:eastAsia="zh-CN"/>
                    </w:rPr>
                    <w:t>、灰渣间</w:t>
                  </w:r>
                </w:p>
              </w:tc>
              <w:tc>
                <w:tcPr>
                  <w:tcW w:w="1621" w:type="dxa"/>
                  <w:noWrap w:val="0"/>
                  <w:vAlign w:val="center"/>
                </w:tcPr>
                <w:p w14:paraId="38D29EC1">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2</w:t>
                  </w:r>
                </w:p>
              </w:tc>
            </w:tr>
            <w:tr w14:paraId="45EE3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13" w:type="dxa"/>
                  <w:noWrap w:val="0"/>
                  <w:vAlign w:val="center"/>
                </w:tcPr>
                <w:p w14:paraId="5F4C8C69">
                  <w:pPr>
                    <w:overflowPunct w:val="0"/>
                    <w:jc w:val="center"/>
                    <w:rPr>
                      <w:color w:val="auto"/>
                      <w:szCs w:val="21"/>
                      <w:highlight w:val="none"/>
                    </w:rPr>
                  </w:pPr>
                  <w:r>
                    <w:rPr>
                      <w:color w:val="auto"/>
                      <w:szCs w:val="21"/>
                      <w:highlight w:val="none"/>
                    </w:rPr>
                    <w:t>噪声</w:t>
                  </w:r>
                </w:p>
              </w:tc>
              <w:tc>
                <w:tcPr>
                  <w:tcW w:w="5570" w:type="dxa"/>
                  <w:noWrap w:val="0"/>
                  <w:vAlign w:val="center"/>
                </w:tcPr>
                <w:p w14:paraId="2F9B5FE7">
                  <w:pPr>
                    <w:overflowPunct w:val="0"/>
                    <w:jc w:val="center"/>
                    <w:rPr>
                      <w:color w:val="auto"/>
                      <w:szCs w:val="21"/>
                      <w:highlight w:val="none"/>
                    </w:rPr>
                  </w:pPr>
                  <w:r>
                    <w:rPr>
                      <w:rFonts w:hint="eastAsia" w:cs="宋体"/>
                      <w:color w:val="auto"/>
                      <w:szCs w:val="21"/>
                      <w:highlight w:val="none"/>
                    </w:rPr>
                    <w:t>减振装置、隔声措施</w:t>
                  </w:r>
                </w:p>
              </w:tc>
              <w:tc>
                <w:tcPr>
                  <w:tcW w:w="1621" w:type="dxa"/>
                  <w:noWrap w:val="0"/>
                  <w:vAlign w:val="center"/>
                </w:tcPr>
                <w:p w14:paraId="4CD14616">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2</w:t>
                  </w:r>
                </w:p>
              </w:tc>
            </w:tr>
            <w:tr w14:paraId="2F226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13" w:type="dxa"/>
                  <w:noWrap w:val="0"/>
                  <w:vAlign w:val="center"/>
                </w:tcPr>
                <w:p w14:paraId="6A45593E">
                  <w:pPr>
                    <w:overflowPunct w:val="0"/>
                    <w:jc w:val="center"/>
                    <w:rPr>
                      <w:b/>
                      <w:bCs/>
                      <w:color w:val="auto"/>
                      <w:szCs w:val="21"/>
                      <w:highlight w:val="none"/>
                    </w:rPr>
                  </w:pPr>
                  <w:r>
                    <w:rPr>
                      <w:rFonts w:hint="default" w:ascii="Times New Roman" w:hAnsi="Times New Roman" w:cs="Times New Roman"/>
                      <w:color w:val="auto"/>
                      <w:sz w:val="21"/>
                      <w:szCs w:val="21"/>
                      <w:highlight w:val="none"/>
                    </w:rPr>
                    <w:t>运行维护费</w:t>
                  </w:r>
                </w:p>
              </w:tc>
              <w:tc>
                <w:tcPr>
                  <w:tcW w:w="5570" w:type="dxa"/>
                  <w:noWrap w:val="0"/>
                  <w:vAlign w:val="center"/>
                </w:tcPr>
                <w:p w14:paraId="2939043E">
                  <w:pPr>
                    <w:overflowPunct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w:t>
                  </w:r>
                </w:p>
              </w:tc>
              <w:tc>
                <w:tcPr>
                  <w:tcW w:w="1621" w:type="dxa"/>
                  <w:noWrap w:val="0"/>
                  <w:vAlign w:val="center"/>
                </w:tcPr>
                <w:p w14:paraId="78C22372">
                  <w:pPr>
                    <w:overflowPunct w:val="0"/>
                    <w:jc w:val="center"/>
                    <w:rPr>
                      <w:rFonts w:hint="default"/>
                      <w:color w:val="auto"/>
                      <w:szCs w:val="21"/>
                      <w:highlight w:val="none"/>
                      <w:lang w:val="en-US" w:eastAsia="zh-CN"/>
                    </w:rPr>
                  </w:pPr>
                  <w:r>
                    <w:rPr>
                      <w:rFonts w:hint="eastAsia"/>
                      <w:color w:val="auto"/>
                      <w:szCs w:val="21"/>
                      <w:highlight w:val="none"/>
                      <w:lang w:val="en-US" w:eastAsia="zh-CN"/>
                    </w:rPr>
                    <w:t>2</w:t>
                  </w:r>
                </w:p>
              </w:tc>
            </w:tr>
            <w:tr w14:paraId="6C9CD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9" w:hRule="atLeast"/>
                <w:jc w:val="center"/>
              </w:trPr>
              <w:tc>
                <w:tcPr>
                  <w:tcW w:w="6883" w:type="dxa"/>
                  <w:gridSpan w:val="2"/>
                  <w:noWrap w:val="0"/>
                  <w:vAlign w:val="center"/>
                </w:tcPr>
                <w:p w14:paraId="668EBDED">
                  <w:pPr>
                    <w:overflowPunct w:val="0"/>
                    <w:ind w:firstLine="420" w:firstLineChars="200"/>
                    <w:jc w:val="center"/>
                    <w:rPr>
                      <w:color w:val="auto"/>
                      <w:szCs w:val="21"/>
                      <w:highlight w:val="none"/>
                    </w:rPr>
                  </w:pPr>
                  <w:r>
                    <w:rPr>
                      <w:color w:val="auto"/>
                      <w:szCs w:val="21"/>
                      <w:highlight w:val="none"/>
                    </w:rPr>
                    <w:t>合计</w:t>
                  </w:r>
                </w:p>
              </w:tc>
              <w:tc>
                <w:tcPr>
                  <w:tcW w:w="1621" w:type="dxa"/>
                  <w:noWrap w:val="0"/>
                  <w:vAlign w:val="center"/>
                </w:tcPr>
                <w:p w14:paraId="02BAC132">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bl>
          <w:p w14:paraId="26C356F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Cs w:val="21"/>
                <w:lang w:val="en-US" w:eastAsia="zh-CN"/>
              </w:rPr>
            </w:pPr>
          </w:p>
        </w:tc>
      </w:tr>
      <w:tr w14:paraId="5D799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828" w:type="dxa"/>
            <w:noWrap w:val="0"/>
            <w:vAlign w:val="center"/>
          </w:tcPr>
          <w:p w14:paraId="25AF1369">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工艺流程和产排污环节</w:t>
            </w:r>
          </w:p>
        </w:tc>
        <w:tc>
          <w:tcPr>
            <w:tcW w:w="8232" w:type="dxa"/>
            <w:noWrap w:val="0"/>
            <w:vAlign w:val="top"/>
          </w:tcPr>
          <w:p w14:paraId="2660692A">
            <w:pPr>
              <w:adjustRightInd w:val="0"/>
              <w:snapToGrid w:val="0"/>
              <w:spacing w:before="156" w:beforeLines="50"/>
              <w:jc w:val="center"/>
              <w:rPr>
                <w:rFonts w:hint="default" w:ascii="Times New Roman" w:hAnsi="Times New Roman" w:eastAsia="宋体" w:cs="Times New Roman"/>
                <w:color w:val="auto"/>
                <w:szCs w:val="24"/>
                <w:highlight w:val="none"/>
                <w:lang w:eastAsia="zh-CN"/>
              </w:rPr>
            </w:pPr>
            <w:r>
              <w:drawing>
                <wp:inline distT="0" distB="0" distL="114300" distR="114300">
                  <wp:extent cx="4984750" cy="2910205"/>
                  <wp:effectExtent l="0" t="0" r="6350" b="44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0"/>
                          <a:stretch>
                            <a:fillRect/>
                          </a:stretch>
                        </pic:blipFill>
                        <pic:spPr>
                          <a:xfrm>
                            <a:off x="0" y="0"/>
                            <a:ext cx="4984750" cy="2910205"/>
                          </a:xfrm>
                          <a:prstGeom prst="rect">
                            <a:avLst/>
                          </a:prstGeom>
                          <a:noFill/>
                          <a:ln>
                            <a:noFill/>
                          </a:ln>
                        </pic:spPr>
                      </pic:pic>
                    </a:graphicData>
                  </a:graphic>
                </wp:inline>
              </w:drawing>
            </w:r>
          </w:p>
          <w:p w14:paraId="79D131B4">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本项目工艺流程及产污环节图</w:t>
            </w:r>
          </w:p>
          <w:p w14:paraId="1D4F4F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本项目生产工艺流程简述如下：</w:t>
            </w:r>
          </w:p>
          <w:p w14:paraId="70592F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上料：气化炉设1台炉前料仓，主要用于上料皮带机与炉前给料机的燃料缓冲用。燃料自上料皮带机落入炉前料仓，经过两级给料进入炉内，两级给料采用串联布置的2台螺旋给料机组成。项目采用全密闭式输送，避免在输送过程逸散粉尘；由于铲车和料斗之间无法封闭，该工序会产生粉尘及设备噪声。</w:t>
            </w:r>
          </w:p>
          <w:p w14:paraId="63141A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2）气化反应：在一定的热力条件下，借助气化介质（空气）的作用，使原料的高聚物发生氧化、还原、热解、重整反应后进一步裂解为小分子碳氢化合物如氢气、一氧化碳、甲烷等可燃气体，而热解伴生的焦油在高温下进一步热裂解为小分子碳氢化合物，获得CO、H2和CH4等气体。气化过程产生的炉渣（碳化物）在气化炉底端下沉被收集。</w:t>
            </w:r>
          </w:p>
          <w:p w14:paraId="4404BD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（3）除渣系统：经气化后的固体物碳排出炉体，气化炉底部炉底排出的炉渣（碳化物）在重力作用下落入灰渣库，在灰渣库暂存堆放。</w:t>
            </w:r>
          </w:p>
          <w:p w14:paraId="66047A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4）软水制备：由市政管网供给的自来水首先进入锅炉房的软化水处理设备；自来水中都会含有钙、镁离子，锅炉直接用自来水，长时间会结成大量的水垢，影响锅炉的使用，因此需要对水进行处理，采用软水处理设备（离子交换树脂法）将水中的钙镁离子置换出来，软化过程产生软化废水，废离子交换树脂。</w:t>
            </w:r>
          </w:p>
          <w:p w14:paraId="29FF20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本项目运营期污染工序及污染因子见下表：</w:t>
            </w:r>
          </w:p>
          <w:p w14:paraId="4FF8AC82">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项目产污环节汇总</w:t>
            </w:r>
            <w:r>
              <w:rPr>
                <w:rFonts w:hint="default" w:ascii="Times New Roman" w:hAnsi="Times New Roman" w:eastAsia="宋体" w:cs="Times New Roman"/>
                <w:b/>
                <w:bCs/>
                <w:color w:val="auto"/>
                <w:sz w:val="24"/>
                <w:szCs w:val="24"/>
              </w:rPr>
              <w:t>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715"/>
              <w:gridCol w:w="3232"/>
              <w:gridCol w:w="2724"/>
            </w:tblGrid>
            <w:tr w14:paraId="2ADDC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31" w:type="pct"/>
                  <w:noWrap w:val="0"/>
                  <w:vAlign w:val="center"/>
                </w:tcPr>
                <w:p w14:paraId="5BDB6B0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999" w:type="pct"/>
                  <w:noWrap w:val="0"/>
                  <w:vAlign w:val="center"/>
                </w:tcPr>
                <w:p w14:paraId="202E4648">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污染物类型</w:t>
                  </w:r>
                </w:p>
              </w:tc>
              <w:tc>
                <w:tcPr>
                  <w:tcW w:w="1882" w:type="pct"/>
                  <w:noWrap w:val="0"/>
                  <w:vAlign w:val="center"/>
                </w:tcPr>
                <w:p w14:paraId="0D629B3F">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产污环节</w:t>
                  </w:r>
                </w:p>
              </w:tc>
              <w:tc>
                <w:tcPr>
                  <w:tcW w:w="1586" w:type="pct"/>
                  <w:noWrap w:val="0"/>
                  <w:vAlign w:val="center"/>
                </w:tcPr>
                <w:p w14:paraId="7F424584">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污染因子</w:t>
                  </w:r>
                </w:p>
              </w:tc>
            </w:tr>
            <w:tr w14:paraId="7478F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1" w:hRule="atLeast"/>
                <w:jc w:val="center"/>
              </w:trPr>
              <w:tc>
                <w:tcPr>
                  <w:tcW w:w="531" w:type="pct"/>
                  <w:vMerge w:val="restart"/>
                  <w:noWrap w:val="0"/>
                  <w:vAlign w:val="center"/>
                </w:tcPr>
                <w:p w14:paraId="78FCF72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999" w:type="pct"/>
                  <w:vMerge w:val="restart"/>
                  <w:noWrap w:val="0"/>
                  <w:vAlign w:val="center"/>
                </w:tcPr>
                <w:p w14:paraId="0D3E96A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1882" w:type="pct"/>
                  <w:noWrap w:val="0"/>
                  <w:vAlign w:val="center"/>
                </w:tcPr>
                <w:p w14:paraId="5A262B45">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上料粉尘</w:t>
                  </w:r>
                </w:p>
              </w:tc>
              <w:tc>
                <w:tcPr>
                  <w:tcW w:w="1586" w:type="pct"/>
                  <w:noWrap w:val="0"/>
                  <w:vAlign w:val="center"/>
                </w:tcPr>
                <w:p w14:paraId="610D28A5">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r>
            <w:tr w14:paraId="6AD6A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531" w:type="pct"/>
                  <w:vMerge w:val="continue"/>
                  <w:noWrap w:val="0"/>
                  <w:vAlign w:val="center"/>
                </w:tcPr>
                <w:p w14:paraId="1A26CB1E">
                  <w:pPr>
                    <w:adjustRightInd w:val="0"/>
                    <w:snapToGrid w:val="0"/>
                    <w:jc w:val="center"/>
                    <w:rPr>
                      <w:rFonts w:hint="default" w:ascii="Times New Roman" w:hAnsi="Times New Roman" w:cs="Times New Roman"/>
                      <w:color w:val="auto"/>
                      <w:szCs w:val="21"/>
                      <w:highlight w:val="none"/>
                    </w:rPr>
                  </w:pPr>
                </w:p>
              </w:tc>
              <w:tc>
                <w:tcPr>
                  <w:tcW w:w="999" w:type="pct"/>
                  <w:vMerge w:val="continue"/>
                  <w:noWrap w:val="0"/>
                  <w:vAlign w:val="center"/>
                </w:tcPr>
                <w:p w14:paraId="48D2FE4E">
                  <w:pPr>
                    <w:adjustRightInd w:val="0"/>
                    <w:snapToGrid w:val="0"/>
                    <w:jc w:val="center"/>
                    <w:rPr>
                      <w:rFonts w:hint="default" w:ascii="Times New Roman" w:hAnsi="Times New Roman" w:eastAsia="宋体" w:cs="Times New Roman"/>
                      <w:color w:val="auto"/>
                      <w:szCs w:val="21"/>
                      <w:highlight w:val="none"/>
                      <w:lang w:val="en-US" w:eastAsia="zh-CN"/>
                    </w:rPr>
                  </w:pPr>
                </w:p>
              </w:tc>
              <w:tc>
                <w:tcPr>
                  <w:tcW w:w="1882" w:type="pct"/>
                  <w:noWrap w:val="0"/>
                  <w:vAlign w:val="center"/>
                </w:tcPr>
                <w:p w14:paraId="1FE014B2">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锅炉</w:t>
                  </w:r>
                  <w:r>
                    <w:rPr>
                      <w:rFonts w:hint="eastAsia" w:ascii="Times New Roman" w:hAnsi="Times New Roman" w:eastAsia="宋体" w:cs="Times New Roman"/>
                      <w:color w:val="auto"/>
                      <w:szCs w:val="21"/>
                      <w:highlight w:val="none"/>
                      <w:lang w:val="en-US" w:eastAsia="zh-CN"/>
                    </w:rPr>
                    <w:t>烟气</w:t>
                  </w:r>
                </w:p>
              </w:tc>
              <w:tc>
                <w:tcPr>
                  <w:tcW w:w="1586" w:type="pct"/>
                  <w:noWrap w:val="0"/>
                  <w:vAlign w:val="center"/>
                </w:tcPr>
                <w:p w14:paraId="120E1EE1">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颗粒物、二氧化硫、氮氧化物、烟气黑度</w:t>
                  </w:r>
                </w:p>
              </w:tc>
            </w:tr>
            <w:tr w14:paraId="54DCF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531" w:type="pct"/>
                  <w:vMerge w:val="restart"/>
                  <w:noWrap w:val="0"/>
                  <w:vAlign w:val="center"/>
                </w:tcPr>
                <w:p w14:paraId="5AA5312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999" w:type="pct"/>
                  <w:vMerge w:val="restart"/>
                  <w:noWrap w:val="0"/>
                  <w:vAlign w:val="center"/>
                </w:tcPr>
                <w:p w14:paraId="70F8EF98">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1882" w:type="pct"/>
                  <w:noWrap w:val="0"/>
                  <w:vAlign w:val="center"/>
                </w:tcPr>
                <w:p w14:paraId="02D4B98C">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员工生活</w:t>
                  </w:r>
                </w:p>
              </w:tc>
              <w:tc>
                <w:tcPr>
                  <w:tcW w:w="1586" w:type="pct"/>
                  <w:noWrap w:val="0"/>
                  <w:vAlign w:val="center"/>
                </w:tcPr>
                <w:p w14:paraId="2C0FD5BE">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、SS、氨氮</w:t>
                  </w:r>
                </w:p>
              </w:tc>
            </w:tr>
            <w:tr w14:paraId="2BA81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531" w:type="pct"/>
                  <w:vMerge w:val="continue"/>
                  <w:noWrap w:val="0"/>
                  <w:vAlign w:val="center"/>
                </w:tcPr>
                <w:p w14:paraId="76EB4916">
                  <w:pPr>
                    <w:adjustRightInd w:val="0"/>
                    <w:snapToGrid w:val="0"/>
                    <w:jc w:val="center"/>
                    <w:rPr>
                      <w:rFonts w:hint="default" w:ascii="Times New Roman" w:hAnsi="Times New Roman" w:cs="Times New Roman"/>
                      <w:color w:val="auto"/>
                      <w:szCs w:val="21"/>
                      <w:highlight w:val="none"/>
                      <w:lang w:val="en-US" w:eastAsia="zh-CN"/>
                    </w:rPr>
                  </w:pPr>
                </w:p>
              </w:tc>
              <w:tc>
                <w:tcPr>
                  <w:tcW w:w="999" w:type="pct"/>
                  <w:vMerge w:val="continue"/>
                  <w:noWrap w:val="0"/>
                  <w:vAlign w:val="center"/>
                </w:tcPr>
                <w:p w14:paraId="7B213F5E">
                  <w:pPr>
                    <w:adjustRightInd w:val="0"/>
                    <w:snapToGrid w:val="0"/>
                    <w:jc w:val="center"/>
                    <w:rPr>
                      <w:rFonts w:hint="default" w:ascii="Times New Roman" w:hAnsi="Times New Roman" w:eastAsia="宋体" w:cs="Times New Roman"/>
                      <w:color w:val="auto"/>
                      <w:szCs w:val="21"/>
                      <w:highlight w:val="none"/>
                      <w:lang w:val="en-US" w:eastAsia="zh-CN"/>
                    </w:rPr>
                  </w:pPr>
                </w:p>
              </w:tc>
              <w:tc>
                <w:tcPr>
                  <w:tcW w:w="1882" w:type="pct"/>
                  <w:noWrap w:val="0"/>
                  <w:vAlign w:val="center"/>
                </w:tcPr>
                <w:p w14:paraId="52C7692D">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锅炉及软化水废水</w:t>
                  </w:r>
                </w:p>
              </w:tc>
              <w:tc>
                <w:tcPr>
                  <w:tcW w:w="1586" w:type="pct"/>
                  <w:noWrap w:val="0"/>
                  <w:vAlign w:val="center"/>
                </w:tcPr>
                <w:p w14:paraId="620BF7B7">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COD</w:t>
                  </w:r>
                </w:p>
              </w:tc>
            </w:tr>
            <w:tr w14:paraId="7FBCD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1" w:hRule="atLeast"/>
                <w:jc w:val="center"/>
              </w:trPr>
              <w:tc>
                <w:tcPr>
                  <w:tcW w:w="531" w:type="pct"/>
                  <w:noWrap w:val="0"/>
                  <w:vAlign w:val="center"/>
                </w:tcPr>
                <w:p w14:paraId="2E826668">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c>
                <w:tcPr>
                  <w:tcW w:w="999" w:type="pct"/>
                  <w:noWrap w:val="0"/>
                  <w:vAlign w:val="center"/>
                </w:tcPr>
                <w:p w14:paraId="50AD78FF">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噪声</w:t>
                  </w:r>
                </w:p>
              </w:tc>
              <w:tc>
                <w:tcPr>
                  <w:tcW w:w="1882" w:type="pct"/>
                  <w:noWrap w:val="0"/>
                  <w:vAlign w:val="center"/>
                </w:tcPr>
                <w:p w14:paraId="71793B89">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设备</w:t>
                  </w:r>
                  <w:r>
                    <w:rPr>
                      <w:rFonts w:hint="eastAsia" w:cs="Times New Roman"/>
                      <w:color w:val="auto"/>
                      <w:szCs w:val="21"/>
                      <w:highlight w:val="none"/>
                      <w:lang w:val="en-US" w:eastAsia="zh-CN"/>
                    </w:rPr>
                    <w:t>运行</w:t>
                  </w:r>
                </w:p>
              </w:tc>
              <w:tc>
                <w:tcPr>
                  <w:tcW w:w="1586" w:type="pct"/>
                  <w:noWrap w:val="0"/>
                  <w:vAlign w:val="center"/>
                </w:tcPr>
                <w:p w14:paraId="09AE10B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机械噪声</w:t>
                  </w:r>
                </w:p>
              </w:tc>
            </w:tr>
            <w:tr w14:paraId="2DA41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531" w:type="pct"/>
                  <w:vMerge w:val="restart"/>
                  <w:noWrap w:val="0"/>
                  <w:vAlign w:val="center"/>
                </w:tcPr>
                <w:p w14:paraId="501A4CB0">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999" w:type="pct"/>
                  <w:vMerge w:val="restart"/>
                  <w:noWrap w:val="0"/>
                  <w:vAlign w:val="center"/>
                </w:tcPr>
                <w:p w14:paraId="66306E8D">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固体废物</w:t>
                  </w:r>
                </w:p>
              </w:tc>
              <w:tc>
                <w:tcPr>
                  <w:tcW w:w="1882" w:type="pct"/>
                  <w:noWrap w:val="0"/>
                  <w:vAlign w:val="center"/>
                </w:tcPr>
                <w:p w14:paraId="2778C8C1">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软水制备</w:t>
                  </w:r>
                </w:p>
              </w:tc>
              <w:tc>
                <w:tcPr>
                  <w:tcW w:w="1586" w:type="pct"/>
                  <w:noWrap w:val="0"/>
                  <w:vAlign w:val="center"/>
                </w:tcPr>
                <w:p w14:paraId="6523F884">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废离子交换树脂</w:t>
                  </w:r>
                </w:p>
              </w:tc>
            </w:tr>
            <w:tr w14:paraId="550B5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531" w:type="pct"/>
                  <w:vMerge w:val="continue"/>
                  <w:noWrap w:val="0"/>
                  <w:vAlign w:val="center"/>
                </w:tcPr>
                <w:p w14:paraId="67883CEA">
                  <w:pPr>
                    <w:adjustRightInd w:val="0"/>
                    <w:snapToGrid w:val="0"/>
                    <w:jc w:val="center"/>
                    <w:rPr>
                      <w:rFonts w:hint="default" w:ascii="Times New Roman" w:hAnsi="Times New Roman" w:cs="Times New Roman"/>
                      <w:color w:val="auto"/>
                      <w:szCs w:val="21"/>
                      <w:highlight w:val="none"/>
                      <w:lang w:val="en-US" w:eastAsia="zh-CN"/>
                    </w:rPr>
                  </w:pPr>
                </w:p>
              </w:tc>
              <w:tc>
                <w:tcPr>
                  <w:tcW w:w="999" w:type="pct"/>
                  <w:vMerge w:val="continue"/>
                  <w:noWrap w:val="0"/>
                  <w:vAlign w:val="center"/>
                </w:tcPr>
                <w:p w14:paraId="6A9CF793">
                  <w:pPr>
                    <w:adjustRightInd w:val="0"/>
                    <w:snapToGrid w:val="0"/>
                    <w:jc w:val="center"/>
                    <w:rPr>
                      <w:rFonts w:hint="default" w:ascii="Times New Roman" w:hAnsi="Times New Roman" w:eastAsia="宋体" w:cs="Times New Roman"/>
                      <w:color w:val="auto"/>
                      <w:szCs w:val="21"/>
                      <w:highlight w:val="none"/>
                      <w:lang w:val="en-US" w:eastAsia="zh-CN"/>
                    </w:rPr>
                  </w:pPr>
                </w:p>
              </w:tc>
              <w:tc>
                <w:tcPr>
                  <w:tcW w:w="1882" w:type="pct"/>
                  <w:noWrap w:val="0"/>
                  <w:vAlign w:val="center"/>
                </w:tcPr>
                <w:p w14:paraId="23F5FDE2">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烟气处理</w:t>
                  </w:r>
                </w:p>
              </w:tc>
              <w:tc>
                <w:tcPr>
                  <w:tcW w:w="1586" w:type="pct"/>
                  <w:noWrap w:val="0"/>
                  <w:vAlign w:val="center"/>
                </w:tcPr>
                <w:p w14:paraId="1E758305">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废布袋</w:t>
                  </w:r>
                </w:p>
              </w:tc>
            </w:tr>
            <w:tr w14:paraId="255BC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531" w:type="pct"/>
                  <w:vMerge w:val="continue"/>
                  <w:noWrap w:val="0"/>
                  <w:vAlign w:val="center"/>
                </w:tcPr>
                <w:p w14:paraId="1259CEB9">
                  <w:pPr>
                    <w:adjustRightInd w:val="0"/>
                    <w:snapToGrid w:val="0"/>
                    <w:jc w:val="center"/>
                    <w:rPr>
                      <w:rFonts w:hint="default" w:ascii="Times New Roman" w:hAnsi="Times New Roman" w:cs="Times New Roman"/>
                      <w:color w:val="auto"/>
                      <w:szCs w:val="21"/>
                      <w:highlight w:val="none"/>
                      <w:lang w:val="en-US" w:eastAsia="zh-CN"/>
                    </w:rPr>
                  </w:pPr>
                </w:p>
              </w:tc>
              <w:tc>
                <w:tcPr>
                  <w:tcW w:w="999" w:type="pct"/>
                  <w:vMerge w:val="continue"/>
                  <w:noWrap w:val="0"/>
                  <w:vAlign w:val="center"/>
                </w:tcPr>
                <w:p w14:paraId="6B292039">
                  <w:pPr>
                    <w:adjustRightInd w:val="0"/>
                    <w:snapToGrid w:val="0"/>
                    <w:jc w:val="center"/>
                    <w:rPr>
                      <w:rFonts w:hint="default" w:ascii="Times New Roman" w:hAnsi="Times New Roman" w:eastAsia="宋体" w:cs="Times New Roman"/>
                      <w:color w:val="auto"/>
                      <w:szCs w:val="21"/>
                      <w:highlight w:val="none"/>
                      <w:lang w:val="en-US" w:eastAsia="zh-CN"/>
                    </w:rPr>
                  </w:pPr>
                </w:p>
              </w:tc>
              <w:tc>
                <w:tcPr>
                  <w:tcW w:w="1882" w:type="pct"/>
                  <w:noWrap w:val="0"/>
                  <w:vAlign w:val="center"/>
                </w:tcPr>
                <w:p w14:paraId="0CC0A468">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灰渣及布袋除尘器收灰</w:t>
                  </w:r>
                </w:p>
              </w:tc>
              <w:tc>
                <w:tcPr>
                  <w:tcW w:w="1586" w:type="pct"/>
                  <w:noWrap w:val="0"/>
                  <w:vAlign w:val="center"/>
                </w:tcPr>
                <w:p w14:paraId="75FF8D58">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废布袋、灰渣和粉尘</w:t>
                  </w:r>
                </w:p>
              </w:tc>
            </w:tr>
            <w:tr w14:paraId="001F9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31" w:type="pct"/>
                  <w:vMerge w:val="continue"/>
                  <w:noWrap w:val="0"/>
                  <w:vAlign w:val="center"/>
                </w:tcPr>
                <w:p w14:paraId="521B9DFD">
                  <w:pPr>
                    <w:adjustRightInd w:val="0"/>
                    <w:snapToGrid w:val="0"/>
                    <w:jc w:val="center"/>
                    <w:rPr>
                      <w:rFonts w:hint="default" w:ascii="Times New Roman" w:hAnsi="Times New Roman" w:cs="Times New Roman"/>
                      <w:color w:val="auto"/>
                      <w:szCs w:val="21"/>
                      <w:highlight w:val="none"/>
                      <w:lang w:val="en-US" w:eastAsia="zh-CN"/>
                    </w:rPr>
                  </w:pPr>
                </w:p>
              </w:tc>
              <w:tc>
                <w:tcPr>
                  <w:tcW w:w="999" w:type="pct"/>
                  <w:vMerge w:val="continue"/>
                  <w:noWrap w:val="0"/>
                  <w:vAlign w:val="center"/>
                </w:tcPr>
                <w:p w14:paraId="31F5B968">
                  <w:pPr>
                    <w:adjustRightInd w:val="0"/>
                    <w:snapToGrid w:val="0"/>
                    <w:jc w:val="center"/>
                    <w:rPr>
                      <w:rFonts w:hint="default" w:ascii="Times New Roman" w:hAnsi="Times New Roman" w:eastAsia="宋体" w:cs="Times New Roman"/>
                      <w:color w:val="auto"/>
                      <w:szCs w:val="21"/>
                      <w:highlight w:val="none"/>
                      <w:lang w:val="en-US" w:eastAsia="zh-CN"/>
                    </w:rPr>
                  </w:pPr>
                </w:p>
              </w:tc>
              <w:tc>
                <w:tcPr>
                  <w:tcW w:w="1882" w:type="pct"/>
                  <w:noWrap w:val="0"/>
                  <w:vAlign w:val="center"/>
                </w:tcPr>
                <w:p w14:paraId="2FC5EBC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员工生活</w:t>
                  </w:r>
                </w:p>
              </w:tc>
              <w:tc>
                <w:tcPr>
                  <w:tcW w:w="1586" w:type="pct"/>
                  <w:noWrap w:val="0"/>
                  <w:vAlign w:val="center"/>
                </w:tcPr>
                <w:p w14:paraId="04A0A98F">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生活垃圾</w:t>
                  </w:r>
                </w:p>
              </w:tc>
            </w:tr>
          </w:tbl>
          <w:p w14:paraId="56171FD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Cs/>
                <w:color w:val="auto"/>
                <w:szCs w:val="21"/>
                <w:lang w:val="en-US" w:eastAsia="zh-CN"/>
              </w:rPr>
            </w:pPr>
          </w:p>
        </w:tc>
      </w:tr>
      <w:tr w14:paraId="60800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8" w:type="dxa"/>
            <w:noWrap w:val="0"/>
            <w:vAlign w:val="center"/>
          </w:tcPr>
          <w:p w14:paraId="3A122768">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4"/>
                <w:szCs w:val="24"/>
              </w:rPr>
              <w:t>与项目有关的原有环境污染问题</w:t>
            </w:r>
          </w:p>
        </w:tc>
        <w:tc>
          <w:tcPr>
            <w:tcW w:w="8232" w:type="dxa"/>
            <w:noWrap w:val="0"/>
            <w:vAlign w:val="center"/>
          </w:tcPr>
          <w:p w14:paraId="2F493C8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kern w:val="0"/>
                <w:szCs w:val="21"/>
                <w:lang w:val="en-US" w:eastAsia="zh-CN"/>
              </w:rPr>
            </w:pPr>
            <w:r>
              <w:rPr>
                <w:rFonts w:hint="eastAsia" w:ascii="Times New Roman" w:hAnsi="Times New Roman" w:eastAsia="宋体" w:cs="Times New Roman"/>
                <w:color w:val="auto"/>
                <w:sz w:val="24"/>
                <w:szCs w:val="24"/>
                <w:highlight w:val="none"/>
                <w:lang w:val="en-US" w:eastAsia="zh-CN"/>
              </w:rPr>
              <w:t>本项目为新建项目，无原有环境污染问题。</w:t>
            </w:r>
          </w:p>
        </w:tc>
      </w:tr>
    </w:tbl>
    <w:p w14:paraId="0DCF0F99">
      <w:pPr>
        <w:pStyle w:val="23"/>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DBC4274">
      <w:pPr>
        <w:pStyle w:val="23"/>
        <w:jc w:val="center"/>
        <w:outlineLvl w:val="0"/>
        <w:rPr>
          <w:rFonts w:hint="default" w:ascii="Times New Roman" w:hAnsi="Times New Roman" w:eastAsia="黑体" w:cs="Times New Roman"/>
          <w:snapToGrid w:val="0"/>
          <w:color w:val="auto"/>
          <w:sz w:val="30"/>
          <w:szCs w:val="30"/>
        </w:rPr>
      </w:pPr>
      <w:bookmarkStart w:id="19" w:name="_Toc21604"/>
      <w:bookmarkStart w:id="20" w:name="_Toc21042"/>
      <w:r>
        <w:rPr>
          <w:rFonts w:hint="default" w:ascii="Times New Roman" w:hAnsi="Times New Roman" w:eastAsia="黑体" w:cs="Times New Roman"/>
          <w:snapToGrid w:val="0"/>
          <w:color w:val="auto"/>
          <w:sz w:val="30"/>
          <w:szCs w:val="30"/>
        </w:rPr>
        <w:t>三、区域环境质量现状、环境保护目标及评价标准</w:t>
      </w:r>
      <w:bookmarkEnd w:id="19"/>
      <w:bookmarkEnd w:id="20"/>
    </w:p>
    <w:tbl>
      <w:tblPr>
        <w:tblStyle w:val="28"/>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80"/>
      </w:tblGrid>
      <w:tr w14:paraId="37DE1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5" w:hRule="atLeast"/>
          <w:jc w:val="center"/>
        </w:trPr>
        <w:tc>
          <w:tcPr>
            <w:tcW w:w="800" w:type="dxa"/>
            <w:noWrap w:val="0"/>
            <w:vAlign w:val="center"/>
          </w:tcPr>
          <w:p w14:paraId="17C99895">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14:paraId="39EAE796">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14:paraId="209B077C">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14:paraId="73D98FB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现状</w:t>
            </w:r>
          </w:p>
        </w:tc>
        <w:tc>
          <w:tcPr>
            <w:tcW w:w="8190" w:type="dxa"/>
            <w:noWrap w:val="0"/>
            <w:vAlign w:val="center"/>
          </w:tcPr>
          <w:p w14:paraId="6CEBF1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1、环境空气质量现状</w:t>
            </w:r>
          </w:p>
          <w:p w14:paraId="6775CF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14:paraId="6AC7580F">
            <w:pPr>
              <w:keepNext w:val="0"/>
              <w:keepLines w:val="0"/>
              <w:suppressLineNumbers w:val="0"/>
              <w:adjustRightInd/>
              <w:snapToGrid/>
              <w:spacing w:before="0" w:beforeAutospacing="0" w:after="0" w:afterAutospacing="0" w:line="360" w:lineRule="auto"/>
              <w:ind w:left="0" w:right="0" w:firstLine="480" w:firstLineChars="0"/>
              <w:jc w:val="both"/>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eastAsia="zh-CN"/>
              </w:rPr>
              <w:t>本项目</w:t>
            </w:r>
            <w:r>
              <w:rPr>
                <w:rFonts w:hint="default" w:ascii="Times New Roman" w:hAnsi="Times New Roman" w:eastAsia="宋体" w:cs="Times New Roman"/>
                <w:bCs w:val="0"/>
                <w:color w:val="auto"/>
                <w:sz w:val="24"/>
                <w:szCs w:val="24"/>
                <w:highlight w:val="none"/>
                <w:lang w:val="en-US" w:eastAsia="zh-CN"/>
              </w:rPr>
              <w:t>所在地</w:t>
            </w:r>
            <w:r>
              <w:rPr>
                <w:rFonts w:hint="default" w:ascii="Times New Roman" w:hAnsi="Times New Roman" w:eastAsia="宋体" w:cs="Times New Roman"/>
                <w:bCs w:val="0"/>
                <w:color w:val="auto"/>
                <w:sz w:val="24"/>
                <w:szCs w:val="24"/>
                <w:highlight w:val="none"/>
                <w:lang w:eastAsia="zh-CN"/>
              </w:rPr>
              <w:t>属</w:t>
            </w:r>
            <w:r>
              <w:rPr>
                <w:rFonts w:hint="default" w:ascii="Times New Roman" w:hAnsi="Times New Roman" w:eastAsia="宋体" w:cs="Times New Roman"/>
                <w:bCs w:val="0"/>
                <w:color w:val="auto"/>
                <w:sz w:val="24"/>
                <w:szCs w:val="24"/>
                <w:highlight w:val="none"/>
              </w:rPr>
              <w:t>伊春市，</w:t>
            </w:r>
            <w:r>
              <w:rPr>
                <w:rFonts w:hint="default" w:ascii="Times New Roman" w:hAnsi="Times New Roman" w:eastAsia="宋体" w:cs="Times New Roman"/>
                <w:bCs/>
                <w:color w:val="auto"/>
                <w:sz w:val="24"/>
                <w:szCs w:val="24"/>
                <w:highlight w:val="none"/>
              </w:rPr>
              <w:t>环境空气质量基本污染物现状监测数据来源于《</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根据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，202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年，全市环境空气质量达标，二氧化硫、二氧化氮年均值、可吸入颗粒物PM</w:t>
            </w:r>
            <w:r>
              <w:rPr>
                <w:rFonts w:hint="default" w:ascii="Times New Roman" w:hAnsi="Times New Roman" w:eastAsia="宋体" w:cs="Times New Roman"/>
                <w:bCs w:val="0"/>
                <w:color w:val="auto"/>
                <w:sz w:val="24"/>
                <w:szCs w:val="24"/>
                <w:highlight w:val="none"/>
                <w:vertAlign w:val="subscript"/>
              </w:rPr>
              <w:t>10</w:t>
            </w:r>
            <w:r>
              <w:rPr>
                <w:rFonts w:hint="default" w:ascii="Times New Roman" w:hAnsi="Times New Roman" w:eastAsia="宋体" w:cs="Times New Roman"/>
                <w:bCs w:val="0"/>
                <w:color w:val="auto"/>
                <w:sz w:val="24"/>
                <w:szCs w:val="24"/>
                <w:highlight w:val="none"/>
              </w:rPr>
              <w:t>、细颗粒物 PM</w:t>
            </w:r>
            <w:r>
              <w:rPr>
                <w:rFonts w:hint="default" w:ascii="Times New Roman" w:hAnsi="Times New Roman" w:eastAsia="宋体" w:cs="Times New Roman"/>
                <w:bCs w:val="0"/>
                <w:color w:val="auto"/>
                <w:sz w:val="24"/>
                <w:szCs w:val="24"/>
                <w:highlight w:val="none"/>
                <w:vertAlign w:val="subscript"/>
              </w:rPr>
              <w:t>2.5</w:t>
            </w:r>
            <w:r>
              <w:rPr>
                <w:rFonts w:hint="default" w:ascii="Times New Roman" w:hAnsi="Times New Roman" w:eastAsia="宋体" w:cs="Times New Roman"/>
                <w:bCs w:val="0"/>
                <w:color w:val="auto"/>
                <w:sz w:val="24"/>
                <w:szCs w:val="24"/>
                <w:highlight w:val="none"/>
              </w:rPr>
              <w:t>、一氧化碳24小时平均第95百分位数和臭氧日最大8小时滑动平均值的第90百分位数共6项污染物年均值浓度均优于国家环境空气质量二级标准</w:t>
            </w:r>
            <w:r>
              <w:rPr>
                <w:rFonts w:hint="default" w:ascii="Times New Roman" w:hAnsi="Times New Roman" w:eastAsia="宋体" w:cs="Times New Roman"/>
                <w:bCs w:val="0"/>
                <w:color w:val="auto"/>
                <w:sz w:val="24"/>
                <w:szCs w:val="24"/>
                <w:highlight w:val="none"/>
                <w:lang w:val="en-US" w:eastAsia="zh-CN"/>
              </w:rPr>
              <w:t>。</w:t>
            </w:r>
          </w:p>
          <w:p w14:paraId="4305EB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default" w:ascii="Times New Roman" w:hAnsi="Times New Roman" w:eastAsia="宋体" w:cs="Times New Roman"/>
                <w:bCs w:val="0"/>
                <w:color w:val="auto"/>
                <w:sz w:val="24"/>
                <w:szCs w:val="24"/>
                <w:highlight w:val="none"/>
              </w:rPr>
              <w:t>由《</w:t>
            </w:r>
            <w:r>
              <w:rPr>
                <w:rFonts w:hint="default" w:ascii="Times New Roman" w:hAnsi="Times New Roman" w:eastAsia="宋体" w:cs="Times New Roman"/>
                <w:bCs w:val="0"/>
                <w:color w:val="auto"/>
                <w:sz w:val="24"/>
                <w:szCs w:val="24"/>
                <w:highlight w:val="none"/>
                <w:lang w:val="en-US" w:eastAsia="zh-CN"/>
              </w:rPr>
              <w:t>伊春</w:t>
            </w:r>
            <w:r>
              <w:rPr>
                <w:rFonts w:hint="default" w:ascii="Times New Roman" w:hAnsi="Times New Roman" w:eastAsia="宋体" w:cs="Times New Roman"/>
                <w:bCs w:val="0"/>
                <w:color w:val="auto"/>
                <w:sz w:val="24"/>
                <w:szCs w:val="24"/>
                <w:highlight w:val="none"/>
              </w:rPr>
              <w:t>市生态环境质量</w:t>
            </w:r>
            <w:r>
              <w:rPr>
                <w:rFonts w:hint="eastAsia" w:ascii="Times New Roman" w:hAnsi="Times New Roman" w:cs="Times New Roman"/>
                <w:bCs w:val="0"/>
                <w:color w:val="auto"/>
                <w:sz w:val="24"/>
                <w:szCs w:val="24"/>
                <w:highlight w:val="none"/>
                <w:lang w:eastAsia="zh-CN"/>
              </w:rPr>
              <w:t>公报</w:t>
            </w:r>
            <w:r>
              <w:rPr>
                <w:rFonts w:hint="default" w:ascii="Times New Roman" w:hAnsi="Times New Roman" w:eastAsia="宋体" w:cs="Times New Roman"/>
                <w:bCs w:val="0"/>
                <w:color w:val="auto"/>
                <w:sz w:val="24"/>
                <w:szCs w:val="24"/>
                <w:highlight w:val="none"/>
              </w:rPr>
              <w:t>》（20</w:t>
            </w:r>
            <w:r>
              <w:rPr>
                <w:rFonts w:hint="default" w:ascii="Times New Roman" w:hAnsi="Times New Roman" w:eastAsia="宋体" w:cs="Times New Roman"/>
                <w:bCs w:val="0"/>
                <w:color w:val="auto"/>
                <w:sz w:val="24"/>
                <w:szCs w:val="24"/>
                <w:highlight w:val="none"/>
                <w:lang w:val="en-US" w:eastAsia="zh-CN"/>
              </w:rPr>
              <w:t>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年）可知，本项目所在区域属于达标区</w:t>
            </w:r>
            <w:r>
              <w:rPr>
                <w:rFonts w:hint="default" w:ascii="Times New Roman" w:hAnsi="Times New Roman" w:eastAsia="宋体" w:cs="Times New Roman"/>
                <w:bCs w:val="0"/>
                <w:color w:val="auto"/>
                <w:sz w:val="24"/>
                <w:szCs w:val="24"/>
                <w:highlight w:val="none"/>
                <w:lang w:eastAsia="zh-CN"/>
              </w:rPr>
              <w:t>。</w:t>
            </w:r>
          </w:p>
          <w:p w14:paraId="2081BA1A">
            <w:pPr>
              <w:adjustRightInd w:val="0"/>
              <w:snapToGrid w:val="0"/>
              <w:spacing w:line="240" w:lineRule="auto"/>
              <w:ind w:firstLine="422"/>
              <w:jc w:val="center"/>
              <w:rPr>
                <w:b/>
                <w:bCs/>
                <w:color w:val="auto"/>
                <w:sz w:val="24"/>
                <w:szCs w:val="24"/>
                <w:highlight w:val="none"/>
              </w:rPr>
            </w:pPr>
            <w:r>
              <w:rPr>
                <w:b/>
                <w:bCs/>
                <w:color w:val="auto"/>
                <w:sz w:val="24"/>
                <w:szCs w:val="24"/>
                <w:highlight w:val="none"/>
              </w:rPr>
              <w:t xml:space="preserve">表3-1  </w:t>
            </w:r>
            <w:r>
              <w:rPr>
                <w:rFonts w:hint="eastAsia"/>
                <w:b/>
                <w:bCs/>
                <w:color w:val="auto"/>
                <w:sz w:val="24"/>
                <w:szCs w:val="24"/>
                <w:highlight w:val="none"/>
                <w:lang w:val="en-US" w:eastAsia="zh-CN"/>
              </w:rPr>
              <w:t>2024年环境空气各项</w:t>
            </w:r>
            <w:r>
              <w:rPr>
                <w:b/>
                <w:bCs/>
                <w:color w:val="auto"/>
                <w:sz w:val="24"/>
                <w:szCs w:val="24"/>
                <w:highlight w:val="none"/>
              </w:rPr>
              <w:t>污染物</w:t>
            </w:r>
            <w:r>
              <w:rPr>
                <w:rFonts w:hint="eastAsia"/>
                <w:b/>
                <w:bCs/>
                <w:color w:val="auto"/>
                <w:sz w:val="24"/>
                <w:szCs w:val="24"/>
                <w:highlight w:val="none"/>
                <w:lang w:val="en-US" w:eastAsia="zh-CN"/>
              </w:rPr>
              <w:t>达标情况</w:t>
            </w:r>
            <w:r>
              <w:rPr>
                <w:b/>
                <w:bCs/>
                <w:color w:val="auto"/>
                <w:sz w:val="24"/>
                <w:szCs w:val="24"/>
                <w:highlight w:val="none"/>
              </w:rPr>
              <w:t>一览表   单位：μg/m</w:t>
            </w:r>
            <w:r>
              <w:rPr>
                <w:b/>
                <w:bCs/>
                <w:color w:val="auto"/>
                <w:sz w:val="24"/>
                <w:szCs w:val="24"/>
                <w:highlight w:val="none"/>
                <w:vertAlign w:val="superscript"/>
              </w:rPr>
              <w:t>3</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0"/>
              <w:gridCol w:w="3353"/>
              <w:gridCol w:w="1060"/>
              <w:gridCol w:w="1231"/>
              <w:gridCol w:w="1012"/>
              <w:gridCol w:w="1115"/>
            </w:tblGrid>
            <w:tr w14:paraId="6CC14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461" w:type="pct"/>
                  <w:noWrap w:val="0"/>
                  <w:vAlign w:val="center"/>
                </w:tcPr>
                <w:p w14:paraId="143D7771">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污染物</w:t>
                  </w:r>
                </w:p>
              </w:tc>
              <w:tc>
                <w:tcPr>
                  <w:tcW w:w="1958" w:type="pct"/>
                  <w:noWrap w:val="0"/>
                  <w:vAlign w:val="center"/>
                </w:tcPr>
                <w:p w14:paraId="74C7BAAD">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年评价指标</w:t>
                  </w:r>
                </w:p>
              </w:tc>
              <w:tc>
                <w:tcPr>
                  <w:tcW w:w="619" w:type="pct"/>
                  <w:noWrap w:val="0"/>
                  <w:vAlign w:val="center"/>
                </w:tcPr>
                <w:p w14:paraId="06461945">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现状浓度</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719" w:type="pct"/>
                  <w:noWrap w:val="0"/>
                  <w:vAlign w:val="center"/>
                </w:tcPr>
                <w:p w14:paraId="6252D841">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标准值</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591" w:type="pct"/>
                  <w:noWrap w:val="0"/>
                  <w:vAlign w:val="center"/>
                </w:tcPr>
                <w:p w14:paraId="3EE6582E">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占标率</w:t>
                  </w:r>
                  <w:r>
                    <w:rPr>
                      <w:rFonts w:ascii="Times New Roman" w:hAnsi="Times New Roman"/>
                      <w:color w:val="auto"/>
                      <w:sz w:val="21"/>
                      <w:szCs w:val="21"/>
                      <w:lang w:bidi="ar"/>
                    </w:rPr>
                    <w:t>/%</w:t>
                  </w:r>
                </w:p>
              </w:tc>
              <w:tc>
                <w:tcPr>
                  <w:tcW w:w="651" w:type="pct"/>
                  <w:noWrap w:val="0"/>
                  <w:vAlign w:val="center"/>
                </w:tcPr>
                <w:p w14:paraId="424051F9">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p w14:paraId="636CB5BD">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情况</w:t>
                  </w:r>
                </w:p>
              </w:tc>
            </w:tr>
            <w:tr w14:paraId="383B8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461" w:type="pct"/>
                  <w:noWrap w:val="0"/>
                  <w:vAlign w:val="center"/>
                </w:tcPr>
                <w:p w14:paraId="358FED8A">
                  <w:pPr>
                    <w:pStyle w:val="23"/>
                    <w:widowControl w:val="0"/>
                    <w:spacing w:before="0" w:beforeAutospacing="0" w:after="0" w:afterAutospacing="0" w:line="240" w:lineRule="exact"/>
                    <w:jc w:val="center"/>
                    <w:rPr>
                      <w:rFonts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2.5</w:t>
                  </w:r>
                </w:p>
              </w:tc>
              <w:tc>
                <w:tcPr>
                  <w:tcW w:w="1958" w:type="pct"/>
                  <w:noWrap w:val="0"/>
                  <w:vAlign w:val="center"/>
                </w:tcPr>
                <w:p w14:paraId="7031870F">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619" w:type="pct"/>
                  <w:noWrap w:val="0"/>
                  <w:vAlign w:val="center"/>
                </w:tcPr>
                <w:p w14:paraId="57542906">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24</w:t>
                  </w:r>
                </w:p>
              </w:tc>
              <w:tc>
                <w:tcPr>
                  <w:tcW w:w="719" w:type="pct"/>
                  <w:noWrap w:val="0"/>
                  <w:vAlign w:val="center"/>
                </w:tcPr>
                <w:p w14:paraId="18EEDB8B">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35</w:t>
                  </w:r>
                </w:p>
              </w:tc>
              <w:tc>
                <w:tcPr>
                  <w:tcW w:w="591" w:type="pct"/>
                  <w:noWrap w:val="0"/>
                  <w:vAlign w:val="center"/>
                </w:tcPr>
                <w:p w14:paraId="3C986FE3">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68.57</w:t>
                  </w:r>
                </w:p>
              </w:tc>
              <w:tc>
                <w:tcPr>
                  <w:tcW w:w="651" w:type="pct"/>
                  <w:noWrap w:val="0"/>
                  <w:vAlign w:val="center"/>
                </w:tcPr>
                <w:p w14:paraId="7CB4CA6B">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14:paraId="40A1B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461" w:type="pct"/>
                  <w:noWrap w:val="0"/>
                  <w:vAlign w:val="center"/>
                </w:tcPr>
                <w:p w14:paraId="14955906">
                  <w:pPr>
                    <w:pStyle w:val="23"/>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10</w:t>
                  </w:r>
                </w:p>
              </w:tc>
              <w:tc>
                <w:tcPr>
                  <w:tcW w:w="1958" w:type="pct"/>
                  <w:noWrap w:val="0"/>
                  <w:vAlign w:val="center"/>
                </w:tcPr>
                <w:p w14:paraId="6B3B2479">
                  <w:pPr>
                    <w:pStyle w:val="23"/>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619" w:type="pct"/>
                  <w:noWrap w:val="0"/>
                  <w:vAlign w:val="center"/>
                </w:tcPr>
                <w:p w14:paraId="56E8C0F0">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34</w:t>
                  </w:r>
                </w:p>
              </w:tc>
              <w:tc>
                <w:tcPr>
                  <w:tcW w:w="719" w:type="pct"/>
                  <w:noWrap w:val="0"/>
                  <w:vAlign w:val="center"/>
                </w:tcPr>
                <w:p w14:paraId="49E80B87">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70</w:t>
                  </w:r>
                </w:p>
              </w:tc>
              <w:tc>
                <w:tcPr>
                  <w:tcW w:w="591" w:type="pct"/>
                  <w:noWrap w:val="0"/>
                  <w:vAlign w:val="center"/>
                </w:tcPr>
                <w:p w14:paraId="57B0F4FD">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48.57</w:t>
                  </w:r>
                </w:p>
              </w:tc>
              <w:tc>
                <w:tcPr>
                  <w:tcW w:w="651" w:type="pct"/>
                  <w:noWrap w:val="0"/>
                  <w:vAlign w:val="center"/>
                </w:tcPr>
                <w:p w14:paraId="77CD4351">
                  <w:pPr>
                    <w:pStyle w:val="23"/>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14:paraId="5F7D5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461" w:type="pct"/>
                  <w:noWrap w:val="0"/>
                  <w:vAlign w:val="center"/>
                </w:tcPr>
                <w:p w14:paraId="2EA7C501">
                  <w:pPr>
                    <w:pStyle w:val="23"/>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SO</w:t>
                  </w:r>
                  <w:r>
                    <w:rPr>
                      <w:rFonts w:ascii="Times New Roman" w:hAnsi="Times New Roman"/>
                      <w:color w:val="auto"/>
                      <w:sz w:val="21"/>
                      <w:szCs w:val="21"/>
                      <w:vertAlign w:val="subscript"/>
                      <w:lang w:bidi="ar"/>
                    </w:rPr>
                    <w:t>2</w:t>
                  </w:r>
                </w:p>
              </w:tc>
              <w:tc>
                <w:tcPr>
                  <w:tcW w:w="1958" w:type="pct"/>
                  <w:noWrap w:val="0"/>
                  <w:vAlign w:val="center"/>
                </w:tcPr>
                <w:p w14:paraId="08953570">
                  <w:pPr>
                    <w:pStyle w:val="23"/>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619" w:type="pct"/>
                  <w:noWrap w:val="0"/>
                  <w:vAlign w:val="center"/>
                </w:tcPr>
                <w:p w14:paraId="3401F989">
                  <w:pPr>
                    <w:pStyle w:val="23"/>
                    <w:widowControl w:val="0"/>
                    <w:spacing w:before="0" w:beforeAutospacing="0" w:after="0" w:afterAutospacing="0" w:line="240" w:lineRule="exac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bidi="ar"/>
                    </w:rPr>
                    <w:t>7</w:t>
                  </w:r>
                </w:p>
              </w:tc>
              <w:tc>
                <w:tcPr>
                  <w:tcW w:w="719" w:type="pct"/>
                  <w:noWrap w:val="0"/>
                  <w:vAlign w:val="center"/>
                </w:tcPr>
                <w:p w14:paraId="3041ED16">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60</w:t>
                  </w:r>
                </w:p>
              </w:tc>
              <w:tc>
                <w:tcPr>
                  <w:tcW w:w="591" w:type="pct"/>
                  <w:noWrap w:val="0"/>
                  <w:vAlign w:val="center"/>
                </w:tcPr>
                <w:p w14:paraId="670269D8">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11.67</w:t>
                  </w:r>
                </w:p>
              </w:tc>
              <w:tc>
                <w:tcPr>
                  <w:tcW w:w="651" w:type="pct"/>
                  <w:noWrap w:val="0"/>
                  <w:vAlign w:val="center"/>
                </w:tcPr>
                <w:p w14:paraId="6BC94C3D">
                  <w:pPr>
                    <w:pStyle w:val="23"/>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14:paraId="3E86B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461" w:type="pct"/>
                  <w:noWrap w:val="0"/>
                  <w:vAlign w:val="center"/>
                </w:tcPr>
                <w:p w14:paraId="5FE337D1">
                  <w:pPr>
                    <w:pStyle w:val="23"/>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NO</w:t>
                  </w:r>
                  <w:r>
                    <w:rPr>
                      <w:rFonts w:ascii="Times New Roman" w:hAnsi="Times New Roman"/>
                      <w:color w:val="auto"/>
                      <w:sz w:val="21"/>
                      <w:szCs w:val="21"/>
                      <w:vertAlign w:val="subscript"/>
                      <w:lang w:bidi="ar"/>
                    </w:rPr>
                    <w:t>2</w:t>
                  </w:r>
                </w:p>
              </w:tc>
              <w:tc>
                <w:tcPr>
                  <w:tcW w:w="1958" w:type="pct"/>
                  <w:noWrap w:val="0"/>
                  <w:vAlign w:val="center"/>
                </w:tcPr>
                <w:p w14:paraId="5ACCA5EA">
                  <w:pPr>
                    <w:pStyle w:val="23"/>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619" w:type="pct"/>
                  <w:noWrap w:val="0"/>
                  <w:vAlign w:val="center"/>
                </w:tcPr>
                <w:p w14:paraId="31B3C1D1">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13</w:t>
                  </w:r>
                </w:p>
              </w:tc>
              <w:tc>
                <w:tcPr>
                  <w:tcW w:w="719" w:type="pct"/>
                  <w:noWrap w:val="0"/>
                  <w:vAlign w:val="center"/>
                </w:tcPr>
                <w:p w14:paraId="5ACEE07B">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40</w:t>
                  </w:r>
                </w:p>
              </w:tc>
              <w:tc>
                <w:tcPr>
                  <w:tcW w:w="591" w:type="pct"/>
                  <w:noWrap w:val="0"/>
                  <w:vAlign w:val="center"/>
                </w:tcPr>
                <w:p w14:paraId="4BDB7F3B">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32.50</w:t>
                  </w:r>
                </w:p>
              </w:tc>
              <w:tc>
                <w:tcPr>
                  <w:tcW w:w="651" w:type="pct"/>
                  <w:noWrap w:val="0"/>
                  <w:vAlign w:val="center"/>
                </w:tcPr>
                <w:p w14:paraId="07ED54CF">
                  <w:pPr>
                    <w:pStyle w:val="23"/>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14:paraId="21740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461" w:type="pct"/>
                  <w:noWrap w:val="0"/>
                  <w:vAlign w:val="center"/>
                </w:tcPr>
                <w:p w14:paraId="2D6C9304">
                  <w:pPr>
                    <w:pStyle w:val="23"/>
                    <w:widowControl w:val="0"/>
                    <w:spacing w:before="0" w:beforeAutospacing="0" w:after="0" w:afterAutospacing="0" w:line="240" w:lineRule="exact"/>
                    <w:jc w:val="center"/>
                    <w:rPr>
                      <w:rFonts w:ascii="Times New Roman" w:hAnsi="Times New Roman"/>
                      <w:color w:val="auto"/>
                      <w:sz w:val="21"/>
                      <w:szCs w:val="21"/>
                      <w:vertAlign w:val="subscript"/>
                    </w:rPr>
                  </w:pPr>
                  <w:r>
                    <w:rPr>
                      <w:rFonts w:ascii="Times New Roman" w:hAnsi="Times New Roman"/>
                      <w:color w:val="auto"/>
                      <w:sz w:val="21"/>
                      <w:szCs w:val="21"/>
                      <w:lang w:bidi="ar"/>
                    </w:rPr>
                    <w:t>CO</w:t>
                  </w:r>
                </w:p>
              </w:tc>
              <w:tc>
                <w:tcPr>
                  <w:tcW w:w="1958" w:type="pct"/>
                  <w:noWrap w:val="0"/>
                  <w:vAlign w:val="center"/>
                </w:tcPr>
                <w:p w14:paraId="27202EBE">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95</w:t>
                  </w:r>
                  <w:r>
                    <w:rPr>
                      <w:rFonts w:hint="eastAsia" w:ascii="Times New Roman" w:hAnsi="Times New Roman" w:cs="宋体"/>
                      <w:color w:val="auto"/>
                      <w:sz w:val="21"/>
                      <w:szCs w:val="21"/>
                      <w:lang w:bidi="ar"/>
                    </w:rPr>
                    <w:t>百分位数日平均浓度（</w:t>
                  </w:r>
                  <w:r>
                    <w:rPr>
                      <w:rFonts w:ascii="Times New Roman" w:hAnsi="Times New Roman"/>
                      <w:color w:val="auto"/>
                      <w:sz w:val="21"/>
                      <w:szCs w:val="21"/>
                      <w:lang w:bidi="ar"/>
                    </w:rPr>
                    <w:t>mg/m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619" w:type="pct"/>
                  <w:noWrap w:val="0"/>
                  <w:vAlign w:val="center"/>
                </w:tcPr>
                <w:p w14:paraId="6DB632E6">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0.8</w:t>
                  </w:r>
                </w:p>
              </w:tc>
              <w:tc>
                <w:tcPr>
                  <w:tcW w:w="719" w:type="pct"/>
                  <w:noWrap w:val="0"/>
                  <w:vAlign w:val="center"/>
                </w:tcPr>
                <w:p w14:paraId="2311C9BB">
                  <w:pPr>
                    <w:pStyle w:val="23"/>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4.0</w:t>
                  </w:r>
                </w:p>
              </w:tc>
              <w:tc>
                <w:tcPr>
                  <w:tcW w:w="591" w:type="pct"/>
                  <w:noWrap w:val="0"/>
                  <w:vAlign w:val="center"/>
                </w:tcPr>
                <w:p w14:paraId="76088E2D">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2</w:t>
                  </w:r>
                  <w:r>
                    <w:rPr>
                      <w:rFonts w:hint="eastAsia" w:ascii="Times New Roman" w:hAnsi="Times New Roman"/>
                      <w:color w:val="auto"/>
                      <w:sz w:val="21"/>
                      <w:szCs w:val="21"/>
                      <w:lang w:val="en-US" w:eastAsia="zh-CN" w:bidi="ar"/>
                    </w:rPr>
                    <w:t>0</w:t>
                  </w:r>
                  <w:r>
                    <w:rPr>
                      <w:rFonts w:hint="eastAsia" w:ascii="Times New Roman" w:hAnsi="Times New Roman"/>
                      <w:color w:val="auto"/>
                      <w:sz w:val="21"/>
                      <w:szCs w:val="21"/>
                      <w:lang w:bidi="ar"/>
                    </w:rPr>
                    <w:t>.00</w:t>
                  </w:r>
                </w:p>
              </w:tc>
              <w:tc>
                <w:tcPr>
                  <w:tcW w:w="651" w:type="pct"/>
                  <w:noWrap w:val="0"/>
                  <w:vAlign w:val="center"/>
                </w:tcPr>
                <w:p w14:paraId="36AD6D2D">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14:paraId="56B20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Pr>
              <w:tc>
                <w:tcPr>
                  <w:tcW w:w="461" w:type="pct"/>
                  <w:noWrap w:val="0"/>
                  <w:vAlign w:val="center"/>
                </w:tcPr>
                <w:p w14:paraId="78E05C91">
                  <w:pPr>
                    <w:pStyle w:val="23"/>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O</w:t>
                  </w:r>
                  <w:r>
                    <w:rPr>
                      <w:rFonts w:ascii="Times New Roman" w:hAnsi="Times New Roman"/>
                      <w:color w:val="auto"/>
                      <w:sz w:val="21"/>
                      <w:szCs w:val="21"/>
                      <w:vertAlign w:val="subscript"/>
                      <w:lang w:bidi="ar"/>
                    </w:rPr>
                    <w:t>3</w:t>
                  </w:r>
                </w:p>
              </w:tc>
              <w:tc>
                <w:tcPr>
                  <w:tcW w:w="1958" w:type="pct"/>
                  <w:noWrap w:val="0"/>
                  <w:vAlign w:val="center"/>
                </w:tcPr>
                <w:p w14:paraId="18C06C86">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90</w:t>
                  </w:r>
                  <w:r>
                    <w:rPr>
                      <w:rFonts w:hint="eastAsia" w:ascii="Times New Roman" w:hAnsi="Times New Roman" w:cs="宋体"/>
                      <w:color w:val="auto"/>
                      <w:sz w:val="21"/>
                      <w:szCs w:val="21"/>
                      <w:lang w:bidi="ar"/>
                    </w:rPr>
                    <w:t>百分位数</w:t>
                  </w:r>
                  <w:r>
                    <w:rPr>
                      <w:rFonts w:ascii="Times New Roman" w:hAnsi="Times New Roman"/>
                      <w:color w:val="auto"/>
                      <w:sz w:val="21"/>
                      <w:szCs w:val="21"/>
                      <w:lang w:bidi="ar"/>
                    </w:rPr>
                    <w:t>8h</w:t>
                  </w:r>
                  <w:r>
                    <w:rPr>
                      <w:rFonts w:hint="eastAsia" w:ascii="Times New Roman" w:hAnsi="Times New Roman" w:cs="宋体"/>
                      <w:color w:val="auto"/>
                      <w:sz w:val="21"/>
                      <w:szCs w:val="21"/>
                      <w:lang w:bidi="ar"/>
                    </w:rPr>
                    <w:t>平均质量浓度</w:t>
                  </w:r>
                </w:p>
              </w:tc>
              <w:tc>
                <w:tcPr>
                  <w:tcW w:w="619" w:type="pct"/>
                  <w:noWrap w:val="0"/>
                  <w:vAlign w:val="center"/>
                </w:tcPr>
                <w:p w14:paraId="7D6D3E71">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104</w:t>
                  </w:r>
                </w:p>
              </w:tc>
              <w:tc>
                <w:tcPr>
                  <w:tcW w:w="719" w:type="pct"/>
                  <w:noWrap w:val="0"/>
                  <w:vAlign w:val="center"/>
                </w:tcPr>
                <w:p w14:paraId="1EB8E44D">
                  <w:pPr>
                    <w:pStyle w:val="23"/>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160</w:t>
                  </w:r>
                </w:p>
              </w:tc>
              <w:tc>
                <w:tcPr>
                  <w:tcW w:w="591" w:type="pct"/>
                  <w:noWrap w:val="0"/>
                  <w:vAlign w:val="center"/>
                </w:tcPr>
                <w:p w14:paraId="1DF67F9E">
                  <w:pPr>
                    <w:pStyle w:val="23"/>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65.00</w:t>
                  </w:r>
                </w:p>
              </w:tc>
              <w:tc>
                <w:tcPr>
                  <w:tcW w:w="651" w:type="pct"/>
                  <w:noWrap w:val="0"/>
                  <w:vAlign w:val="center"/>
                </w:tcPr>
                <w:p w14:paraId="7005E7A6">
                  <w:pPr>
                    <w:pStyle w:val="23"/>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bl>
          <w:p w14:paraId="208B3D6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color w:val="auto"/>
                <w:sz w:val="18"/>
                <w:szCs w:val="18"/>
                <w:highlight w:val="none"/>
              </w:rPr>
              <w:t>注：</w:t>
            </w:r>
            <w:r>
              <w:rPr>
                <w:rFonts w:hint="eastAsia"/>
                <w:color w:val="auto"/>
                <w:sz w:val="18"/>
                <w:szCs w:val="18"/>
                <w:highlight w:val="none"/>
                <w:lang w:val="en-US" w:eastAsia="zh-CN"/>
              </w:rPr>
              <w:t>日均值第X百分位数按照《环境空气质量评价技术规范（试行）》（HJ 663-2013），</w:t>
            </w:r>
            <w:r>
              <w:rPr>
                <w:color w:val="auto"/>
                <w:sz w:val="18"/>
                <w:szCs w:val="18"/>
                <w:highlight w:val="none"/>
              </w:rPr>
              <w:t>二氧化氮、二氧化硫</w:t>
            </w:r>
            <w:r>
              <w:rPr>
                <w:rFonts w:hint="eastAsia"/>
                <w:color w:val="auto"/>
                <w:sz w:val="18"/>
                <w:szCs w:val="18"/>
                <w:highlight w:val="none"/>
                <w:lang w:val="en-US" w:eastAsia="zh-CN"/>
              </w:rPr>
              <w:t>X</w:t>
            </w:r>
            <w:r>
              <w:rPr>
                <w:color w:val="auto"/>
                <w:sz w:val="18"/>
                <w:szCs w:val="18"/>
                <w:highlight w:val="none"/>
              </w:rPr>
              <w:t>为98，PM</w:t>
            </w:r>
            <w:r>
              <w:rPr>
                <w:color w:val="auto"/>
                <w:sz w:val="18"/>
                <w:szCs w:val="18"/>
                <w:highlight w:val="none"/>
                <w:vertAlign w:val="subscript"/>
              </w:rPr>
              <w:t>2.5</w:t>
            </w:r>
            <w:r>
              <w:rPr>
                <w:color w:val="auto"/>
                <w:sz w:val="18"/>
                <w:szCs w:val="18"/>
                <w:highlight w:val="none"/>
              </w:rPr>
              <w:t>、PM</w:t>
            </w:r>
            <w:r>
              <w:rPr>
                <w:color w:val="auto"/>
                <w:sz w:val="18"/>
                <w:szCs w:val="18"/>
                <w:highlight w:val="none"/>
                <w:vertAlign w:val="subscript"/>
              </w:rPr>
              <w:t>10</w:t>
            </w:r>
            <w:r>
              <w:rPr>
                <w:color w:val="auto"/>
                <w:sz w:val="18"/>
                <w:szCs w:val="18"/>
                <w:highlight w:val="none"/>
              </w:rPr>
              <w:t>、一氧化碳</w:t>
            </w:r>
            <w:r>
              <w:rPr>
                <w:rFonts w:hint="eastAsia"/>
                <w:color w:val="auto"/>
                <w:sz w:val="18"/>
                <w:szCs w:val="18"/>
                <w:highlight w:val="none"/>
                <w:lang w:val="en-US" w:eastAsia="zh-CN"/>
              </w:rPr>
              <w:t>X</w:t>
            </w:r>
            <w:r>
              <w:rPr>
                <w:color w:val="auto"/>
                <w:sz w:val="18"/>
                <w:szCs w:val="18"/>
                <w:highlight w:val="none"/>
              </w:rPr>
              <w:t>为95，臭氧日最大8小时平均</w:t>
            </w:r>
            <w:r>
              <w:rPr>
                <w:rFonts w:hint="eastAsia"/>
                <w:color w:val="auto"/>
                <w:sz w:val="18"/>
                <w:szCs w:val="18"/>
                <w:highlight w:val="none"/>
                <w:lang w:val="en-US" w:eastAsia="zh-CN"/>
              </w:rPr>
              <w:t>X</w:t>
            </w:r>
            <w:r>
              <w:rPr>
                <w:color w:val="auto"/>
                <w:sz w:val="18"/>
                <w:szCs w:val="18"/>
                <w:highlight w:val="none"/>
              </w:rPr>
              <w:t>为90。</w:t>
            </w:r>
          </w:p>
          <w:p w14:paraId="7BBF98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14:paraId="71E06D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14:paraId="0388EFA9">
            <w:pPr>
              <w:pStyle w:val="34"/>
              <w:jc w:val="center"/>
              <w:rPr>
                <w:rFonts w:hint="default" w:ascii="Times New Roman" w:hAnsi="Times New Roman" w:cs="Times New Roman"/>
                <w:color w:val="auto"/>
              </w:rPr>
            </w:pPr>
            <w:r>
              <w:drawing>
                <wp:inline distT="0" distB="0" distL="114300" distR="114300">
                  <wp:extent cx="4134485" cy="3373755"/>
                  <wp:effectExtent l="0" t="0" r="18415" b="1714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4134485" cy="3373755"/>
                          </a:xfrm>
                          <a:prstGeom prst="rect">
                            <a:avLst/>
                          </a:prstGeom>
                          <a:noFill/>
                          <a:ln>
                            <a:noFill/>
                          </a:ln>
                        </pic:spPr>
                      </pic:pic>
                    </a:graphicData>
                  </a:graphic>
                </wp:inline>
              </w:drawing>
            </w:r>
          </w:p>
          <w:p w14:paraId="49D8FD7D">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3-1 大气监测点位示意图</w:t>
            </w:r>
          </w:p>
          <w:p w14:paraId="1F531D70">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2 项目环境空气现状监测布点一览表</w:t>
            </w:r>
          </w:p>
          <w:tbl>
            <w:tblPr>
              <w:tblStyle w:val="29"/>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938"/>
              <w:gridCol w:w="1062"/>
              <w:gridCol w:w="1046"/>
              <w:gridCol w:w="2086"/>
              <w:gridCol w:w="1077"/>
              <w:gridCol w:w="1188"/>
            </w:tblGrid>
            <w:tr w14:paraId="141CE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7" w:type="dxa"/>
                  <w:vMerge w:val="restart"/>
                  <w:noWrap w:val="0"/>
                  <w:vAlign w:val="center"/>
                </w:tcPr>
                <w:p w14:paraId="7F73F866">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000" w:type="dxa"/>
                  <w:gridSpan w:val="2"/>
                  <w:noWrap w:val="0"/>
                  <w:vAlign w:val="center"/>
                </w:tcPr>
                <w:p w14:paraId="4B9320AA">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1046" w:type="dxa"/>
                  <w:vMerge w:val="restart"/>
                  <w:noWrap w:val="0"/>
                  <w:vAlign w:val="center"/>
                </w:tcPr>
                <w:p w14:paraId="7A792442">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086" w:type="dxa"/>
                  <w:vMerge w:val="restart"/>
                  <w:noWrap w:val="0"/>
                  <w:vAlign w:val="center"/>
                </w:tcPr>
                <w:p w14:paraId="5C4B3540">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1077" w:type="dxa"/>
                  <w:vMerge w:val="restart"/>
                  <w:noWrap w:val="0"/>
                  <w:vAlign w:val="center"/>
                </w:tcPr>
                <w:p w14:paraId="54F9EA94">
                  <w:pPr>
                    <w:pStyle w:val="34"/>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188" w:type="dxa"/>
                  <w:vMerge w:val="restart"/>
                  <w:noWrap w:val="0"/>
                  <w:vAlign w:val="center"/>
                </w:tcPr>
                <w:p w14:paraId="3B0B447E">
                  <w:pPr>
                    <w:pStyle w:val="34"/>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14:paraId="027B8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7" w:type="dxa"/>
                  <w:vMerge w:val="continue"/>
                  <w:noWrap w:val="0"/>
                  <w:vAlign w:val="center"/>
                </w:tcPr>
                <w:p w14:paraId="6B387CEB">
                  <w:pPr>
                    <w:pStyle w:val="34"/>
                    <w:spacing w:line="240" w:lineRule="auto"/>
                    <w:jc w:val="center"/>
                    <w:rPr>
                      <w:rFonts w:hint="default" w:ascii="Times New Roman" w:hAnsi="Times New Roman" w:eastAsia="宋体" w:cs="Times New Roman"/>
                      <w:color w:val="auto"/>
                      <w:sz w:val="21"/>
                      <w:szCs w:val="21"/>
                      <w:highlight w:val="none"/>
                    </w:rPr>
                  </w:pPr>
                </w:p>
              </w:tc>
              <w:tc>
                <w:tcPr>
                  <w:tcW w:w="938" w:type="dxa"/>
                  <w:noWrap w:val="0"/>
                  <w:vAlign w:val="center"/>
                </w:tcPr>
                <w:p w14:paraId="3446111A">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062" w:type="dxa"/>
                  <w:noWrap w:val="0"/>
                  <w:vAlign w:val="center"/>
                </w:tcPr>
                <w:p w14:paraId="177C8FFD">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1046" w:type="dxa"/>
                  <w:vMerge w:val="continue"/>
                  <w:noWrap w:val="0"/>
                  <w:vAlign w:val="center"/>
                </w:tcPr>
                <w:p w14:paraId="7EE79120">
                  <w:pPr>
                    <w:pStyle w:val="34"/>
                    <w:spacing w:line="240" w:lineRule="auto"/>
                    <w:jc w:val="center"/>
                    <w:rPr>
                      <w:rFonts w:hint="default" w:ascii="Times New Roman" w:hAnsi="Times New Roman" w:eastAsia="宋体" w:cs="Times New Roman"/>
                      <w:color w:val="auto"/>
                      <w:sz w:val="21"/>
                      <w:szCs w:val="21"/>
                      <w:highlight w:val="none"/>
                    </w:rPr>
                  </w:pPr>
                </w:p>
              </w:tc>
              <w:tc>
                <w:tcPr>
                  <w:tcW w:w="2086" w:type="dxa"/>
                  <w:vMerge w:val="continue"/>
                  <w:noWrap w:val="0"/>
                  <w:vAlign w:val="center"/>
                </w:tcPr>
                <w:p w14:paraId="25F2CA54">
                  <w:pPr>
                    <w:pStyle w:val="34"/>
                    <w:spacing w:line="240" w:lineRule="auto"/>
                    <w:jc w:val="center"/>
                    <w:rPr>
                      <w:rFonts w:hint="default" w:ascii="Times New Roman" w:hAnsi="Times New Roman" w:eastAsia="宋体" w:cs="Times New Roman"/>
                      <w:color w:val="auto"/>
                      <w:sz w:val="21"/>
                      <w:szCs w:val="21"/>
                      <w:highlight w:val="yellow"/>
                    </w:rPr>
                  </w:pPr>
                </w:p>
              </w:tc>
              <w:tc>
                <w:tcPr>
                  <w:tcW w:w="1077" w:type="dxa"/>
                  <w:vMerge w:val="continue"/>
                  <w:noWrap w:val="0"/>
                  <w:vAlign w:val="center"/>
                </w:tcPr>
                <w:p w14:paraId="4DB4906D">
                  <w:pPr>
                    <w:pStyle w:val="34"/>
                    <w:spacing w:line="240" w:lineRule="auto"/>
                    <w:jc w:val="center"/>
                    <w:rPr>
                      <w:rFonts w:hint="default" w:ascii="Times New Roman" w:hAnsi="Times New Roman" w:eastAsia="宋体" w:cs="Times New Roman"/>
                      <w:color w:val="auto"/>
                      <w:sz w:val="21"/>
                      <w:szCs w:val="21"/>
                      <w:highlight w:val="yellow"/>
                    </w:rPr>
                  </w:pPr>
                </w:p>
              </w:tc>
              <w:tc>
                <w:tcPr>
                  <w:tcW w:w="1188" w:type="dxa"/>
                  <w:vMerge w:val="continue"/>
                  <w:noWrap w:val="0"/>
                  <w:vAlign w:val="center"/>
                </w:tcPr>
                <w:p w14:paraId="52DBC31D">
                  <w:pPr>
                    <w:pStyle w:val="34"/>
                    <w:spacing w:line="240" w:lineRule="auto"/>
                    <w:jc w:val="center"/>
                    <w:rPr>
                      <w:rFonts w:hint="default" w:ascii="Times New Roman" w:hAnsi="Times New Roman" w:eastAsia="宋体" w:cs="Times New Roman"/>
                      <w:color w:val="auto"/>
                      <w:sz w:val="21"/>
                      <w:szCs w:val="21"/>
                      <w:highlight w:val="yellow"/>
                    </w:rPr>
                  </w:pPr>
                </w:p>
              </w:tc>
            </w:tr>
            <w:tr w14:paraId="57BDD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7" w:type="dxa"/>
                  <w:noWrap w:val="0"/>
                  <w:vAlign w:val="center"/>
                </w:tcPr>
                <w:p w14:paraId="3E1BFB0A">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938" w:type="dxa"/>
                  <w:noWrap w:val="0"/>
                  <w:vAlign w:val="center"/>
                </w:tcPr>
                <w:p w14:paraId="0144097F">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130.48116935</w:t>
                  </w:r>
                </w:p>
              </w:tc>
              <w:tc>
                <w:tcPr>
                  <w:tcW w:w="1062" w:type="dxa"/>
                  <w:noWrap w:val="0"/>
                  <w:vAlign w:val="center"/>
                </w:tcPr>
                <w:p w14:paraId="1F149FDF">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48.86396323</w:t>
                  </w:r>
                </w:p>
              </w:tc>
              <w:tc>
                <w:tcPr>
                  <w:tcW w:w="1046" w:type="dxa"/>
                  <w:tcBorders>
                    <w:top w:val="single" w:color="000000" w:sz="8" w:space="0"/>
                  </w:tcBorders>
                  <w:noWrap w:val="0"/>
                  <w:vAlign w:val="center"/>
                </w:tcPr>
                <w:p w14:paraId="4C6881D2">
                  <w:pPr>
                    <w:pStyle w:val="34"/>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2086" w:type="dxa"/>
                  <w:tcBorders>
                    <w:top w:val="single" w:color="000000" w:sz="8" w:space="0"/>
                  </w:tcBorders>
                  <w:noWrap w:val="0"/>
                  <w:vAlign w:val="center"/>
                </w:tcPr>
                <w:p w14:paraId="49AC48C9">
                  <w:pPr>
                    <w:pStyle w:val="34"/>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6</w:t>
                  </w:r>
                  <w:r>
                    <w:rPr>
                      <w:rFonts w:hint="eastAsia" w:ascii="Times New Roman" w:hAnsi="Times New Roman"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22</w:t>
                  </w:r>
                </w:p>
              </w:tc>
              <w:tc>
                <w:tcPr>
                  <w:tcW w:w="1077" w:type="dxa"/>
                  <w:noWrap w:val="0"/>
                  <w:vAlign w:val="center"/>
                </w:tcPr>
                <w:p w14:paraId="2C3452DA">
                  <w:pPr>
                    <w:pStyle w:val="34"/>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E</w:t>
                  </w:r>
                </w:p>
              </w:tc>
              <w:tc>
                <w:tcPr>
                  <w:tcW w:w="1188" w:type="dxa"/>
                  <w:noWrap w:val="0"/>
                  <w:vAlign w:val="center"/>
                </w:tcPr>
                <w:p w14:paraId="50AF2BAD">
                  <w:pPr>
                    <w:pStyle w:val="34"/>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170</w:t>
                  </w:r>
                </w:p>
              </w:tc>
            </w:tr>
          </w:tbl>
          <w:p w14:paraId="02DCAC32">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其他污染物环境质量现状监测结果表</w:t>
            </w:r>
          </w:p>
          <w:tbl>
            <w:tblPr>
              <w:tblStyle w:val="28"/>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915"/>
              <w:gridCol w:w="912"/>
              <w:gridCol w:w="738"/>
              <w:gridCol w:w="637"/>
              <w:gridCol w:w="1049"/>
              <w:gridCol w:w="1101"/>
              <w:gridCol w:w="900"/>
              <w:gridCol w:w="641"/>
              <w:gridCol w:w="658"/>
            </w:tblGrid>
            <w:tr w14:paraId="7F766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3" w:type="dxa"/>
                  <w:vMerge w:val="restart"/>
                  <w:noWrap w:val="0"/>
                  <w:vAlign w:val="center"/>
                </w:tcPr>
                <w:p w14:paraId="4E27C3F5">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14:paraId="63AA311C">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1827" w:type="dxa"/>
                  <w:gridSpan w:val="2"/>
                  <w:noWrap w:val="0"/>
                  <w:vAlign w:val="center"/>
                </w:tcPr>
                <w:p w14:paraId="42D146FB">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738" w:type="dxa"/>
                  <w:vMerge w:val="restart"/>
                  <w:noWrap w:val="0"/>
                  <w:vAlign w:val="center"/>
                </w:tcPr>
                <w:p w14:paraId="69ADD6B4">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37" w:type="dxa"/>
                  <w:vMerge w:val="restart"/>
                  <w:noWrap w:val="0"/>
                  <w:vAlign w:val="center"/>
                </w:tcPr>
                <w:p w14:paraId="330BF46F">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1049" w:type="dxa"/>
                  <w:vMerge w:val="restart"/>
                  <w:noWrap w:val="0"/>
                  <w:vAlign w:val="center"/>
                </w:tcPr>
                <w:p w14:paraId="54056DE7">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101" w:type="dxa"/>
                  <w:vMerge w:val="restart"/>
                  <w:noWrap w:val="0"/>
                  <w:vAlign w:val="center"/>
                </w:tcPr>
                <w:p w14:paraId="2C1C5AA6">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14:paraId="649F95FA">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00" w:type="dxa"/>
                  <w:vMerge w:val="restart"/>
                  <w:noWrap w:val="0"/>
                  <w:vAlign w:val="center"/>
                </w:tcPr>
                <w:p w14:paraId="1447B5DB">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641" w:type="dxa"/>
                  <w:vMerge w:val="restart"/>
                  <w:noWrap w:val="0"/>
                  <w:vAlign w:val="center"/>
                </w:tcPr>
                <w:p w14:paraId="60BCFF95">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658" w:type="dxa"/>
                  <w:vMerge w:val="restart"/>
                  <w:noWrap w:val="0"/>
                  <w:vAlign w:val="center"/>
                </w:tcPr>
                <w:p w14:paraId="20AB4F9D">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14:paraId="4DA63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3" w:type="dxa"/>
                  <w:vMerge w:val="continue"/>
                  <w:noWrap w:val="0"/>
                  <w:vAlign w:val="center"/>
                </w:tcPr>
                <w:p w14:paraId="2AF1282C">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15" w:type="dxa"/>
                  <w:noWrap w:val="0"/>
                  <w:vAlign w:val="center"/>
                </w:tcPr>
                <w:p w14:paraId="494028E5">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912" w:type="dxa"/>
                  <w:noWrap w:val="0"/>
                  <w:vAlign w:val="center"/>
                </w:tcPr>
                <w:p w14:paraId="35FE3B68">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738" w:type="dxa"/>
                  <w:vMerge w:val="continue"/>
                  <w:noWrap w:val="0"/>
                  <w:vAlign w:val="center"/>
                </w:tcPr>
                <w:p w14:paraId="021F736E">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37" w:type="dxa"/>
                  <w:vMerge w:val="continue"/>
                  <w:noWrap w:val="0"/>
                  <w:vAlign w:val="center"/>
                </w:tcPr>
                <w:p w14:paraId="3BF40B31">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049" w:type="dxa"/>
                  <w:vMerge w:val="continue"/>
                  <w:noWrap w:val="0"/>
                  <w:vAlign w:val="center"/>
                </w:tcPr>
                <w:p w14:paraId="23733B19">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101" w:type="dxa"/>
                  <w:vMerge w:val="continue"/>
                  <w:noWrap w:val="0"/>
                  <w:vAlign w:val="center"/>
                </w:tcPr>
                <w:p w14:paraId="7A2A0FF4">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00" w:type="dxa"/>
                  <w:vMerge w:val="continue"/>
                  <w:noWrap w:val="0"/>
                  <w:vAlign w:val="center"/>
                </w:tcPr>
                <w:p w14:paraId="787CBA1F">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41" w:type="dxa"/>
                  <w:vMerge w:val="continue"/>
                  <w:noWrap w:val="0"/>
                  <w:vAlign w:val="center"/>
                </w:tcPr>
                <w:p w14:paraId="5925E66B">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58" w:type="dxa"/>
                  <w:vMerge w:val="continue"/>
                  <w:noWrap w:val="0"/>
                  <w:vAlign w:val="center"/>
                </w:tcPr>
                <w:p w14:paraId="123E4871">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14:paraId="53117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3" w:type="dxa"/>
                  <w:noWrap w:val="0"/>
                  <w:vAlign w:val="center"/>
                </w:tcPr>
                <w:p w14:paraId="0E341ACE">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915" w:type="dxa"/>
                  <w:noWrap w:val="0"/>
                  <w:vAlign w:val="center"/>
                </w:tcPr>
                <w:p w14:paraId="13E1B483">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130.48116935</w:t>
                  </w:r>
                </w:p>
              </w:tc>
              <w:tc>
                <w:tcPr>
                  <w:tcW w:w="912" w:type="dxa"/>
                  <w:noWrap w:val="0"/>
                  <w:vAlign w:val="center"/>
                </w:tcPr>
                <w:p w14:paraId="148C5EAD">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rPr>
                    <w:t>48.86396323</w:t>
                  </w:r>
                </w:p>
              </w:tc>
              <w:tc>
                <w:tcPr>
                  <w:tcW w:w="738" w:type="dxa"/>
                  <w:tcBorders>
                    <w:top w:val="single" w:color="000000" w:sz="8" w:space="0"/>
                  </w:tcBorders>
                  <w:noWrap w:val="0"/>
                  <w:vAlign w:val="center"/>
                </w:tcPr>
                <w:p w14:paraId="082A7422">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637" w:type="dxa"/>
                  <w:tcBorders>
                    <w:top w:val="single" w:color="000000" w:sz="8" w:space="0"/>
                  </w:tcBorders>
                  <w:noWrap w:val="0"/>
                  <w:vAlign w:val="center"/>
                </w:tcPr>
                <w:p w14:paraId="46560C4C">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1049" w:type="dxa"/>
                  <w:tcBorders>
                    <w:top w:val="single" w:color="000000" w:sz="8" w:space="0"/>
                  </w:tcBorders>
                  <w:noWrap w:val="0"/>
                  <w:vAlign w:val="center"/>
                </w:tcPr>
                <w:p w14:paraId="1A912CC9">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101" w:type="dxa"/>
                  <w:noWrap w:val="0"/>
                  <w:vAlign w:val="center"/>
                </w:tcPr>
                <w:p w14:paraId="16589C2C">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97</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11</w:t>
                  </w:r>
                  <w:r>
                    <w:rPr>
                      <w:rFonts w:hint="eastAsia" w:cs="Times New Roman"/>
                      <w:color w:val="auto"/>
                      <w:sz w:val="21"/>
                      <w:szCs w:val="21"/>
                      <w:highlight w:val="none"/>
                      <w:lang w:val="en-US" w:eastAsia="zh-CN"/>
                    </w:rPr>
                    <w:t>2</w:t>
                  </w:r>
                </w:p>
              </w:tc>
              <w:tc>
                <w:tcPr>
                  <w:tcW w:w="900" w:type="dxa"/>
                  <w:noWrap w:val="0"/>
                  <w:vAlign w:val="center"/>
                </w:tcPr>
                <w:p w14:paraId="368320C7">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37.33</w:t>
                  </w:r>
                </w:p>
              </w:tc>
              <w:tc>
                <w:tcPr>
                  <w:tcW w:w="641" w:type="dxa"/>
                  <w:noWrap w:val="0"/>
                  <w:vAlign w:val="center"/>
                </w:tcPr>
                <w:p w14:paraId="01139C83">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58" w:type="dxa"/>
                  <w:noWrap w:val="0"/>
                  <w:vAlign w:val="center"/>
                </w:tcPr>
                <w:p w14:paraId="284CE80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3268050E">
            <w:pPr>
              <w:pStyle w:val="87"/>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监测结果无超标现象，达到了《环境空气质量标准》（GB3095-2012）二级标准要求</w:t>
            </w:r>
            <w:r>
              <w:rPr>
                <w:rFonts w:hint="default" w:ascii="Times New Roman" w:hAnsi="Times New Roman" w:eastAsia="宋体" w:cs="Times New Roman"/>
                <w:color w:val="auto"/>
                <w:sz w:val="24"/>
                <w:szCs w:val="24"/>
                <w:highlight w:val="none"/>
                <w:lang w:eastAsia="zh-CN"/>
              </w:rPr>
              <w:t>。</w:t>
            </w:r>
          </w:p>
          <w:p w14:paraId="2922D72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14:paraId="2B30D362">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黑龙江</w:t>
            </w:r>
            <w:r>
              <w:rPr>
                <w:rFonts w:hint="eastAsia"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年伊春市生态环境质量公报》，本项目附近地表水体属于</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default" w:ascii="Times New Roman" w:hAnsi="Times New Roman" w:eastAsia="宋体" w:cs="Times New Roman"/>
                <w:color w:val="auto"/>
                <w:kern w:val="0"/>
                <w:sz w:val="24"/>
                <w:szCs w:val="24"/>
                <w:highlight w:val="none"/>
                <w:u w:val="none" w:color="000000"/>
                <w:lang w:val="en-US" w:eastAsia="zh-CN" w:bidi="ar-SA"/>
              </w:rPr>
              <w:t>为</w:t>
            </w:r>
            <w:r>
              <w:rPr>
                <w:rFonts w:hint="eastAsia" w:ascii="Times New Roman" w:hAnsi="Times New Roman" w:eastAsia="宋体" w:cs="Times New Roman"/>
                <w:color w:val="auto"/>
                <w:kern w:val="0"/>
                <w:sz w:val="24"/>
                <w:szCs w:val="24"/>
                <w:highlight w:val="none"/>
                <w:u w:val="none" w:color="000000"/>
                <w:lang w:val="en-US" w:eastAsia="zh-CN" w:bidi="ar-SA"/>
              </w:rPr>
              <w:t>Ⅳ</w:t>
            </w:r>
            <w:r>
              <w:rPr>
                <w:rFonts w:hint="default" w:ascii="Times New Roman" w:hAnsi="Times New Roman" w:eastAsia="宋体" w:cs="Times New Roman"/>
                <w:color w:val="auto"/>
                <w:kern w:val="0"/>
                <w:sz w:val="24"/>
                <w:szCs w:val="24"/>
                <w:highlight w:val="none"/>
                <w:u w:val="none" w:color="000000"/>
                <w:lang w:val="en-US" w:eastAsia="zh-CN" w:bidi="ar-SA"/>
              </w:rPr>
              <w:t>类水体。该监测断面202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年水质现状满足《地表水环境质量标准》（GB3838-2002）要求。</w:t>
            </w:r>
          </w:p>
          <w:p w14:paraId="0C5097F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14:paraId="35A5A3B8">
            <w:pPr>
              <w:spacing w:line="360" w:lineRule="auto"/>
              <w:ind w:firstLine="480" w:firstLineChars="200"/>
              <w:contextualSpacing/>
              <w:jc w:val="left"/>
              <w:rPr>
                <w:rFonts w:hint="default"/>
                <w:color w:val="auto"/>
                <w:lang w:val="en-US" w:eastAsia="zh-CN"/>
              </w:rPr>
            </w:pPr>
            <w:r>
              <w:rPr>
                <w:rFonts w:hint="default" w:ascii="Times New Roman" w:hAnsi="Times New Roman" w:cs="Times New Roman"/>
                <w:color w:val="auto"/>
                <w:sz w:val="24"/>
                <w:szCs w:val="24"/>
                <w:lang w:val="en-US" w:eastAsia="zh-CN"/>
              </w:rPr>
              <w:t>本项目50m范围无居民等声环境保护目标，故本项目未进行声环境质量现状监测。</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w:t>
            </w:r>
            <w:r>
              <w:rPr>
                <w:rFonts w:hint="eastAsia"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年，伊春市昼间区域环境噪声平均等效声级为50.1分贝，声环境质量为好，</w:t>
            </w:r>
            <w:r>
              <w:rPr>
                <w:rFonts w:hint="eastAsia" w:cs="Times New Roman"/>
                <w:color w:val="auto"/>
                <w:sz w:val="24"/>
                <w:szCs w:val="24"/>
                <w:lang w:val="en-US" w:eastAsia="zh-CN"/>
              </w:rPr>
              <w:t>同比无变化</w:t>
            </w:r>
            <w:r>
              <w:rPr>
                <w:rFonts w:hint="default" w:ascii="Times New Roman" w:hAnsi="Times New Roman" w:cs="Times New Roman"/>
                <w:color w:val="auto"/>
                <w:sz w:val="24"/>
                <w:szCs w:val="24"/>
                <w:lang w:val="en-US" w:eastAsia="zh-CN"/>
              </w:rPr>
              <w:t>。</w:t>
            </w:r>
          </w:p>
        </w:tc>
      </w:tr>
      <w:tr w14:paraId="566B7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800" w:type="dxa"/>
            <w:noWrap w:val="0"/>
            <w:vAlign w:val="center"/>
          </w:tcPr>
          <w:p w14:paraId="3BB64228">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14:paraId="5DEF17EE">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14:paraId="0CFFCD1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目标</w:t>
            </w:r>
          </w:p>
        </w:tc>
        <w:tc>
          <w:tcPr>
            <w:tcW w:w="8190" w:type="dxa"/>
            <w:noWrap w:val="0"/>
            <w:vAlign w:val="top"/>
          </w:tcPr>
          <w:p w14:paraId="79B78C1F">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据现场踏勘可知，</w:t>
            </w:r>
            <w:r>
              <w:rPr>
                <w:rFonts w:hint="default" w:ascii="Times New Roman" w:hAnsi="Times New Roman" w:eastAsia="宋体" w:cs="Times New Roman"/>
                <w:color w:val="auto"/>
                <w:sz w:val="24"/>
                <w:szCs w:val="24"/>
                <w:lang w:eastAsia="zh-CN"/>
              </w:rPr>
              <w:t>本项目厂界外</w:t>
            </w:r>
            <w:r>
              <w:rPr>
                <w:rFonts w:hint="default" w:ascii="Times New Roman" w:hAnsi="Times New Roman" w:eastAsia="宋体" w:cs="Times New Roman"/>
                <w:color w:val="auto"/>
                <w:sz w:val="24"/>
                <w:szCs w:val="24"/>
                <w:lang w:val="en-US" w:eastAsia="zh-CN"/>
              </w:rPr>
              <w:t>500米范围内无地下水集中式饮用水水源和热水、矿泉水、温泉等特殊地下水资源；无自然保护区、风景名胜区及农村地区中人群较集中的区域；</w:t>
            </w:r>
            <w:r>
              <w:rPr>
                <w:rFonts w:hint="default" w:ascii="Times New Roman" w:hAnsi="Times New Roman" w:eastAsia="宋体" w:cs="Times New Roman"/>
                <w:color w:val="auto"/>
                <w:sz w:val="24"/>
                <w:szCs w:val="24"/>
              </w:rPr>
              <w:t>50米范围内无声环境保护目标；</w:t>
            </w:r>
            <w:r>
              <w:rPr>
                <w:rFonts w:hint="eastAsia" w:ascii="Times New Roman" w:hAnsi="Times New Roman" w:eastAsia="宋体" w:cs="Times New Roman"/>
                <w:color w:val="auto"/>
                <w:sz w:val="24"/>
                <w:szCs w:val="24"/>
                <w:lang w:val="en-US" w:eastAsia="zh-CN"/>
              </w:rPr>
              <w:t>500米范围内无大气环境保护目标。</w:t>
            </w:r>
          </w:p>
        </w:tc>
      </w:tr>
      <w:tr w14:paraId="464C4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14:paraId="4C820C8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0748FF2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0761DCE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290A665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172C109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noWrap w:val="0"/>
            <w:vAlign w:val="top"/>
          </w:tcPr>
          <w:p w14:paraId="1C152880">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大气污染物排放标准</w:t>
            </w:r>
          </w:p>
          <w:p w14:paraId="7219C4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本项目运营期颗粒物无组织排放执行《大气污染物综合排放标准》（GB16297-1996）表2中无组织排放浓度监控限值要求。</w:t>
            </w:r>
            <w:r>
              <w:rPr>
                <w:rFonts w:hint="eastAsia" w:cs="Times New Roman"/>
                <w:color w:val="auto"/>
                <w:sz w:val="24"/>
                <w:szCs w:val="24"/>
                <w:lang w:val="en-US" w:eastAsia="zh-CN"/>
              </w:rPr>
              <w:t>本项目锅炉烟气执行《锅炉大气污染物排放标准》（GB13271-2014）表2新建燃气锅炉大气污染物排放限值要求。</w:t>
            </w:r>
          </w:p>
          <w:p w14:paraId="22BABAFC">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 xml:space="preserve">4 </w:t>
            </w:r>
            <w:r>
              <w:rPr>
                <w:rFonts w:hint="default" w:ascii="Times New Roman" w:hAnsi="Times New Roman" w:eastAsia="宋体" w:cs="Times New Roman"/>
                <w:b/>
                <w:bCs/>
                <w:color w:val="auto"/>
                <w:sz w:val="24"/>
                <w:szCs w:val="24"/>
              </w:rPr>
              <w:t>《大气污染物综合排放标准》（GB16297-1996）</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988"/>
              <w:gridCol w:w="1279"/>
              <w:gridCol w:w="3219"/>
              <w:gridCol w:w="3075"/>
            </w:tblGrid>
            <w:tr w14:paraId="7B16B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6" w:type="dxa"/>
                  <w:bottom w:w="0" w:type="dxa"/>
                  <w:right w:w="56" w:type="dxa"/>
                </w:tblCellMar>
              </w:tblPrEx>
              <w:trPr>
                <w:trHeight w:val="168" w:hRule="atLeast"/>
                <w:jc w:val="center"/>
              </w:trPr>
              <w:tc>
                <w:tcPr>
                  <w:tcW w:w="577" w:type="pct"/>
                  <w:tcBorders>
                    <w:tl2br w:val="nil"/>
                    <w:tr2bl w:val="nil"/>
                  </w:tcBorders>
                  <w:noWrap w:val="0"/>
                  <w:vAlign w:val="center"/>
                </w:tcPr>
                <w:p w14:paraId="14120397">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746" w:type="pct"/>
                  <w:tcBorders>
                    <w:tl2br w:val="nil"/>
                    <w:tr2bl w:val="nil"/>
                  </w:tcBorders>
                  <w:noWrap w:val="0"/>
                  <w:vAlign w:val="center"/>
                </w:tcPr>
                <w:p w14:paraId="3D8A10D4">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排放</w:t>
                  </w:r>
                  <w:r>
                    <w:rPr>
                      <w:rFonts w:hint="eastAsia" w:cs="Times New Roman"/>
                      <w:color w:val="auto"/>
                      <w:lang w:val="en-US" w:eastAsia="zh-CN"/>
                    </w:rPr>
                    <w:t>形式</w:t>
                  </w:r>
                </w:p>
              </w:tc>
              <w:tc>
                <w:tcPr>
                  <w:tcW w:w="1880" w:type="pct"/>
                  <w:tcBorders>
                    <w:tl2br w:val="nil"/>
                    <w:tr2bl w:val="nil"/>
                  </w:tcBorders>
                  <w:noWrap w:val="0"/>
                  <w:vAlign w:val="center"/>
                </w:tcPr>
                <w:p w14:paraId="00A80EBF">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排放监控浓度限值</w:t>
                  </w:r>
                </w:p>
              </w:tc>
              <w:tc>
                <w:tcPr>
                  <w:tcW w:w="1795" w:type="pct"/>
                  <w:tcBorders>
                    <w:tl2br w:val="nil"/>
                    <w:tr2bl w:val="nil"/>
                  </w:tcBorders>
                  <w:noWrap w:val="0"/>
                  <w:vAlign w:val="center"/>
                </w:tcPr>
                <w:p w14:paraId="7D9FF755">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eastAsia" w:cs="Times New Roman"/>
                      <w:color w:val="auto"/>
                      <w:lang w:val="en-US" w:eastAsia="zh-CN"/>
                    </w:rPr>
                    <w:t>最高允许排放速率</w:t>
                  </w:r>
                </w:p>
              </w:tc>
            </w:tr>
            <w:tr w14:paraId="321B4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6" w:type="dxa"/>
                  <w:bottom w:w="0" w:type="dxa"/>
                  <w:right w:w="56" w:type="dxa"/>
                </w:tblCellMar>
              </w:tblPrEx>
              <w:trPr>
                <w:trHeight w:val="394" w:hRule="atLeast"/>
                <w:jc w:val="center"/>
              </w:trPr>
              <w:tc>
                <w:tcPr>
                  <w:tcW w:w="577" w:type="pct"/>
                  <w:tcBorders>
                    <w:tl2br w:val="nil"/>
                    <w:tr2bl w:val="nil"/>
                  </w:tcBorders>
                  <w:noWrap w:val="0"/>
                  <w:vAlign w:val="center"/>
                </w:tcPr>
                <w:p w14:paraId="7281CAB6">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746" w:type="pct"/>
                  <w:tcBorders>
                    <w:tl2br w:val="nil"/>
                    <w:tr2bl w:val="nil"/>
                  </w:tcBorders>
                  <w:noWrap w:val="0"/>
                  <w:vAlign w:val="center"/>
                </w:tcPr>
                <w:p w14:paraId="20CD2D00">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无组织</w:t>
                  </w:r>
                </w:p>
              </w:tc>
              <w:tc>
                <w:tcPr>
                  <w:tcW w:w="1880" w:type="pct"/>
                  <w:tcBorders>
                    <w:tl2br w:val="nil"/>
                    <w:tr2bl w:val="nil"/>
                  </w:tcBorders>
                  <w:noWrap w:val="0"/>
                  <w:vAlign w:val="center"/>
                </w:tcPr>
                <w:p w14:paraId="6C3302BE">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周界外浓度最高点：</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1795" w:type="pct"/>
                  <w:tcBorders>
                    <w:tl2br w:val="nil"/>
                    <w:tr2bl w:val="nil"/>
                  </w:tcBorders>
                  <w:noWrap w:val="0"/>
                  <w:vAlign w:val="center"/>
                </w:tcPr>
                <w:p w14:paraId="42D73457">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bl>
          <w:p w14:paraId="39286E32">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《锅炉大气污染物排放标准》（GB13271-2014）</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7"/>
              <w:gridCol w:w="4207"/>
            </w:tblGrid>
            <w:tr w14:paraId="2CADE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544" w:type="pct"/>
                  <w:vMerge w:val="restart"/>
                  <w:noWrap w:val="0"/>
                  <w:vAlign w:val="center"/>
                </w:tcPr>
                <w:p w14:paraId="1D81B74A">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污染物项目</w:t>
                  </w:r>
                </w:p>
              </w:tc>
              <w:tc>
                <w:tcPr>
                  <w:tcW w:w="2456" w:type="pct"/>
                  <w:noWrap w:val="0"/>
                  <w:vAlign w:val="center"/>
                </w:tcPr>
                <w:p w14:paraId="76220342">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ascii="Times New Roman" w:hAnsi="Times New Roman"/>
                      <w:color w:val="auto"/>
                      <w:sz w:val="21"/>
                      <w:szCs w:val="21"/>
                    </w:rPr>
                    <w:t>排放</w:t>
                  </w:r>
                  <w:r>
                    <w:rPr>
                      <w:rFonts w:ascii="Times New Roman" w:hAnsi="Times New Roman"/>
                      <w:color w:val="auto"/>
                      <w:sz w:val="21"/>
                      <w:szCs w:val="21"/>
                    </w:rPr>
                    <w:t>限值</w:t>
                  </w:r>
                </w:p>
              </w:tc>
            </w:tr>
            <w:tr w14:paraId="7BA81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544" w:type="pct"/>
                  <w:vMerge w:val="continue"/>
                  <w:noWrap w:val="0"/>
                  <w:vAlign w:val="center"/>
                </w:tcPr>
                <w:p w14:paraId="228E8CA0">
                  <w:pPr>
                    <w:spacing w:line="0" w:lineRule="atLeast"/>
                    <w:contextualSpacing/>
                    <w:jc w:val="center"/>
                    <w:rPr>
                      <w:color w:val="auto"/>
                      <w:szCs w:val="21"/>
                    </w:rPr>
                  </w:pPr>
                </w:p>
              </w:tc>
              <w:tc>
                <w:tcPr>
                  <w:tcW w:w="2456" w:type="pct"/>
                  <w:noWrap w:val="0"/>
                  <w:vAlign w:val="center"/>
                </w:tcPr>
                <w:p w14:paraId="0DB95DC4">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燃</w:t>
                  </w:r>
                  <w:r>
                    <w:rPr>
                      <w:rFonts w:hint="eastAsia" w:ascii="Times New Roman" w:hAnsi="Times New Roman"/>
                      <w:color w:val="auto"/>
                      <w:sz w:val="21"/>
                      <w:szCs w:val="21"/>
                      <w:lang w:val="en-US" w:eastAsia="zh-CN"/>
                    </w:rPr>
                    <w:t>气</w:t>
                  </w:r>
                  <w:r>
                    <w:rPr>
                      <w:rFonts w:ascii="Times New Roman" w:hAnsi="Times New Roman"/>
                      <w:color w:val="auto"/>
                      <w:sz w:val="21"/>
                      <w:szCs w:val="21"/>
                    </w:rPr>
                    <w:t>锅炉</w:t>
                  </w:r>
                </w:p>
              </w:tc>
            </w:tr>
            <w:tr w14:paraId="7C57C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544" w:type="pct"/>
                  <w:noWrap w:val="0"/>
                  <w:vAlign w:val="center"/>
                </w:tcPr>
                <w:p w14:paraId="470B9359">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颗粒物</w:t>
                  </w:r>
                </w:p>
              </w:tc>
              <w:tc>
                <w:tcPr>
                  <w:tcW w:w="2456" w:type="pct"/>
                  <w:noWrap w:val="0"/>
                  <w:vAlign w:val="center"/>
                </w:tcPr>
                <w:p w14:paraId="35CE902C">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ascii="Times New Roman" w:hAnsi="Times New Roman"/>
                      <w:color w:val="auto"/>
                      <w:sz w:val="21"/>
                      <w:szCs w:val="21"/>
                      <w:lang w:val="en-US" w:eastAsia="zh-CN"/>
                    </w:rPr>
                    <w:t>2</w:t>
                  </w:r>
                  <w:r>
                    <w:rPr>
                      <w:rFonts w:hint="eastAsia" w:ascii="Times New Roman" w:hAnsi="Times New Roman"/>
                      <w:color w:val="auto"/>
                      <w:sz w:val="21"/>
                      <w:szCs w:val="21"/>
                    </w:rPr>
                    <w:t>0</w:t>
                  </w:r>
                </w:p>
              </w:tc>
            </w:tr>
            <w:tr w14:paraId="6EDDA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544" w:type="pct"/>
                  <w:noWrap w:val="0"/>
                  <w:vAlign w:val="center"/>
                </w:tcPr>
                <w:p w14:paraId="26BB768D">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二氧化硫</w:t>
                  </w:r>
                </w:p>
              </w:tc>
              <w:tc>
                <w:tcPr>
                  <w:tcW w:w="2456" w:type="pct"/>
                  <w:noWrap w:val="0"/>
                  <w:vAlign w:val="center"/>
                </w:tcPr>
                <w:p w14:paraId="282D9DCB">
                  <w:pPr>
                    <w:pStyle w:val="23"/>
                    <w:widowControl w:val="0"/>
                    <w:spacing w:before="0" w:beforeAutospacing="0" w:after="0" w:afterAutospacing="0" w:line="0" w:lineRule="atLeast"/>
                    <w:contextualSpacing/>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w:t>
                  </w:r>
                </w:p>
              </w:tc>
            </w:tr>
            <w:tr w14:paraId="10AEE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544" w:type="pct"/>
                  <w:noWrap w:val="0"/>
                  <w:vAlign w:val="center"/>
                </w:tcPr>
                <w:p w14:paraId="649D6BD6">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氮氧化物</w:t>
                  </w:r>
                </w:p>
              </w:tc>
              <w:tc>
                <w:tcPr>
                  <w:tcW w:w="2456" w:type="pct"/>
                  <w:noWrap w:val="0"/>
                  <w:vAlign w:val="center"/>
                </w:tcPr>
                <w:p w14:paraId="2F1E1F0C">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ascii="Times New Roman" w:hAnsi="Times New Roman"/>
                      <w:color w:val="auto"/>
                      <w:sz w:val="21"/>
                      <w:szCs w:val="21"/>
                      <w:lang w:val="en-US" w:eastAsia="zh-CN"/>
                    </w:rPr>
                    <w:t>2</w:t>
                  </w:r>
                  <w:r>
                    <w:rPr>
                      <w:rFonts w:hint="eastAsia" w:ascii="Times New Roman" w:hAnsi="Times New Roman"/>
                      <w:color w:val="auto"/>
                      <w:sz w:val="21"/>
                      <w:szCs w:val="21"/>
                    </w:rPr>
                    <w:t>00</w:t>
                  </w:r>
                </w:p>
              </w:tc>
            </w:tr>
            <w:tr w14:paraId="79D3D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544" w:type="pct"/>
                  <w:noWrap w:val="0"/>
                  <w:vAlign w:val="center"/>
                </w:tcPr>
                <w:p w14:paraId="3EAB1EC0">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林格曼黑度</w:t>
                  </w:r>
                </w:p>
              </w:tc>
              <w:tc>
                <w:tcPr>
                  <w:tcW w:w="2456" w:type="pct"/>
                  <w:noWrap w:val="0"/>
                  <w:vAlign w:val="center"/>
                </w:tcPr>
                <w:p w14:paraId="64420C6A">
                  <w:pPr>
                    <w:pStyle w:val="23"/>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color w:val="auto"/>
                      <w:sz w:val="21"/>
                      <w:szCs w:val="21"/>
                    </w:rPr>
                    <w:t>≤</w:t>
                  </w:r>
                  <w:r>
                    <w:rPr>
                      <w:rFonts w:hint="eastAsia" w:ascii="Times New Roman" w:hAnsi="Times New Roman"/>
                      <w:color w:val="auto"/>
                      <w:sz w:val="21"/>
                      <w:szCs w:val="21"/>
                    </w:rPr>
                    <w:t>1</w:t>
                  </w:r>
                </w:p>
              </w:tc>
            </w:tr>
          </w:tbl>
          <w:p w14:paraId="3B651423">
            <w:pPr>
              <w:rPr>
                <w:rFonts w:hint="default"/>
              </w:rPr>
            </w:pPr>
          </w:p>
          <w:p w14:paraId="2DA14BB5">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噪声排放标准</w:t>
            </w:r>
          </w:p>
          <w:p w14:paraId="12C7BF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噪声执行《工业企业厂界环境噪声排放标准》GB12348-2008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表1中</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类标准</w:t>
            </w:r>
            <w:r>
              <w:rPr>
                <w:rFonts w:hint="eastAsia" w:cs="Times New Roman"/>
                <w:color w:val="auto"/>
                <w:sz w:val="24"/>
                <w:szCs w:val="24"/>
                <w:lang w:val="en-US" w:eastAsia="zh-CN"/>
              </w:rPr>
              <w:t>。</w:t>
            </w:r>
          </w:p>
          <w:p w14:paraId="19E6972D">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 xml:space="preserve">6 </w:t>
            </w:r>
            <w:r>
              <w:rPr>
                <w:rFonts w:hint="default" w:ascii="Times New Roman" w:hAnsi="Times New Roman" w:eastAsia="宋体" w:cs="Times New Roman"/>
                <w:b/>
                <w:bCs/>
                <w:color w:val="auto"/>
                <w:sz w:val="24"/>
                <w:szCs w:val="24"/>
                <w:lang w:val="en-US" w:eastAsia="zh-CN"/>
              </w:rPr>
              <w:t>《工业企业厂界环境噪声排放标准》</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GB12348-2008)</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0"/>
              <w:gridCol w:w="1575"/>
              <w:gridCol w:w="1576"/>
            </w:tblGrid>
            <w:tr w14:paraId="3DAAB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9" w:type="pct"/>
                  <w:tcBorders>
                    <w:tl2br w:val="nil"/>
                    <w:tr2bl w:val="nil"/>
                  </w:tcBorders>
                  <w:noWrap w:val="0"/>
                  <w:vAlign w:val="center"/>
                </w:tcPr>
                <w:p w14:paraId="4EA32867">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项目</w:t>
                  </w:r>
                </w:p>
              </w:tc>
              <w:tc>
                <w:tcPr>
                  <w:tcW w:w="919" w:type="pct"/>
                  <w:tcBorders>
                    <w:tl2br w:val="nil"/>
                    <w:tr2bl w:val="nil"/>
                  </w:tcBorders>
                  <w:noWrap w:val="0"/>
                  <w:vAlign w:val="center"/>
                </w:tcPr>
                <w:p w14:paraId="467211EC">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昼间</w:t>
                  </w:r>
                </w:p>
              </w:tc>
              <w:tc>
                <w:tcPr>
                  <w:tcW w:w="920" w:type="pct"/>
                  <w:tcBorders>
                    <w:tl2br w:val="nil"/>
                    <w:tr2bl w:val="nil"/>
                  </w:tcBorders>
                  <w:noWrap w:val="0"/>
                  <w:vAlign w:val="center"/>
                </w:tcPr>
                <w:p w14:paraId="7C26E2B0">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夜间</w:t>
                  </w:r>
                </w:p>
              </w:tc>
            </w:tr>
            <w:tr w14:paraId="7F011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9" w:type="pct"/>
                  <w:tcBorders>
                    <w:tl2br w:val="nil"/>
                    <w:tr2bl w:val="nil"/>
                  </w:tcBorders>
                  <w:noWrap w:val="0"/>
                  <w:vAlign w:val="center"/>
                </w:tcPr>
                <w:p w14:paraId="3B985D91">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《工业企业厂界环境噪声排放标准》</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GB12348-2008</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表</w:t>
                  </w: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中</w:t>
                  </w:r>
                  <w:r>
                    <w:rPr>
                      <w:rFonts w:hint="eastAsia" w:cs="Times New Roman"/>
                      <w:color w:val="auto"/>
                      <w:kern w:val="0"/>
                      <w:szCs w:val="21"/>
                      <w:lang w:val="en-US" w:eastAsia="zh-CN"/>
                    </w:rPr>
                    <w:t>3</w:t>
                  </w:r>
                  <w:r>
                    <w:rPr>
                      <w:rFonts w:hint="default" w:ascii="Times New Roman" w:hAnsi="Times New Roman" w:eastAsia="宋体" w:cs="Times New Roman"/>
                      <w:color w:val="auto"/>
                      <w:kern w:val="0"/>
                      <w:szCs w:val="21"/>
                    </w:rPr>
                    <w:t>类标准</w:t>
                  </w:r>
                </w:p>
              </w:tc>
              <w:tc>
                <w:tcPr>
                  <w:tcW w:w="919" w:type="pct"/>
                  <w:tcBorders>
                    <w:tl2br w:val="nil"/>
                    <w:tr2bl w:val="nil"/>
                  </w:tcBorders>
                  <w:noWrap w:val="0"/>
                  <w:vAlign w:val="center"/>
                </w:tcPr>
                <w:p w14:paraId="456B9DAF">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6</w:t>
                  </w:r>
                  <w:r>
                    <w:rPr>
                      <w:rFonts w:hint="eastAsia" w:cs="Times New Roman"/>
                      <w:color w:val="auto"/>
                      <w:spacing w:val="5"/>
                      <w:szCs w:val="21"/>
                      <w:lang w:val="en-US" w:eastAsia="zh-CN"/>
                    </w:rPr>
                    <w:t>5</w:t>
                  </w:r>
                  <w:r>
                    <w:rPr>
                      <w:rFonts w:hint="default" w:ascii="Times New Roman" w:hAnsi="Times New Roman" w:eastAsia="宋体" w:cs="Times New Roman"/>
                      <w:color w:val="auto"/>
                      <w:spacing w:val="5"/>
                      <w:szCs w:val="21"/>
                      <w:lang w:val="en-US" w:eastAsia="zh-CN"/>
                    </w:rPr>
                    <w:t>dB</w:t>
                  </w:r>
                  <w:r>
                    <w:rPr>
                      <w:rFonts w:hint="eastAsia" w:cs="Times New Roman"/>
                      <w:color w:val="auto"/>
                      <w:spacing w:val="5"/>
                      <w:szCs w:val="21"/>
                      <w:lang w:val="en-US" w:eastAsia="zh-CN"/>
                    </w:rPr>
                    <w:t>(</w:t>
                  </w:r>
                  <w:r>
                    <w:rPr>
                      <w:rFonts w:hint="default" w:ascii="Times New Roman" w:hAnsi="Times New Roman" w:eastAsia="宋体" w:cs="Times New Roman"/>
                      <w:color w:val="auto"/>
                      <w:spacing w:val="5"/>
                      <w:szCs w:val="21"/>
                      <w:lang w:val="en-US" w:eastAsia="zh-CN"/>
                    </w:rPr>
                    <w:t>A</w:t>
                  </w:r>
                  <w:r>
                    <w:rPr>
                      <w:rFonts w:hint="eastAsia" w:cs="Times New Roman"/>
                      <w:color w:val="auto"/>
                      <w:spacing w:val="5"/>
                      <w:szCs w:val="21"/>
                      <w:lang w:val="en-US" w:eastAsia="zh-CN"/>
                    </w:rPr>
                    <w:t>)</w:t>
                  </w:r>
                </w:p>
              </w:tc>
              <w:tc>
                <w:tcPr>
                  <w:tcW w:w="920" w:type="pct"/>
                  <w:tcBorders>
                    <w:tl2br w:val="nil"/>
                    <w:tr2bl w:val="nil"/>
                  </w:tcBorders>
                  <w:noWrap w:val="0"/>
                  <w:vAlign w:val="center"/>
                </w:tcPr>
                <w:p w14:paraId="311A6582">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w:t>
                  </w:r>
                  <w:r>
                    <w:rPr>
                      <w:rFonts w:hint="eastAsia" w:cs="Times New Roman"/>
                      <w:color w:val="auto"/>
                      <w:spacing w:val="5"/>
                      <w:szCs w:val="21"/>
                      <w:lang w:val="en-US" w:eastAsia="zh-CN"/>
                    </w:rPr>
                    <w:t>5</w:t>
                  </w:r>
                  <w:r>
                    <w:rPr>
                      <w:rFonts w:hint="default" w:ascii="Times New Roman" w:hAnsi="Times New Roman" w:eastAsia="宋体" w:cs="Times New Roman"/>
                      <w:color w:val="auto"/>
                      <w:spacing w:val="5"/>
                      <w:szCs w:val="21"/>
                      <w:lang w:val="en-US" w:eastAsia="zh-CN"/>
                    </w:rPr>
                    <w:t>dB</w:t>
                  </w:r>
                  <w:r>
                    <w:rPr>
                      <w:rFonts w:hint="eastAsia" w:cs="Times New Roman"/>
                      <w:color w:val="auto"/>
                      <w:spacing w:val="5"/>
                      <w:szCs w:val="21"/>
                      <w:lang w:val="en-US" w:eastAsia="zh-CN"/>
                    </w:rPr>
                    <w:t>(</w:t>
                  </w:r>
                  <w:r>
                    <w:rPr>
                      <w:rFonts w:hint="default" w:ascii="Times New Roman" w:hAnsi="Times New Roman" w:eastAsia="宋体" w:cs="Times New Roman"/>
                      <w:color w:val="auto"/>
                      <w:spacing w:val="5"/>
                      <w:szCs w:val="21"/>
                      <w:lang w:val="en-US" w:eastAsia="zh-CN"/>
                    </w:rPr>
                    <w:t>A</w:t>
                  </w:r>
                  <w:r>
                    <w:rPr>
                      <w:rFonts w:hint="eastAsia" w:cs="Times New Roman"/>
                      <w:color w:val="auto"/>
                      <w:spacing w:val="5"/>
                      <w:szCs w:val="21"/>
                      <w:lang w:val="en-US" w:eastAsia="zh-CN"/>
                    </w:rPr>
                    <w:t>)</w:t>
                  </w:r>
                </w:p>
              </w:tc>
            </w:tr>
          </w:tbl>
          <w:p w14:paraId="23F948A9">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废水排放标准</w:t>
            </w:r>
          </w:p>
          <w:p w14:paraId="42F31B1D">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32"/>
                <w:lang w:val="en-US" w:eastAsia="zh-CN"/>
              </w:rPr>
            </w:pPr>
            <w:r>
              <w:rPr>
                <w:rFonts w:hint="eastAsia"/>
                <w:sz w:val="24"/>
                <w:szCs w:val="32"/>
                <w:lang w:val="en-US" w:eastAsia="zh-CN"/>
              </w:rPr>
              <w:t>本项目运营废水排放执行</w:t>
            </w:r>
            <w:r>
              <w:rPr>
                <w:rFonts w:hint="eastAsia" w:cs="Times New Roman"/>
                <w:color w:val="auto"/>
                <w:sz w:val="24"/>
                <w:szCs w:val="32"/>
                <w:highlight w:val="none"/>
              </w:rPr>
              <w:t>《污水综合排放标准》</w:t>
            </w:r>
            <w:r>
              <w:rPr>
                <w:rFonts w:hint="eastAsia" w:cs="Times New Roman"/>
                <w:color w:val="auto"/>
                <w:sz w:val="24"/>
                <w:szCs w:val="32"/>
                <w:highlight w:val="none"/>
                <w:lang w:eastAsia="zh-CN"/>
              </w:rPr>
              <w:t>（</w:t>
            </w:r>
            <w:r>
              <w:rPr>
                <w:rFonts w:hint="eastAsia" w:cs="Times New Roman"/>
                <w:color w:val="auto"/>
                <w:sz w:val="24"/>
                <w:szCs w:val="32"/>
                <w:highlight w:val="none"/>
              </w:rPr>
              <w:t>GB8978-1996</w:t>
            </w:r>
            <w:r>
              <w:rPr>
                <w:rFonts w:hint="eastAsia" w:cs="Times New Roman"/>
                <w:color w:val="auto"/>
                <w:sz w:val="24"/>
                <w:szCs w:val="32"/>
                <w:highlight w:val="none"/>
                <w:lang w:val="en-US" w:eastAsia="zh-CN"/>
              </w:rPr>
              <w:t>)中三级</w:t>
            </w:r>
            <w:r>
              <w:rPr>
                <w:rFonts w:cs="Times New Roman"/>
                <w:color w:val="auto"/>
                <w:sz w:val="24"/>
                <w:szCs w:val="32"/>
                <w:highlight w:val="none"/>
              </w:rPr>
              <w:t>标准要求</w:t>
            </w:r>
          </w:p>
          <w:p w14:paraId="4F499E89">
            <w:pPr>
              <w:pStyle w:val="8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 xml:space="preserve">7 </w:t>
            </w:r>
            <w:r>
              <w:rPr>
                <w:rFonts w:hint="eastAsia" w:ascii="Times New Roman" w:hAnsi="Times New Roman" w:eastAsia="宋体" w:cs="Times New Roman"/>
                <w:b/>
                <w:bCs/>
                <w:color w:val="auto"/>
                <w:sz w:val="24"/>
                <w:szCs w:val="24"/>
              </w:rPr>
              <w:t>《污水综合排放标准》</w:t>
            </w: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rPr>
              <w:t>GB8978-1996</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标准要求</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246"/>
              <w:gridCol w:w="920"/>
              <w:gridCol w:w="951"/>
              <w:gridCol w:w="951"/>
              <w:gridCol w:w="951"/>
              <w:gridCol w:w="953"/>
              <w:gridCol w:w="953"/>
            </w:tblGrid>
            <w:tr w14:paraId="4C70A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55" w:type="pct"/>
                  <w:noWrap w:val="0"/>
                  <w:vAlign w:val="center"/>
                </w:tcPr>
                <w:p w14:paraId="548415C7">
                  <w:pPr>
                    <w:pStyle w:val="97"/>
                    <w:spacing w:line="240" w:lineRule="auto"/>
                    <w:rPr>
                      <w:rFonts w:cs="Times New Roman"/>
                      <w:color w:val="auto"/>
                      <w:highlight w:val="none"/>
                    </w:rPr>
                  </w:pPr>
                </w:p>
              </w:tc>
              <w:tc>
                <w:tcPr>
                  <w:tcW w:w="727" w:type="pct"/>
                  <w:noWrap w:val="0"/>
                  <w:vAlign w:val="center"/>
                </w:tcPr>
                <w:p w14:paraId="29E5918E">
                  <w:pPr>
                    <w:pStyle w:val="97"/>
                    <w:spacing w:line="240" w:lineRule="auto"/>
                    <w:rPr>
                      <w:rFonts w:cs="Times New Roman"/>
                      <w:color w:val="auto"/>
                      <w:highlight w:val="none"/>
                    </w:rPr>
                  </w:pPr>
                  <w:r>
                    <w:rPr>
                      <w:rFonts w:cs="Times New Roman"/>
                      <w:color w:val="auto"/>
                      <w:highlight w:val="none"/>
                    </w:rPr>
                    <w:t>pH</w:t>
                  </w:r>
                </w:p>
              </w:tc>
              <w:tc>
                <w:tcPr>
                  <w:tcW w:w="537" w:type="pct"/>
                  <w:noWrap w:val="0"/>
                  <w:vAlign w:val="center"/>
                </w:tcPr>
                <w:p w14:paraId="03737C43">
                  <w:pPr>
                    <w:pStyle w:val="97"/>
                    <w:spacing w:line="240" w:lineRule="auto"/>
                    <w:rPr>
                      <w:rFonts w:cs="Times New Roman"/>
                      <w:color w:val="auto"/>
                      <w:highlight w:val="none"/>
                    </w:rPr>
                  </w:pPr>
                  <w:r>
                    <w:rPr>
                      <w:rFonts w:cs="Times New Roman"/>
                      <w:color w:val="auto"/>
                      <w:highlight w:val="none"/>
                    </w:rPr>
                    <w:t>COD</w:t>
                  </w:r>
                </w:p>
              </w:tc>
              <w:tc>
                <w:tcPr>
                  <w:tcW w:w="555" w:type="pct"/>
                  <w:noWrap w:val="0"/>
                  <w:vAlign w:val="center"/>
                </w:tcPr>
                <w:p w14:paraId="1B289974">
                  <w:pPr>
                    <w:pStyle w:val="97"/>
                    <w:spacing w:line="240" w:lineRule="auto"/>
                    <w:rPr>
                      <w:rFonts w:cs="Times New Roman"/>
                      <w:color w:val="auto"/>
                      <w:highlight w:val="none"/>
                    </w:rPr>
                  </w:pPr>
                  <w:r>
                    <w:rPr>
                      <w:rFonts w:cs="Times New Roman"/>
                      <w:color w:val="auto"/>
                      <w:highlight w:val="none"/>
                    </w:rPr>
                    <w:t>BOD</w:t>
                  </w:r>
                  <w:r>
                    <w:rPr>
                      <w:rFonts w:cs="Times New Roman"/>
                      <w:color w:val="auto"/>
                      <w:highlight w:val="none"/>
                      <w:vertAlign w:val="subscript"/>
                    </w:rPr>
                    <w:t>5</w:t>
                  </w:r>
                </w:p>
              </w:tc>
              <w:tc>
                <w:tcPr>
                  <w:tcW w:w="555" w:type="pct"/>
                  <w:noWrap w:val="0"/>
                  <w:vAlign w:val="center"/>
                </w:tcPr>
                <w:p w14:paraId="69FD4AB5">
                  <w:pPr>
                    <w:pStyle w:val="97"/>
                    <w:spacing w:line="240" w:lineRule="auto"/>
                    <w:rPr>
                      <w:rFonts w:cs="Times New Roman"/>
                      <w:color w:val="auto"/>
                      <w:highlight w:val="none"/>
                    </w:rPr>
                  </w:pPr>
                  <w:r>
                    <w:rPr>
                      <w:rFonts w:cs="Times New Roman"/>
                      <w:color w:val="auto"/>
                      <w:highlight w:val="none"/>
                    </w:rPr>
                    <w:t>SS</w:t>
                  </w:r>
                </w:p>
              </w:tc>
              <w:tc>
                <w:tcPr>
                  <w:tcW w:w="555" w:type="pct"/>
                  <w:noWrap w:val="0"/>
                  <w:vAlign w:val="center"/>
                </w:tcPr>
                <w:p w14:paraId="657DC561">
                  <w:pPr>
                    <w:pStyle w:val="97"/>
                    <w:spacing w:line="240" w:lineRule="auto"/>
                    <w:rPr>
                      <w:rFonts w:cs="Times New Roman"/>
                      <w:color w:val="auto"/>
                      <w:highlight w:val="none"/>
                    </w:rPr>
                  </w:pPr>
                  <w:r>
                    <w:rPr>
                      <w:rFonts w:cs="Times New Roman"/>
                      <w:color w:val="auto"/>
                      <w:highlight w:val="none"/>
                    </w:rPr>
                    <w:t>总磷</w:t>
                  </w:r>
                </w:p>
              </w:tc>
              <w:tc>
                <w:tcPr>
                  <w:tcW w:w="556" w:type="pct"/>
                  <w:noWrap w:val="0"/>
                  <w:vAlign w:val="center"/>
                </w:tcPr>
                <w:p w14:paraId="1B41D21B">
                  <w:pPr>
                    <w:pStyle w:val="97"/>
                    <w:spacing w:line="240" w:lineRule="auto"/>
                    <w:rPr>
                      <w:rFonts w:cs="Times New Roman"/>
                      <w:color w:val="auto"/>
                      <w:highlight w:val="none"/>
                    </w:rPr>
                  </w:pPr>
                  <w:r>
                    <w:rPr>
                      <w:rFonts w:cs="Times New Roman"/>
                      <w:color w:val="auto"/>
                      <w:highlight w:val="none"/>
                    </w:rPr>
                    <w:t>氨氮</w:t>
                  </w:r>
                </w:p>
              </w:tc>
              <w:tc>
                <w:tcPr>
                  <w:tcW w:w="556" w:type="pct"/>
                  <w:noWrap w:val="0"/>
                  <w:vAlign w:val="center"/>
                </w:tcPr>
                <w:p w14:paraId="53C6F297">
                  <w:pPr>
                    <w:pStyle w:val="97"/>
                    <w:spacing w:line="240" w:lineRule="auto"/>
                    <w:rPr>
                      <w:rFonts w:hint="eastAsia" w:eastAsia="宋体" w:cs="Times New Roman"/>
                      <w:color w:val="auto"/>
                      <w:highlight w:val="none"/>
                      <w:lang w:val="en-US" w:eastAsia="zh-CN"/>
                    </w:rPr>
                  </w:pPr>
                  <w:r>
                    <w:rPr>
                      <w:rFonts w:hint="eastAsia" w:cs="Times New Roman"/>
                      <w:color w:val="auto"/>
                      <w:highlight w:val="none"/>
                      <w:lang w:val="en-US" w:eastAsia="zh-CN"/>
                    </w:rPr>
                    <w:t>总氮</w:t>
                  </w:r>
                </w:p>
              </w:tc>
            </w:tr>
            <w:tr w14:paraId="2FEE2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5" w:type="pct"/>
                  <w:noWrap w:val="0"/>
                  <w:vAlign w:val="center"/>
                </w:tcPr>
                <w:p w14:paraId="680AD1BF">
                  <w:pPr>
                    <w:pStyle w:val="97"/>
                    <w:spacing w:line="240" w:lineRule="auto"/>
                    <w:rPr>
                      <w:rFonts w:cs="Times New Roman"/>
                      <w:color w:val="auto"/>
                      <w:highlight w:val="none"/>
                    </w:rPr>
                  </w:pPr>
                  <w:r>
                    <w:rPr>
                      <w:rFonts w:hint="eastAsia" w:cs="Times New Roman"/>
                      <w:color w:val="auto"/>
                      <w:highlight w:val="none"/>
                    </w:rPr>
                    <w:t>《污水综合排放标准》GB8978-1996</w:t>
                  </w:r>
                  <w:r>
                    <w:rPr>
                      <w:rFonts w:cs="Times New Roman"/>
                      <w:color w:val="auto"/>
                      <w:highlight w:val="none"/>
                    </w:rPr>
                    <w:t>标准要求（mg/L）</w:t>
                  </w:r>
                </w:p>
              </w:tc>
              <w:tc>
                <w:tcPr>
                  <w:tcW w:w="727" w:type="pct"/>
                  <w:noWrap w:val="0"/>
                  <w:vAlign w:val="center"/>
                </w:tcPr>
                <w:p w14:paraId="7D2D25DD">
                  <w:pPr>
                    <w:pStyle w:val="97"/>
                    <w:spacing w:line="240" w:lineRule="auto"/>
                    <w:rPr>
                      <w:rFonts w:cs="Times New Roman"/>
                      <w:color w:val="auto"/>
                      <w:highlight w:val="none"/>
                    </w:rPr>
                  </w:pPr>
                  <w:r>
                    <w:rPr>
                      <w:rFonts w:cs="Times New Roman"/>
                      <w:color w:val="auto"/>
                      <w:highlight w:val="none"/>
                    </w:rPr>
                    <w:t>6~9（无量纲）</w:t>
                  </w:r>
                </w:p>
              </w:tc>
              <w:tc>
                <w:tcPr>
                  <w:tcW w:w="537" w:type="pct"/>
                  <w:noWrap w:val="0"/>
                  <w:vAlign w:val="center"/>
                </w:tcPr>
                <w:p w14:paraId="3F63EF6C">
                  <w:pPr>
                    <w:pStyle w:val="97"/>
                    <w:spacing w:line="240" w:lineRule="auto"/>
                    <w:rPr>
                      <w:rFonts w:cs="Times New Roman"/>
                      <w:color w:val="auto"/>
                      <w:highlight w:val="none"/>
                    </w:rPr>
                  </w:pPr>
                  <w:r>
                    <w:rPr>
                      <w:rFonts w:cs="Times New Roman"/>
                      <w:color w:val="auto"/>
                      <w:highlight w:val="none"/>
                    </w:rPr>
                    <w:t>≤500</w:t>
                  </w:r>
                </w:p>
              </w:tc>
              <w:tc>
                <w:tcPr>
                  <w:tcW w:w="555" w:type="pct"/>
                  <w:noWrap w:val="0"/>
                  <w:vAlign w:val="center"/>
                </w:tcPr>
                <w:p w14:paraId="7E695117">
                  <w:pPr>
                    <w:pStyle w:val="97"/>
                    <w:spacing w:line="240" w:lineRule="auto"/>
                    <w:rPr>
                      <w:rFonts w:cs="Times New Roman"/>
                      <w:color w:val="auto"/>
                      <w:highlight w:val="none"/>
                    </w:rPr>
                  </w:pPr>
                  <w:r>
                    <w:rPr>
                      <w:rFonts w:cs="Times New Roman"/>
                      <w:color w:val="auto"/>
                      <w:highlight w:val="none"/>
                    </w:rPr>
                    <w:t>≤300</w:t>
                  </w:r>
                </w:p>
              </w:tc>
              <w:tc>
                <w:tcPr>
                  <w:tcW w:w="555" w:type="pct"/>
                  <w:noWrap w:val="0"/>
                  <w:vAlign w:val="center"/>
                </w:tcPr>
                <w:p w14:paraId="187C9284">
                  <w:pPr>
                    <w:pStyle w:val="97"/>
                    <w:spacing w:line="240" w:lineRule="auto"/>
                    <w:rPr>
                      <w:rFonts w:cs="Times New Roman"/>
                      <w:color w:val="auto"/>
                      <w:highlight w:val="none"/>
                    </w:rPr>
                  </w:pPr>
                  <w:r>
                    <w:rPr>
                      <w:rFonts w:cs="Times New Roman"/>
                      <w:color w:val="auto"/>
                      <w:highlight w:val="none"/>
                    </w:rPr>
                    <w:t>≤400</w:t>
                  </w:r>
                </w:p>
              </w:tc>
              <w:tc>
                <w:tcPr>
                  <w:tcW w:w="555" w:type="pct"/>
                  <w:noWrap w:val="0"/>
                  <w:vAlign w:val="center"/>
                </w:tcPr>
                <w:p w14:paraId="3F226D8B">
                  <w:pPr>
                    <w:pStyle w:val="97"/>
                    <w:spacing w:line="240" w:lineRule="auto"/>
                    <w:rPr>
                      <w:rFonts w:cs="Times New Roman"/>
                      <w:color w:val="auto"/>
                      <w:highlight w:val="none"/>
                    </w:rPr>
                  </w:pPr>
                  <w:r>
                    <w:rPr>
                      <w:rFonts w:cs="Times New Roman"/>
                      <w:color w:val="auto"/>
                      <w:highlight w:val="none"/>
                    </w:rPr>
                    <w:t>/</w:t>
                  </w:r>
                </w:p>
              </w:tc>
              <w:tc>
                <w:tcPr>
                  <w:tcW w:w="556" w:type="pct"/>
                  <w:noWrap w:val="0"/>
                  <w:vAlign w:val="center"/>
                </w:tcPr>
                <w:p w14:paraId="4BD19DE8">
                  <w:pPr>
                    <w:pStyle w:val="97"/>
                    <w:spacing w:line="240" w:lineRule="auto"/>
                    <w:rPr>
                      <w:rFonts w:cs="Times New Roman"/>
                      <w:color w:val="auto"/>
                      <w:highlight w:val="none"/>
                    </w:rPr>
                  </w:pPr>
                  <w:r>
                    <w:rPr>
                      <w:rFonts w:cs="Times New Roman"/>
                      <w:color w:val="auto"/>
                      <w:highlight w:val="none"/>
                    </w:rPr>
                    <w:t>/</w:t>
                  </w:r>
                </w:p>
              </w:tc>
              <w:tc>
                <w:tcPr>
                  <w:tcW w:w="556" w:type="pct"/>
                  <w:noWrap w:val="0"/>
                  <w:vAlign w:val="center"/>
                </w:tcPr>
                <w:p w14:paraId="5B02AB4B">
                  <w:pPr>
                    <w:pStyle w:val="97"/>
                    <w:spacing w:line="240" w:lineRule="auto"/>
                    <w:rPr>
                      <w:rFonts w:cs="Times New Roman"/>
                      <w:color w:val="auto"/>
                      <w:highlight w:val="none"/>
                    </w:rPr>
                  </w:pPr>
                </w:p>
              </w:tc>
            </w:tr>
          </w:tbl>
          <w:p w14:paraId="28572794">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固体废物排放标准</w:t>
            </w:r>
          </w:p>
          <w:p w14:paraId="5A73F1D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本项目运营期一般固体废物执行《一般工业固体废物贮存和填埋污染控制标准》（GB 18599-2020）</w:t>
            </w:r>
            <w:r>
              <w:rPr>
                <w:rFonts w:hint="eastAsia" w:ascii="Times New Roman" w:hAnsi="Times New Roman" w:eastAsia="宋体" w:cs="Times New Roman"/>
                <w:color w:val="auto"/>
                <w:sz w:val="24"/>
                <w:szCs w:val="24"/>
                <w:lang w:val="en-US" w:eastAsia="zh-CN"/>
              </w:rPr>
              <w:t>；《一般固体废物分类与代码》（GB/T39198-2020）</w:t>
            </w:r>
          </w:p>
        </w:tc>
      </w:tr>
      <w:tr w14:paraId="18D84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800" w:type="dxa"/>
            <w:noWrap w:val="0"/>
            <w:vAlign w:val="center"/>
          </w:tcPr>
          <w:p w14:paraId="415849B7">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14:paraId="6DAB47D3">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14:paraId="7CE0B0F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指标</w:t>
            </w:r>
          </w:p>
        </w:tc>
        <w:tc>
          <w:tcPr>
            <w:tcW w:w="8190" w:type="dxa"/>
            <w:noWrap w:val="0"/>
            <w:vAlign w:val="top"/>
          </w:tcPr>
          <w:p w14:paraId="33F032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p>
          <w:p w14:paraId="4BA8ADB1">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 xml:space="preserve">8 </w:t>
            </w:r>
            <w:r>
              <w:rPr>
                <w:rFonts w:hint="default" w:ascii="Times New Roman" w:hAnsi="Times New Roman" w:eastAsia="宋体" w:cs="Times New Roman"/>
                <w:b/>
                <w:bCs/>
                <w:color w:val="auto"/>
                <w:sz w:val="24"/>
                <w:szCs w:val="24"/>
                <w:lang w:val="en-US" w:eastAsia="zh-CN"/>
              </w:rPr>
              <w:t>本项目总量控制指标情况表  单位：t/a</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2866"/>
              <w:gridCol w:w="2812"/>
            </w:tblGrid>
            <w:tr w14:paraId="3B55F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3" w:type="pct"/>
                  <w:tcBorders>
                    <w:tl2br w:val="nil"/>
                    <w:tr2bl w:val="nil"/>
                  </w:tcBorders>
                  <w:noWrap w:val="0"/>
                  <w:vAlign w:val="center"/>
                </w:tcPr>
                <w:p w14:paraId="73BB66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673" w:type="pct"/>
                  <w:tcBorders>
                    <w:tl2br w:val="nil"/>
                    <w:tr2bl w:val="nil"/>
                  </w:tcBorders>
                  <w:noWrap w:val="0"/>
                  <w:vAlign w:val="center"/>
                </w:tcPr>
                <w:p w14:paraId="3E69F7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1642" w:type="pct"/>
                  <w:tcBorders>
                    <w:tl2br w:val="nil"/>
                    <w:tr2bl w:val="nil"/>
                  </w:tcBorders>
                  <w:noWrap w:val="0"/>
                  <w:vAlign w:val="center"/>
                </w:tcPr>
                <w:p w14:paraId="33EAB9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14:paraId="04247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3" w:type="pct"/>
                  <w:tcBorders>
                    <w:tl2br w:val="nil"/>
                    <w:tr2bl w:val="nil"/>
                  </w:tcBorders>
                  <w:noWrap w:val="0"/>
                  <w:vAlign w:val="center"/>
                </w:tcPr>
                <w:p w14:paraId="11DEDD4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2866" w:type="dxa"/>
                  <w:tcBorders>
                    <w:tl2br w:val="nil"/>
                    <w:tr2bl w:val="nil"/>
                  </w:tcBorders>
                  <w:noWrap w:val="0"/>
                  <w:vAlign w:val="center"/>
                </w:tcPr>
                <w:p w14:paraId="5C35BAB2">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0.187</w:t>
                  </w:r>
                </w:p>
              </w:tc>
              <w:tc>
                <w:tcPr>
                  <w:tcW w:w="1642" w:type="pct"/>
                  <w:tcBorders>
                    <w:tl2br w:val="nil"/>
                    <w:tr2bl w:val="nil"/>
                  </w:tcBorders>
                  <w:noWrap w:val="0"/>
                  <w:vAlign w:val="center"/>
                </w:tcPr>
                <w:p w14:paraId="7E8116F1">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3.882</w:t>
                  </w:r>
                </w:p>
              </w:tc>
            </w:tr>
            <w:tr w14:paraId="458FB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3" w:type="pct"/>
                  <w:tcBorders>
                    <w:tl2br w:val="nil"/>
                    <w:tr2bl w:val="nil"/>
                  </w:tcBorders>
                  <w:noWrap w:val="0"/>
                  <w:vAlign w:val="center"/>
                </w:tcPr>
                <w:p w14:paraId="57FF982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66" w:type="dxa"/>
                  <w:tcBorders>
                    <w:tl2br w:val="nil"/>
                    <w:tr2bl w:val="nil"/>
                  </w:tcBorders>
                  <w:noWrap w:val="0"/>
                  <w:vAlign w:val="center"/>
                </w:tcPr>
                <w:p w14:paraId="11828D7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w:t>
                  </w:r>
                </w:p>
              </w:tc>
              <w:tc>
                <w:tcPr>
                  <w:tcW w:w="1642" w:type="pct"/>
                  <w:tcBorders>
                    <w:tl2br w:val="nil"/>
                    <w:tr2bl w:val="nil"/>
                  </w:tcBorders>
                  <w:noWrap w:val="0"/>
                  <w:vAlign w:val="center"/>
                </w:tcPr>
                <w:p w14:paraId="39A1CF9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7.545</w:t>
                  </w:r>
                </w:p>
              </w:tc>
            </w:tr>
            <w:tr w14:paraId="0C0E5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3" w:type="pct"/>
                  <w:tcBorders>
                    <w:tl2br w:val="nil"/>
                    <w:tr2bl w:val="nil"/>
                  </w:tcBorders>
                  <w:noWrap w:val="0"/>
                  <w:vAlign w:val="center"/>
                </w:tcPr>
                <w:p w14:paraId="51B8109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2866" w:type="dxa"/>
                  <w:tcBorders>
                    <w:tl2br w:val="nil"/>
                    <w:tr2bl w:val="nil"/>
                  </w:tcBorders>
                  <w:noWrap w:val="0"/>
                  <w:vAlign w:val="center"/>
                </w:tcPr>
                <w:p w14:paraId="5FDFD58D">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13.76</w:t>
                  </w:r>
                </w:p>
              </w:tc>
              <w:tc>
                <w:tcPr>
                  <w:tcW w:w="1642" w:type="pct"/>
                  <w:tcBorders>
                    <w:tl2br w:val="nil"/>
                    <w:tr2bl w:val="nil"/>
                  </w:tcBorders>
                  <w:noWrap w:val="0"/>
                  <w:vAlign w:val="center"/>
                </w:tcPr>
                <w:p w14:paraId="4D721CB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37.724</w:t>
                  </w:r>
                </w:p>
              </w:tc>
            </w:tr>
            <w:tr w14:paraId="5B08D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3" w:type="pct"/>
                  <w:tcBorders>
                    <w:tl2br w:val="nil"/>
                    <w:tr2bl w:val="nil"/>
                  </w:tcBorders>
                  <w:noWrap w:val="0"/>
                  <w:vAlign w:val="center"/>
                </w:tcPr>
                <w:p w14:paraId="2E1816C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COD</w:t>
                  </w:r>
                </w:p>
              </w:tc>
              <w:tc>
                <w:tcPr>
                  <w:tcW w:w="1673" w:type="pct"/>
                  <w:tcBorders>
                    <w:tl2br w:val="nil"/>
                    <w:tr2bl w:val="nil"/>
                  </w:tcBorders>
                  <w:noWrap w:val="0"/>
                  <w:vAlign w:val="center"/>
                </w:tcPr>
                <w:p w14:paraId="305BF45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0.942</w:t>
                  </w:r>
                </w:p>
              </w:tc>
              <w:tc>
                <w:tcPr>
                  <w:tcW w:w="1642" w:type="pct"/>
                  <w:tcBorders>
                    <w:tl2br w:val="nil"/>
                    <w:tr2bl w:val="nil"/>
                  </w:tcBorders>
                  <w:noWrap w:val="0"/>
                  <w:vAlign w:val="center"/>
                </w:tcPr>
                <w:p w14:paraId="37139F61">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4.177</w:t>
                  </w:r>
                </w:p>
              </w:tc>
            </w:tr>
            <w:tr w14:paraId="3B68E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3" w:type="pct"/>
                  <w:tcBorders>
                    <w:tl2br w:val="nil"/>
                    <w:tr2bl w:val="nil"/>
                  </w:tcBorders>
                  <w:noWrap w:val="0"/>
                  <w:vAlign w:val="center"/>
                </w:tcPr>
                <w:p w14:paraId="30A32DD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氨氮</w:t>
                  </w:r>
                </w:p>
              </w:tc>
              <w:tc>
                <w:tcPr>
                  <w:tcW w:w="1673" w:type="pct"/>
                  <w:tcBorders>
                    <w:tl2br w:val="nil"/>
                    <w:tr2bl w:val="nil"/>
                  </w:tcBorders>
                  <w:noWrap w:val="0"/>
                  <w:vAlign w:val="center"/>
                </w:tcPr>
                <w:p w14:paraId="13B937E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642" w:type="pct"/>
                  <w:tcBorders>
                    <w:tl2br w:val="nil"/>
                    <w:tr2bl w:val="nil"/>
                  </w:tcBorders>
                  <w:noWrap w:val="0"/>
                  <w:vAlign w:val="center"/>
                </w:tcPr>
                <w:p w14:paraId="396F5127">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r>
          </w:tbl>
          <w:p w14:paraId="5981FA8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Cs w:val="21"/>
                <w:lang w:val="en-US" w:eastAsia="zh-CN"/>
              </w:rPr>
            </w:pPr>
          </w:p>
        </w:tc>
      </w:tr>
    </w:tbl>
    <w:p w14:paraId="425352C3">
      <w:pPr>
        <w:pStyle w:val="23"/>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21" w:name="_Toc11491"/>
      <w:bookmarkStart w:id="22" w:name="_Toc21101"/>
      <w:r>
        <w:rPr>
          <w:rFonts w:hint="default" w:ascii="Times New Roman" w:hAnsi="Times New Roman" w:eastAsia="黑体" w:cs="Times New Roman"/>
          <w:snapToGrid w:val="0"/>
          <w:color w:val="auto"/>
          <w:sz w:val="30"/>
          <w:szCs w:val="30"/>
        </w:rPr>
        <w:t>四、主要环境影响和保护措施</w:t>
      </w:r>
      <w:bookmarkEnd w:id="21"/>
      <w:bookmarkEnd w:id="22"/>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3"/>
        <w:gridCol w:w="8628"/>
      </w:tblGrid>
      <w:tr w14:paraId="35008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53" w:type="dxa"/>
            <w:noWrap w:val="0"/>
            <w:tcMar>
              <w:left w:w="28" w:type="dxa"/>
              <w:right w:w="28" w:type="dxa"/>
            </w:tcMar>
            <w:vAlign w:val="center"/>
          </w:tcPr>
          <w:p w14:paraId="6F04B71F">
            <w:pPr>
              <w:pStyle w:val="23"/>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14:paraId="5DEFE4FF">
            <w:pPr>
              <w:pStyle w:val="23"/>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14:paraId="3D0EF7FE">
            <w:pPr>
              <w:pStyle w:val="23"/>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14:paraId="142C04E6">
            <w:pPr>
              <w:pStyle w:val="23"/>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14:paraId="1D8DFE45">
            <w:pPr>
              <w:pStyle w:val="23"/>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4"/>
                <w:szCs w:val="24"/>
              </w:rPr>
              <w:t>施</w:t>
            </w:r>
          </w:p>
        </w:tc>
        <w:tc>
          <w:tcPr>
            <w:tcW w:w="8628" w:type="dxa"/>
            <w:noWrap w:val="0"/>
            <w:vAlign w:val="center"/>
          </w:tcPr>
          <w:p w14:paraId="6444EEC1">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u w:val="none" w:color="auto"/>
              </w:rPr>
            </w:pPr>
            <w:r>
              <w:rPr>
                <w:rFonts w:hint="eastAsia" w:ascii="Times New Roman" w:hAnsi="Times New Roman" w:eastAsia="宋体" w:cs="Times New Roman"/>
                <w:b w:val="0"/>
                <w:bCs w:val="0"/>
                <w:color w:val="auto"/>
                <w:sz w:val="24"/>
                <w:highlight w:val="none"/>
                <w:u w:val="none" w:color="auto"/>
                <w:lang w:val="en-US" w:eastAsia="zh-CN"/>
              </w:rPr>
              <w:t>1、</w:t>
            </w:r>
            <w:r>
              <w:rPr>
                <w:rFonts w:hint="default" w:ascii="Times New Roman" w:hAnsi="Times New Roman" w:eastAsia="宋体" w:cs="Times New Roman"/>
                <w:b w:val="0"/>
                <w:bCs w:val="0"/>
                <w:color w:val="auto"/>
                <w:sz w:val="24"/>
                <w:highlight w:val="none"/>
                <w:u w:val="none" w:color="auto"/>
              </w:rPr>
              <w:t>废气</w:t>
            </w:r>
          </w:p>
          <w:p w14:paraId="4CCF36A4">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1</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扬尘防治措施</w:t>
            </w:r>
          </w:p>
          <w:p w14:paraId="37C42919">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针对施工期扬尘污染问题，对工程提出以下要求，以使扬尘对周围环境的影响减到最小：</w:t>
            </w:r>
          </w:p>
          <w:p w14:paraId="47ECA07C">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1）建设施工时，应在施工区界设围墙或遮挡物；</w:t>
            </w:r>
          </w:p>
          <w:p w14:paraId="5E3C3C41">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2）地基挖掘产生的临时弃土应及时处理；</w:t>
            </w:r>
          </w:p>
          <w:p w14:paraId="1995C225">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3）运输车辆不要超载，进入施工场地应低速行驶，或限速行驶，减少产尘量；</w:t>
            </w:r>
          </w:p>
          <w:p w14:paraId="7BF4DC23">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4）每天定时对施工现场扬尘区及道路洒水；</w:t>
            </w:r>
          </w:p>
          <w:p w14:paraId="6B549A95">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5）当风速大于8m/s时，应停止土方施工；</w:t>
            </w:r>
          </w:p>
          <w:p w14:paraId="0A9F44C3">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6）施工场地应硬化，场地的厚度和强度应满足施工和行车需要。现场场地和道路要平坦畅通，并设置相应的环境保护措施和环境标志。</w:t>
            </w:r>
          </w:p>
          <w:p w14:paraId="2922AA1D">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2</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废气防治措施</w:t>
            </w:r>
          </w:p>
          <w:p w14:paraId="6441EED0">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1）雨天不得外运散装料，装修产生的垃圾严禁任意</w:t>
            </w:r>
            <w:r>
              <w:rPr>
                <w:rFonts w:hint="eastAsia" w:ascii="Times New Roman" w:hAnsi="Times New Roman" w:eastAsia="宋体" w:cs="Times New Roman"/>
                <w:color w:val="auto"/>
                <w:sz w:val="24"/>
                <w:highlight w:val="none"/>
                <w:u w:val="none" w:color="auto"/>
                <w:lang w:eastAsia="zh-CN"/>
              </w:rPr>
              <w:t>抛洒</w:t>
            </w:r>
            <w:r>
              <w:rPr>
                <w:rFonts w:hint="default" w:ascii="Times New Roman" w:hAnsi="Times New Roman" w:eastAsia="宋体" w:cs="Times New Roman"/>
                <w:color w:val="auto"/>
                <w:sz w:val="24"/>
                <w:highlight w:val="none"/>
                <w:u w:val="none" w:color="auto"/>
              </w:rPr>
              <w:t>。</w:t>
            </w:r>
          </w:p>
          <w:p w14:paraId="78ADD8D4">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2）施工现场做到活完料尽场地清，防止污染及粉尘产生。</w:t>
            </w:r>
          </w:p>
          <w:p w14:paraId="13A41B26">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3）</w:t>
            </w:r>
            <w:r>
              <w:rPr>
                <w:rFonts w:hint="eastAsia" w:ascii="Times New Roman" w:hAnsi="Times New Roman" w:eastAsia="宋体" w:cs="Times New Roman"/>
                <w:color w:val="auto"/>
                <w:sz w:val="24"/>
                <w:highlight w:val="none"/>
                <w:u w:val="none" w:color="auto"/>
                <w:lang w:val="en-US" w:eastAsia="zh-CN"/>
              </w:rPr>
              <w:t>施工时期进行洒水降尘</w:t>
            </w:r>
            <w:r>
              <w:rPr>
                <w:rFonts w:hint="default" w:ascii="Times New Roman" w:hAnsi="Times New Roman" w:eastAsia="宋体" w:cs="Times New Roman"/>
                <w:color w:val="auto"/>
                <w:sz w:val="24"/>
                <w:highlight w:val="none"/>
                <w:u w:val="none" w:color="auto"/>
              </w:rPr>
              <w:t>。</w:t>
            </w:r>
          </w:p>
          <w:p w14:paraId="30184AAE">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4）加强对施工车辆的检修和维护，严禁使用超期服役和尾气超标的车辆。尽可能使用耗油低，排气小的施工车辆，尽可能选用优质燃油，减少机械和车辆的有害废气排放。</w:t>
            </w:r>
          </w:p>
          <w:p w14:paraId="65D7DB14">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总的来看，工程建设期采取上述措施后，大气污染物的排放将大大减少，对当地大气环境质量的影响将是局地的、暂时的，不会造成大的影响。</w:t>
            </w:r>
          </w:p>
          <w:p w14:paraId="1704384C">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u w:val="none" w:color="auto"/>
              </w:rPr>
            </w:pPr>
            <w:r>
              <w:rPr>
                <w:rFonts w:hint="eastAsia" w:ascii="Times New Roman" w:hAnsi="Times New Roman" w:eastAsia="宋体" w:cs="Times New Roman"/>
                <w:b w:val="0"/>
                <w:bCs w:val="0"/>
                <w:color w:val="auto"/>
                <w:sz w:val="24"/>
                <w:highlight w:val="none"/>
                <w:u w:val="none" w:color="auto"/>
                <w:lang w:val="en-US" w:eastAsia="zh-CN"/>
              </w:rPr>
              <w:t>2</w:t>
            </w:r>
            <w:r>
              <w:rPr>
                <w:rFonts w:hint="default" w:ascii="Times New Roman" w:hAnsi="Times New Roman" w:eastAsia="宋体" w:cs="Times New Roman"/>
                <w:b w:val="0"/>
                <w:bCs w:val="0"/>
                <w:color w:val="auto"/>
                <w:sz w:val="24"/>
                <w:highlight w:val="none"/>
                <w:u w:val="none" w:color="auto"/>
              </w:rPr>
              <w:t>、废水</w:t>
            </w:r>
          </w:p>
          <w:p w14:paraId="1576B004">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1</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施工期生产用水污染防治措施</w:t>
            </w:r>
          </w:p>
          <w:p w14:paraId="1F1B5DC5">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施工生产废水主要特点是悬浮物含量高。主要采取以下保护措施：</w:t>
            </w:r>
          </w:p>
          <w:p w14:paraId="79BE934A">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1）混凝土浇筑废水、土石方工程及雨天引起的水土流失、雨污水等悬浮物浓度高的废水，水量大，含砂量大，其中SS经沉淀后可以大部分去除。在施工工地周围设置排水明沟，场地径流经收集沉淀后再予以排放；</w:t>
            </w:r>
          </w:p>
          <w:p w14:paraId="4F64A4B8">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val="en-US" w:eastAsia="zh-CN"/>
              </w:rPr>
              <w:t>2</w:t>
            </w:r>
            <w:r>
              <w:rPr>
                <w:rFonts w:hint="default" w:ascii="Times New Roman" w:hAnsi="Times New Roman" w:eastAsia="宋体" w:cs="Times New Roman"/>
                <w:color w:val="auto"/>
                <w:sz w:val="24"/>
                <w:highlight w:val="none"/>
                <w:u w:val="none" w:color="auto"/>
              </w:rPr>
              <w:t>）砂石料生产废水主要为洗料废水，基本可达标排放。</w:t>
            </w:r>
          </w:p>
          <w:p w14:paraId="43DD1FC9">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2</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施工期生活用水污染防治措施</w:t>
            </w:r>
          </w:p>
          <w:p w14:paraId="0DE7E4E0">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工地生活区配套临时厕所</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经化粪池处理后</w:t>
            </w:r>
            <w:r>
              <w:rPr>
                <w:rFonts w:hint="eastAsia" w:ascii="Times New Roman" w:hAnsi="Times New Roman" w:eastAsia="宋体" w:cs="Times New Roman"/>
                <w:color w:val="auto"/>
                <w:sz w:val="24"/>
                <w:highlight w:val="none"/>
                <w:u w:val="none" w:color="auto"/>
                <w:lang w:val="en-US" w:eastAsia="zh-CN"/>
              </w:rPr>
              <w:t>定期清掏，不外排</w:t>
            </w:r>
            <w:r>
              <w:rPr>
                <w:rFonts w:hint="default" w:ascii="Times New Roman" w:hAnsi="Times New Roman" w:eastAsia="宋体" w:cs="Times New Roman"/>
                <w:color w:val="auto"/>
                <w:sz w:val="24"/>
                <w:highlight w:val="none"/>
                <w:u w:val="none" w:color="auto"/>
              </w:rPr>
              <w:t>。</w:t>
            </w:r>
          </w:p>
          <w:p w14:paraId="2AF74FC8">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本着节约用水、一水多用的原则，建议将施工期生产和生活废水处理达标后作为防尘喷洒用水和施工生活区冲厕所等清洁用水。</w:t>
            </w:r>
          </w:p>
          <w:p w14:paraId="3B942551">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综上，施工期废水经处理后对环境影响不大。</w:t>
            </w:r>
          </w:p>
          <w:p w14:paraId="39DF9701">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u w:val="none" w:color="auto"/>
              </w:rPr>
            </w:pPr>
            <w:r>
              <w:rPr>
                <w:rFonts w:hint="eastAsia" w:ascii="Times New Roman" w:hAnsi="Times New Roman" w:eastAsia="宋体" w:cs="Times New Roman"/>
                <w:b w:val="0"/>
                <w:bCs w:val="0"/>
                <w:color w:val="auto"/>
                <w:sz w:val="24"/>
                <w:highlight w:val="none"/>
                <w:u w:val="none" w:color="auto"/>
                <w:lang w:val="en-US" w:eastAsia="zh-CN"/>
              </w:rPr>
              <w:t>3、</w:t>
            </w:r>
            <w:r>
              <w:rPr>
                <w:rFonts w:hint="default" w:ascii="Times New Roman" w:hAnsi="Times New Roman" w:eastAsia="宋体" w:cs="Times New Roman"/>
                <w:b w:val="0"/>
                <w:bCs w:val="0"/>
                <w:color w:val="auto"/>
                <w:sz w:val="24"/>
                <w:highlight w:val="none"/>
                <w:u w:val="none" w:color="auto"/>
              </w:rPr>
              <w:t>噪声</w:t>
            </w:r>
          </w:p>
          <w:p w14:paraId="692D2CFE">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施工机械作业和施工车辆产生的噪声，多为点</w:t>
            </w:r>
            <w:r>
              <w:rPr>
                <w:rFonts w:hint="eastAsia" w:cs="Times New Roman"/>
                <w:color w:val="auto"/>
                <w:sz w:val="24"/>
                <w:highlight w:val="none"/>
                <w:u w:val="none" w:color="auto"/>
                <w:lang w:eastAsia="zh-CN"/>
              </w:rPr>
              <w:t>声源</w:t>
            </w:r>
            <w:r>
              <w:rPr>
                <w:rFonts w:hint="default" w:ascii="Times New Roman" w:hAnsi="Times New Roman" w:eastAsia="宋体" w:cs="Times New Roman"/>
                <w:color w:val="auto"/>
                <w:sz w:val="24"/>
                <w:highlight w:val="none"/>
                <w:u w:val="none" w:color="auto"/>
              </w:rPr>
              <w:t>，且为瞬时噪声，在15m处测量的噪声级为70~90dB（A）。</w:t>
            </w:r>
          </w:p>
          <w:p w14:paraId="32269257">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建设单位在施工过程中采取以下措施来减少噪声影响：</w:t>
            </w:r>
          </w:p>
          <w:p w14:paraId="6EF2BE74">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（1）大型噪声设备应避免在夜间使用；</w:t>
            </w:r>
          </w:p>
          <w:p w14:paraId="27D9530F">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（2）建设单位在与施工单位签合同时，应要求其使用的主要机械设备为低噪声机械设备，并在施工中应设专人对其进行养护维修，严格按操作规范使用各类机械；</w:t>
            </w:r>
          </w:p>
          <w:p w14:paraId="0F6CE2E8">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（3）在</w:t>
            </w:r>
            <w:r>
              <w:rPr>
                <w:rFonts w:hint="eastAsia" w:ascii="Times New Roman" w:hAnsi="Times New Roman" w:eastAsia="宋体" w:cs="Times New Roman"/>
                <w:color w:val="auto"/>
                <w:sz w:val="24"/>
                <w:highlight w:val="none"/>
                <w:u w:val="none" w:color="auto"/>
                <w:lang w:eastAsia="zh-CN"/>
              </w:rPr>
              <w:t>施工</w:t>
            </w:r>
            <w:r>
              <w:rPr>
                <w:rFonts w:hint="default" w:ascii="Times New Roman" w:hAnsi="Times New Roman" w:eastAsia="宋体" w:cs="Times New Roman"/>
                <w:color w:val="auto"/>
                <w:sz w:val="24"/>
                <w:highlight w:val="none"/>
                <w:u w:val="none" w:color="auto"/>
              </w:rPr>
              <w:t>装修阶段，对建筑物外部采用围挡，减轻施工噪声对外环境的影响；</w:t>
            </w:r>
          </w:p>
          <w:p w14:paraId="76B7126A">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（4）施工场所车辆进出路线应尽量远离居民区，施工场所车辆通过居民点时应减速、禁鸣；</w:t>
            </w:r>
          </w:p>
          <w:p w14:paraId="29C30AC7">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（5）建设管理部门应加强对施工工地的噪声管理，施工企业也应对施工噪声定期进行自查，避免施工噪声扰民。</w:t>
            </w:r>
          </w:p>
          <w:p w14:paraId="2C7D61DC">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建设单位在采用低噪声设备，加强施工管理，合理安排工期等一系列措施后，可以有效降低施工噪声对外环境的影响，且随着施工期的结束，施工噪声对环境的影响随即消失。</w:t>
            </w:r>
          </w:p>
          <w:p w14:paraId="446141FB">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u w:val="none" w:color="auto"/>
              </w:rPr>
            </w:pPr>
            <w:r>
              <w:rPr>
                <w:rFonts w:hint="eastAsia" w:ascii="Times New Roman" w:hAnsi="Times New Roman" w:eastAsia="宋体" w:cs="Times New Roman"/>
                <w:b w:val="0"/>
                <w:bCs w:val="0"/>
                <w:color w:val="auto"/>
                <w:sz w:val="24"/>
                <w:highlight w:val="none"/>
                <w:u w:val="none" w:color="auto"/>
                <w:lang w:val="en-US" w:eastAsia="zh-CN"/>
              </w:rPr>
              <w:t>4、</w:t>
            </w:r>
            <w:r>
              <w:rPr>
                <w:rFonts w:hint="default" w:ascii="Times New Roman" w:hAnsi="Times New Roman" w:eastAsia="宋体" w:cs="Times New Roman"/>
                <w:b w:val="0"/>
                <w:bCs w:val="0"/>
                <w:color w:val="auto"/>
                <w:sz w:val="24"/>
                <w:highlight w:val="none"/>
                <w:u w:val="none" w:color="auto"/>
              </w:rPr>
              <w:t>固体废物</w:t>
            </w:r>
          </w:p>
          <w:p w14:paraId="01C49F27">
            <w:pPr>
              <w:keepNext w:val="0"/>
              <w:keepLines w:val="0"/>
              <w:suppressLineNumbers w:val="0"/>
              <w:shd w:val="clear" w:color="auto" w:fill="auto"/>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工程施工期间产生的固废主要是建筑垃圾</w:t>
            </w:r>
            <w:r>
              <w:rPr>
                <w:rFonts w:hint="eastAsia"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施工人员生活垃圾。建筑垃圾主要为废弃建筑材料，主要成分为土砂石、水泥、弃砖、废金属等。项目产生的建筑垃圾要按照《城市</w:t>
            </w:r>
            <w:r>
              <w:rPr>
                <w:rFonts w:hint="eastAsia" w:cs="Times New Roman"/>
                <w:color w:val="auto"/>
                <w:sz w:val="24"/>
                <w:highlight w:val="none"/>
                <w:u w:val="none" w:color="auto"/>
                <w:lang w:val="en-US" w:eastAsia="zh-CN"/>
              </w:rPr>
              <w:t>建筑</w:t>
            </w:r>
            <w:r>
              <w:rPr>
                <w:rFonts w:hint="default" w:ascii="Times New Roman" w:hAnsi="Times New Roman" w:eastAsia="宋体" w:cs="Times New Roman"/>
                <w:color w:val="auto"/>
                <w:sz w:val="24"/>
                <w:highlight w:val="none"/>
                <w:u w:val="none" w:color="auto"/>
              </w:rPr>
              <w:t>垃圾管理规定》妥善处置，防止环境污染。项目施工人员不在场区食宿，高峰期施工人员较多，产生的</w:t>
            </w:r>
            <w:r>
              <w:rPr>
                <w:rFonts w:hint="default" w:ascii="Times New Roman" w:hAnsi="Times New Roman" w:eastAsia="宋体" w:cs="Times New Roman"/>
                <w:bCs/>
                <w:color w:val="auto"/>
                <w:sz w:val="24"/>
                <w:highlight w:val="none"/>
              </w:rPr>
              <w:t>生活垃圾集中收集后，交由环卫部门处理</w:t>
            </w:r>
            <w:r>
              <w:rPr>
                <w:rFonts w:hint="default" w:ascii="Times New Roman" w:hAnsi="Times New Roman" w:eastAsia="宋体" w:cs="Times New Roman"/>
                <w:color w:val="auto"/>
                <w:sz w:val="24"/>
                <w:highlight w:val="none"/>
                <w:u w:val="none" w:color="auto"/>
              </w:rPr>
              <w:t>。</w:t>
            </w:r>
          </w:p>
          <w:p w14:paraId="4FA54D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color w:val="auto"/>
                <w:sz w:val="24"/>
                <w:highlight w:val="none"/>
                <w:u w:val="none" w:color="auto"/>
              </w:rPr>
              <w:t>综上所述，施工期的环境影响是短期的，并且受人为和自然条件的影响较大，建设单位加强对施工现场的管理，合理安排施工期，并采取有效的防护措施，</w:t>
            </w:r>
            <w:r>
              <w:rPr>
                <w:rFonts w:hint="eastAsia" w:ascii="Times New Roman" w:hAnsi="Times New Roman" w:eastAsia="宋体" w:cs="Times New Roman"/>
                <w:color w:val="auto"/>
                <w:sz w:val="24"/>
                <w:highlight w:val="none"/>
                <w:u w:val="none" w:color="auto"/>
                <w:lang w:eastAsia="zh-CN"/>
              </w:rPr>
              <w:t>可以最大限度地</w:t>
            </w:r>
            <w:r>
              <w:rPr>
                <w:rFonts w:hint="default" w:ascii="Times New Roman" w:hAnsi="Times New Roman" w:eastAsia="宋体" w:cs="Times New Roman"/>
                <w:color w:val="auto"/>
                <w:sz w:val="24"/>
                <w:highlight w:val="none"/>
                <w:u w:val="none" w:color="auto"/>
              </w:rPr>
              <w:t>减少施工对周围环境的影响。</w:t>
            </w:r>
          </w:p>
        </w:tc>
      </w:tr>
      <w:tr w14:paraId="1597D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3" w:type="dxa"/>
            <w:noWrap w:val="0"/>
            <w:tcMar>
              <w:left w:w="28" w:type="dxa"/>
              <w:right w:w="28" w:type="dxa"/>
            </w:tcMar>
            <w:vAlign w:val="center"/>
          </w:tcPr>
          <w:p w14:paraId="1A3528D8">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4E1EEE54">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65000AB4">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73E58EFD">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4DC2868F">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06B7DAB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szCs w:val="24"/>
              </w:rPr>
              <w:t>措施</w:t>
            </w:r>
          </w:p>
        </w:tc>
        <w:tc>
          <w:tcPr>
            <w:tcW w:w="8628" w:type="dxa"/>
            <w:noWrap w:val="0"/>
            <w:vAlign w:val="top"/>
          </w:tcPr>
          <w:p w14:paraId="42FEC2F9">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一</w:t>
            </w:r>
            <w:r>
              <w:rPr>
                <w:rFonts w:hint="default" w:ascii="Times New Roman" w:hAnsi="Times New Roman" w:eastAsia="宋体" w:cs="Times New Roman"/>
                <w:b/>
                <w:bCs w:val="0"/>
                <w:color w:val="auto"/>
                <w:spacing w:val="-10"/>
                <w:sz w:val="24"/>
                <w:szCs w:val="24"/>
                <w:lang w:val="en-US" w:eastAsia="zh-CN"/>
              </w:rPr>
              <w:t>、废气</w:t>
            </w:r>
          </w:p>
          <w:p w14:paraId="4E58D90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1、产污核算</w:t>
            </w:r>
          </w:p>
          <w:p w14:paraId="431AB55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进料</w:t>
            </w:r>
            <w:r>
              <w:rPr>
                <w:rFonts w:hint="default" w:ascii="Times New Roman" w:hAnsi="Times New Roman" w:eastAsia="宋体" w:cs="Times New Roman"/>
                <w:bCs/>
                <w:color w:val="auto"/>
                <w:spacing w:val="-10"/>
                <w:sz w:val="24"/>
                <w:szCs w:val="24"/>
                <w:highlight w:val="none"/>
                <w:lang w:val="en-US" w:eastAsia="zh-CN"/>
              </w:rPr>
              <w:t>粉尘</w:t>
            </w:r>
          </w:p>
          <w:p w14:paraId="72782C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sz w:val="24"/>
                <w:szCs w:val="24"/>
              </w:rPr>
              <w:t>项目使用已破碎好的</w:t>
            </w:r>
            <w:r>
              <w:rPr>
                <w:rFonts w:hint="default" w:ascii="Times New Roman" w:hAnsi="Times New Roman" w:eastAsia="宋体" w:cs="Times New Roman"/>
                <w:sz w:val="24"/>
                <w:szCs w:val="24"/>
                <w:lang w:val="en-US" w:eastAsia="zh-CN"/>
              </w:rPr>
              <w:t>生物质</w:t>
            </w:r>
            <w:r>
              <w:rPr>
                <w:rFonts w:hint="default" w:ascii="Times New Roman" w:hAnsi="Times New Roman" w:eastAsia="宋体" w:cs="Times New Roman"/>
                <w:sz w:val="24"/>
                <w:szCs w:val="24"/>
              </w:rPr>
              <w:t>作为原料，上料至密闭的带式输送机，送至气化炉进行密闭投料。类比同类项目，进料时粉尘产生量为原料量的0.01%，项目原料用量为</w:t>
            </w:r>
            <w:r>
              <w:rPr>
                <w:rFonts w:hint="default" w:ascii="Times New Roman" w:hAnsi="Times New Roman" w:eastAsia="宋体" w:cs="Times New Roman"/>
                <w:sz w:val="24"/>
                <w:szCs w:val="24"/>
                <w:lang w:val="en-US" w:eastAsia="zh-CN"/>
              </w:rPr>
              <w:t>16000</w:t>
            </w:r>
            <w:r>
              <w:rPr>
                <w:rFonts w:hint="default" w:ascii="Times New Roman" w:hAnsi="Times New Roman" w:eastAsia="宋体" w:cs="Times New Roman"/>
                <w:sz w:val="24"/>
                <w:szCs w:val="24"/>
              </w:rPr>
              <w:t>万t/a，则进料粉尘产生量为</w:t>
            </w:r>
            <w:r>
              <w:rPr>
                <w:rFonts w:hint="default"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t/a</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0.2kg/h</w:t>
            </w:r>
            <w:r>
              <w:rPr>
                <w:rFonts w:hint="default" w:ascii="Times New Roman" w:hAnsi="Times New Roman" w:eastAsia="宋体" w:cs="Times New Roman"/>
                <w:sz w:val="24"/>
                <w:szCs w:val="24"/>
              </w:rPr>
              <w:t>。为防止输送和进料时扬尘，上料系统</w:t>
            </w:r>
            <w:r>
              <w:rPr>
                <w:rFonts w:hint="default" w:ascii="Times New Roman" w:hAnsi="Times New Roman" w:eastAsia="宋体" w:cs="Times New Roman"/>
                <w:sz w:val="24"/>
                <w:szCs w:val="24"/>
                <w:lang w:val="en-US" w:eastAsia="zh-CN"/>
              </w:rPr>
              <w:t>为密闭结构，去除</w:t>
            </w:r>
            <w:r>
              <w:rPr>
                <w:rFonts w:hint="default" w:ascii="Times New Roman" w:hAnsi="Times New Roman" w:eastAsia="宋体" w:cs="Times New Roman"/>
                <w:sz w:val="24"/>
                <w:szCs w:val="24"/>
              </w:rPr>
              <w:t>效率以90%计，则进料过程粉尘无组织排放量为0.</w:t>
            </w:r>
            <w:r>
              <w:rPr>
                <w:rFonts w:hint="default"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0.02kg/h</w:t>
            </w:r>
            <w:r>
              <w:rPr>
                <w:rFonts w:hint="default" w:ascii="Times New Roman" w:hAnsi="Times New Roman" w:eastAsia="宋体" w:cs="Times New Roman"/>
                <w:sz w:val="24"/>
                <w:szCs w:val="24"/>
              </w:rPr>
              <w:t>。无组织外溢量较少，对周围大气影响不大。</w:t>
            </w:r>
          </w:p>
          <w:p w14:paraId="2BAE5B6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2</w:t>
            </w:r>
            <w:r>
              <w:rPr>
                <w:rFonts w:hint="eastAsia"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锅炉</w:t>
            </w:r>
            <w:r>
              <w:rPr>
                <w:rFonts w:hint="default" w:ascii="Times New Roman" w:hAnsi="Times New Roman" w:eastAsia="宋体" w:cs="Times New Roman"/>
                <w:bCs/>
                <w:color w:val="auto"/>
                <w:spacing w:val="-10"/>
                <w:sz w:val="24"/>
                <w:szCs w:val="24"/>
                <w:lang w:val="en-US" w:eastAsia="zh-CN"/>
              </w:rPr>
              <w:t>废气有组织排放源强</w:t>
            </w:r>
          </w:p>
          <w:p w14:paraId="3E43F7D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eastAsia" w:cs="Times New Roman"/>
                <w:bCs/>
                <w:color w:val="auto"/>
                <w:spacing w:val="-10"/>
                <w:sz w:val="24"/>
                <w:szCs w:val="24"/>
                <w:lang w:val="en-US" w:eastAsia="zh-CN"/>
              </w:rPr>
              <w:t>建设</w:t>
            </w:r>
            <w:r>
              <w:rPr>
                <w:rFonts w:hint="default" w:ascii="Times New Roman" w:hAnsi="Times New Roman" w:eastAsia="宋体" w:cs="Times New Roman"/>
                <w:bCs/>
                <w:color w:val="auto"/>
                <w:spacing w:val="-10"/>
                <w:sz w:val="24"/>
                <w:szCs w:val="24"/>
                <w:lang w:val="en-US" w:eastAsia="zh-CN"/>
              </w:rPr>
              <w:t>1台</w:t>
            </w:r>
            <w:r>
              <w:rPr>
                <w:rFonts w:hint="eastAsia" w:cs="Times New Roman"/>
                <w:bCs/>
                <w:color w:val="auto"/>
                <w:spacing w:val="-10"/>
                <w:sz w:val="24"/>
                <w:szCs w:val="24"/>
                <w:lang w:val="en-US" w:eastAsia="zh-CN"/>
              </w:rPr>
              <w:t>8</w:t>
            </w:r>
            <w:r>
              <w:rPr>
                <w:rFonts w:hint="default" w:ascii="Times New Roman" w:hAnsi="Times New Roman" w:eastAsia="宋体" w:cs="Times New Roman"/>
                <w:color w:val="auto"/>
                <w:sz w:val="24"/>
                <w:szCs w:val="24"/>
                <w:highlight w:val="none"/>
                <w:lang w:val="en-US" w:eastAsia="zh-CN"/>
              </w:rPr>
              <w:t>t/h</w:t>
            </w:r>
            <w:r>
              <w:rPr>
                <w:rFonts w:hint="eastAsia" w:cs="Times New Roman"/>
                <w:bCs/>
                <w:color w:val="auto"/>
                <w:spacing w:val="-10"/>
                <w:sz w:val="24"/>
                <w:szCs w:val="24"/>
                <w:lang w:val="en-US" w:eastAsia="zh-CN"/>
              </w:rPr>
              <w:t>燃生物质气蒸汽锅</w:t>
            </w:r>
            <w:r>
              <w:rPr>
                <w:rFonts w:hint="default" w:ascii="Times New Roman" w:hAnsi="Times New Roman" w:eastAsia="宋体" w:cs="Times New Roman"/>
                <w:bCs/>
                <w:color w:val="auto"/>
                <w:spacing w:val="-10"/>
                <w:sz w:val="24"/>
                <w:szCs w:val="24"/>
                <w:lang w:val="en-US" w:eastAsia="zh-CN"/>
              </w:rPr>
              <w:t>炉，颗粒物、二氧化硫、氮氧化物产生情况参考《排污许可证申请与核发技术规范 锅炉》</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HJ953-2018</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附录表F3 燃气工业锅炉</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煤气的相关产污系数进行计算。本项目锅炉废气量参照《纳入排污许可管理的火电等17个行业污染物实际排放量计算方法》</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含排污系数、物料衡算方法</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试行</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煤气工业锅炉的产污系数进行核算，各污染物产污系数及产生量详见下表。</w:t>
            </w:r>
          </w:p>
          <w:p w14:paraId="6531E7F4">
            <w:pPr>
              <w:pStyle w:val="80"/>
              <w:adjustRightInd/>
              <w:snapToGrid/>
              <w:spacing w:line="240" w:lineRule="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rPr>
              <w:t>4-1</w:t>
            </w:r>
            <w:r>
              <w:rPr>
                <w:rFonts w:hint="eastAsia"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val="en-US" w:eastAsia="zh-CN"/>
              </w:rPr>
              <w:t>废气</w:t>
            </w:r>
            <w:r>
              <w:rPr>
                <w:rFonts w:hint="eastAsia" w:ascii="Times New Roman" w:hAnsi="Times New Roman" w:eastAsia="宋体" w:cs="Times New Roman"/>
                <w:b/>
                <w:bCs/>
                <w:color w:val="auto"/>
                <w:sz w:val="24"/>
                <w:szCs w:val="24"/>
              </w:rPr>
              <w:t>产</w:t>
            </w:r>
            <w:r>
              <w:rPr>
                <w:rFonts w:hint="eastAsia" w:ascii="Times New Roman" w:hAnsi="Times New Roman" w:eastAsia="宋体" w:cs="Times New Roman"/>
                <w:b/>
                <w:bCs/>
                <w:color w:val="auto"/>
                <w:sz w:val="24"/>
                <w:szCs w:val="24"/>
                <w:lang w:val="en-US" w:eastAsia="zh-CN"/>
              </w:rPr>
              <w:t>排污系数</w:t>
            </w:r>
            <w:r>
              <w:rPr>
                <w:rFonts w:hint="eastAsia" w:ascii="Times New Roman" w:hAnsi="Times New Roman" w:eastAsia="宋体" w:cs="Times New Roman"/>
                <w:b/>
                <w:bCs/>
                <w:color w:val="auto"/>
                <w:sz w:val="24"/>
                <w:szCs w:val="24"/>
              </w:rPr>
              <w:t>表</w:t>
            </w:r>
          </w:p>
          <w:p w14:paraId="136EC6F0">
            <w:pPr>
              <w:pStyle w:val="2"/>
              <w:rPr>
                <w:rFonts w:hint="eastAsia"/>
              </w:rPr>
            </w:pP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673"/>
              <w:gridCol w:w="1673"/>
              <w:gridCol w:w="1673"/>
              <w:gridCol w:w="1707"/>
            </w:tblGrid>
            <w:tr w14:paraId="3B2D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noWrap w:val="0"/>
                  <w:vAlign w:val="center"/>
                </w:tcPr>
                <w:p w14:paraId="06A05178">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r>
                    <w:rPr>
                      <w:rFonts w:hint="default" w:ascii="Times New Roman" w:hAnsi="Times New Roman" w:eastAsia="宋体" w:cs="Times New Roman"/>
                      <w:b w:val="0"/>
                      <w:bCs w:val="0"/>
                      <w:color w:val="auto"/>
                      <w:sz w:val="21"/>
                      <w:szCs w:val="21"/>
                      <w:highlight w:val="none"/>
                    </w:rPr>
                    <w:t>产品名称</w:t>
                  </w:r>
                </w:p>
              </w:tc>
              <w:tc>
                <w:tcPr>
                  <w:tcW w:w="996" w:type="pct"/>
                  <w:noWrap w:val="0"/>
                  <w:vAlign w:val="center"/>
                </w:tcPr>
                <w:p w14:paraId="4BC6087D">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原料名称</w:t>
                  </w:r>
                </w:p>
              </w:tc>
              <w:tc>
                <w:tcPr>
                  <w:tcW w:w="996" w:type="pct"/>
                  <w:noWrap w:val="0"/>
                  <w:vAlign w:val="center"/>
                </w:tcPr>
                <w:p w14:paraId="4FE81655">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污染物指标</w:t>
                  </w:r>
                </w:p>
              </w:tc>
              <w:tc>
                <w:tcPr>
                  <w:tcW w:w="996" w:type="pct"/>
                  <w:noWrap w:val="0"/>
                  <w:vAlign w:val="center"/>
                </w:tcPr>
                <w:p w14:paraId="50073CC6">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单位</w:t>
                  </w:r>
                </w:p>
              </w:tc>
              <w:tc>
                <w:tcPr>
                  <w:tcW w:w="1012" w:type="pct"/>
                  <w:noWrap w:val="0"/>
                  <w:vAlign w:val="center"/>
                </w:tcPr>
                <w:p w14:paraId="5DAB1E69">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产污系数</w:t>
                  </w:r>
                </w:p>
              </w:tc>
            </w:tr>
            <w:tr w14:paraId="33D6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vMerge w:val="restart"/>
                  <w:noWrap w:val="0"/>
                  <w:vAlign w:val="center"/>
                </w:tcPr>
                <w:p w14:paraId="4C6E2FD6">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蒸汽/热水/其他</w:t>
                  </w:r>
                </w:p>
              </w:tc>
              <w:tc>
                <w:tcPr>
                  <w:tcW w:w="996" w:type="pct"/>
                  <w:vMerge w:val="restart"/>
                  <w:noWrap w:val="0"/>
                  <w:vAlign w:val="center"/>
                </w:tcPr>
                <w:p w14:paraId="53A15E88">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煤气</w:t>
                  </w:r>
                </w:p>
              </w:tc>
              <w:tc>
                <w:tcPr>
                  <w:tcW w:w="996" w:type="pct"/>
                  <w:noWrap w:val="0"/>
                  <w:vAlign w:val="center"/>
                </w:tcPr>
                <w:p w14:paraId="37635F83">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工业废气量</w:t>
                  </w:r>
                </w:p>
              </w:tc>
              <w:tc>
                <w:tcPr>
                  <w:tcW w:w="996" w:type="pct"/>
                  <w:noWrap w:val="0"/>
                  <w:vAlign w:val="center"/>
                </w:tcPr>
                <w:p w14:paraId="3526BF61">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r>
                    <w:rPr>
                      <w:rFonts w:hint="default" w:ascii="Times New Roman" w:hAnsi="Times New Roman" w:eastAsia="宋体" w:cs="Times New Roman"/>
                      <w:b w:val="0"/>
                      <w:bCs w:val="0"/>
                      <w:color w:val="auto"/>
                      <w:sz w:val="21"/>
                      <w:szCs w:val="21"/>
                      <w:highlight w:val="none"/>
                    </w:rPr>
                    <w:t>标立方米/</w:t>
                  </w:r>
                  <w:r>
                    <w:rPr>
                      <w:rFonts w:hint="eastAsia" w:ascii="Times New Roman" w:hAnsi="Times New Roman" w:eastAsia="宋体" w:cs="Times New Roman"/>
                      <w:b w:val="0"/>
                      <w:bCs w:val="0"/>
                      <w:color w:val="auto"/>
                      <w:sz w:val="21"/>
                      <w:szCs w:val="21"/>
                      <w:highlight w:val="none"/>
                      <w:lang w:val="en-US" w:eastAsia="zh-CN"/>
                    </w:rPr>
                    <w:t>万立方米－</w:t>
                  </w:r>
                  <w:r>
                    <w:rPr>
                      <w:rFonts w:hint="default" w:ascii="Times New Roman" w:hAnsi="Times New Roman" w:eastAsia="宋体" w:cs="Times New Roman"/>
                      <w:b w:val="0"/>
                      <w:bCs w:val="0"/>
                      <w:color w:val="auto"/>
                      <w:sz w:val="21"/>
                      <w:szCs w:val="21"/>
                      <w:highlight w:val="none"/>
                    </w:rPr>
                    <w:t>原料</w:t>
                  </w:r>
                </w:p>
              </w:tc>
              <w:tc>
                <w:tcPr>
                  <w:tcW w:w="1012" w:type="pct"/>
                  <w:noWrap w:val="0"/>
                  <w:vAlign w:val="center"/>
                </w:tcPr>
                <w:p w14:paraId="584899B4">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58943</w:t>
                  </w:r>
                </w:p>
              </w:tc>
            </w:tr>
            <w:tr w14:paraId="0272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vMerge w:val="continue"/>
                  <w:noWrap w:val="0"/>
                  <w:vAlign w:val="center"/>
                </w:tcPr>
                <w:p w14:paraId="7DD3CA6E">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p>
              </w:tc>
              <w:tc>
                <w:tcPr>
                  <w:tcW w:w="996" w:type="pct"/>
                  <w:vMerge w:val="continue"/>
                  <w:noWrap w:val="0"/>
                  <w:vAlign w:val="center"/>
                </w:tcPr>
                <w:p w14:paraId="078638A0">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p>
              </w:tc>
              <w:tc>
                <w:tcPr>
                  <w:tcW w:w="996" w:type="pct"/>
                  <w:noWrap w:val="0"/>
                  <w:vAlign w:val="center"/>
                </w:tcPr>
                <w:p w14:paraId="56EF12F1">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氮氧化物</w:t>
                  </w:r>
                </w:p>
              </w:tc>
              <w:tc>
                <w:tcPr>
                  <w:tcW w:w="996" w:type="pct"/>
                  <w:noWrap w:val="0"/>
                  <w:vAlign w:val="center"/>
                </w:tcPr>
                <w:p w14:paraId="44323D67">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r>
                    <w:rPr>
                      <w:rFonts w:hint="default" w:ascii="Times New Roman" w:hAnsi="Times New Roman" w:eastAsia="宋体" w:cs="Times New Roman"/>
                      <w:b w:val="0"/>
                      <w:bCs w:val="0"/>
                      <w:color w:val="auto"/>
                      <w:sz w:val="21"/>
                      <w:szCs w:val="21"/>
                      <w:highlight w:val="none"/>
                    </w:rPr>
                    <w:t>千克/</w:t>
                  </w:r>
                  <w:r>
                    <w:rPr>
                      <w:rFonts w:hint="eastAsia" w:ascii="Times New Roman" w:hAnsi="Times New Roman" w:eastAsia="宋体" w:cs="Times New Roman"/>
                      <w:b w:val="0"/>
                      <w:bCs w:val="0"/>
                      <w:color w:val="auto"/>
                      <w:sz w:val="21"/>
                      <w:szCs w:val="21"/>
                      <w:highlight w:val="none"/>
                      <w:lang w:val="en-US" w:eastAsia="zh-CN"/>
                    </w:rPr>
                    <w:t>万立方米－</w:t>
                  </w:r>
                  <w:r>
                    <w:rPr>
                      <w:rFonts w:hint="default" w:ascii="Times New Roman" w:hAnsi="Times New Roman" w:eastAsia="宋体" w:cs="Times New Roman"/>
                      <w:b w:val="0"/>
                      <w:bCs w:val="0"/>
                      <w:color w:val="auto"/>
                      <w:sz w:val="21"/>
                      <w:szCs w:val="21"/>
                      <w:highlight w:val="none"/>
                    </w:rPr>
                    <w:t>原料</w:t>
                  </w:r>
                </w:p>
              </w:tc>
              <w:tc>
                <w:tcPr>
                  <w:tcW w:w="1012" w:type="pct"/>
                  <w:noWrap w:val="0"/>
                  <w:vAlign w:val="center"/>
                </w:tcPr>
                <w:p w14:paraId="00936036">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4.3</w:t>
                  </w:r>
                </w:p>
              </w:tc>
            </w:tr>
            <w:tr w14:paraId="47BD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vMerge w:val="continue"/>
                  <w:noWrap w:val="0"/>
                  <w:vAlign w:val="center"/>
                </w:tcPr>
                <w:p w14:paraId="6FE4B5BE">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p>
              </w:tc>
              <w:tc>
                <w:tcPr>
                  <w:tcW w:w="996" w:type="pct"/>
                  <w:vMerge w:val="continue"/>
                  <w:noWrap w:val="0"/>
                  <w:vAlign w:val="center"/>
                </w:tcPr>
                <w:p w14:paraId="71B0FAD5">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p>
              </w:tc>
              <w:tc>
                <w:tcPr>
                  <w:tcW w:w="996" w:type="pct"/>
                  <w:noWrap w:val="0"/>
                  <w:vAlign w:val="center"/>
                </w:tcPr>
                <w:p w14:paraId="242F34FF">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颗粒物</w:t>
                  </w:r>
                </w:p>
              </w:tc>
              <w:tc>
                <w:tcPr>
                  <w:tcW w:w="996" w:type="pct"/>
                  <w:noWrap w:val="0"/>
                  <w:vAlign w:val="center"/>
                </w:tcPr>
                <w:p w14:paraId="59A04628">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r>
                    <w:rPr>
                      <w:rFonts w:hint="default" w:ascii="Times New Roman" w:hAnsi="Times New Roman" w:eastAsia="宋体" w:cs="Times New Roman"/>
                      <w:b w:val="0"/>
                      <w:bCs w:val="0"/>
                      <w:color w:val="auto"/>
                      <w:sz w:val="21"/>
                      <w:szCs w:val="21"/>
                      <w:highlight w:val="none"/>
                    </w:rPr>
                    <w:t>千克/</w:t>
                  </w:r>
                  <w:r>
                    <w:rPr>
                      <w:rFonts w:hint="eastAsia" w:ascii="Times New Roman" w:hAnsi="Times New Roman" w:eastAsia="宋体" w:cs="Times New Roman"/>
                      <w:b w:val="0"/>
                      <w:bCs w:val="0"/>
                      <w:color w:val="auto"/>
                      <w:sz w:val="21"/>
                      <w:szCs w:val="21"/>
                      <w:highlight w:val="none"/>
                      <w:lang w:val="en-US" w:eastAsia="zh-CN"/>
                    </w:rPr>
                    <w:t>万立方米－</w:t>
                  </w:r>
                  <w:r>
                    <w:rPr>
                      <w:rFonts w:hint="default" w:ascii="Times New Roman" w:hAnsi="Times New Roman" w:eastAsia="宋体" w:cs="Times New Roman"/>
                      <w:b w:val="0"/>
                      <w:bCs w:val="0"/>
                      <w:color w:val="auto"/>
                      <w:sz w:val="21"/>
                      <w:szCs w:val="21"/>
                      <w:highlight w:val="none"/>
                    </w:rPr>
                    <w:t>原料</w:t>
                  </w:r>
                </w:p>
              </w:tc>
              <w:tc>
                <w:tcPr>
                  <w:tcW w:w="1012" w:type="pct"/>
                  <w:noWrap w:val="0"/>
                  <w:vAlign w:val="center"/>
                </w:tcPr>
                <w:p w14:paraId="0FC22A32">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2.86</w:t>
                  </w:r>
                </w:p>
              </w:tc>
            </w:tr>
            <w:tr w14:paraId="3A61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vMerge w:val="continue"/>
                  <w:noWrap w:val="0"/>
                  <w:vAlign w:val="center"/>
                </w:tcPr>
                <w:p w14:paraId="447540D5">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p>
              </w:tc>
              <w:tc>
                <w:tcPr>
                  <w:tcW w:w="996" w:type="pct"/>
                  <w:vMerge w:val="continue"/>
                  <w:noWrap w:val="0"/>
                  <w:vAlign w:val="center"/>
                </w:tcPr>
                <w:p w14:paraId="06B48C5F">
                  <w:pPr>
                    <w:widowControl/>
                    <w:jc w:val="center"/>
                    <w:rPr>
                      <w:rFonts w:hint="default" w:ascii="Times New Roman" w:hAnsi="Times New Roman" w:eastAsia="宋体" w:cs="Times New Roman"/>
                      <w:b w:val="0"/>
                      <w:bCs w:val="0"/>
                      <w:color w:val="auto"/>
                      <w:kern w:val="0"/>
                      <w:sz w:val="21"/>
                      <w:szCs w:val="21"/>
                      <w:highlight w:val="none"/>
                      <w:vertAlign w:val="baseline"/>
                      <w:lang w:bidi="ar"/>
                    </w:rPr>
                  </w:pPr>
                </w:p>
              </w:tc>
              <w:tc>
                <w:tcPr>
                  <w:tcW w:w="996" w:type="pct"/>
                  <w:noWrap w:val="0"/>
                  <w:vAlign w:val="center"/>
                </w:tcPr>
                <w:p w14:paraId="622C6875">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二氧化硫</w:t>
                  </w:r>
                </w:p>
              </w:tc>
              <w:tc>
                <w:tcPr>
                  <w:tcW w:w="996" w:type="pct"/>
                  <w:noWrap w:val="0"/>
                  <w:vAlign w:val="center"/>
                </w:tcPr>
                <w:p w14:paraId="43D43406">
                  <w:pPr>
                    <w:widowControl/>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千克/</w:t>
                  </w:r>
                  <w:r>
                    <w:rPr>
                      <w:rFonts w:hint="eastAsia" w:ascii="Times New Roman" w:hAnsi="Times New Roman" w:eastAsia="宋体" w:cs="Times New Roman"/>
                      <w:b w:val="0"/>
                      <w:bCs w:val="0"/>
                      <w:color w:val="auto"/>
                      <w:sz w:val="21"/>
                      <w:szCs w:val="21"/>
                      <w:highlight w:val="none"/>
                      <w:lang w:val="en-US" w:eastAsia="zh-CN"/>
                    </w:rPr>
                    <w:t>万立方米－</w:t>
                  </w:r>
                  <w:r>
                    <w:rPr>
                      <w:rFonts w:hint="default" w:ascii="Times New Roman" w:hAnsi="Times New Roman" w:eastAsia="宋体" w:cs="Times New Roman"/>
                      <w:b w:val="0"/>
                      <w:bCs w:val="0"/>
                      <w:color w:val="auto"/>
                      <w:sz w:val="21"/>
                      <w:szCs w:val="21"/>
                      <w:highlight w:val="none"/>
                    </w:rPr>
                    <w:t>原料</w:t>
                  </w:r>
                </w:p>
              </w:tc>
              <w:tc>
                <w:tcPr>
                  <w:tcW w:w="1012" w:type="pct"/>
                  <w:noWrap w:val="0"/>
                  <w:vAlign w:val="center"/>
                </w:tcPr>
                <w:p w14:paraId="39C5E6C9">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0.02S</w:t>
                  </w:r>
                </w:p>
              </w:tc>
            </w:tr>
            <w:tr w14:paraId="23E3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1F1CDCFC">
                  <w:pPr>
                    <w:widowControl/>
                    <w:jc w:val="center"/>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S是指燃料中含硫量，单位是毫克/立方米，S取值考虑生物质中的硫全部转化到废气中，即16000*0.02%/3200*10</w:t>
                  </w:r>
                  <w:r>
                    <w:rPr>
                      <w:rFonts w:hint="eastAsia" w:ascii="Times New Roman" w:hAnsi="Times New Roman" w:eastAsia="宋体" w:cs="Times New Roman"/>
                      <w:b w:val="0"/>
                      <w:bCs w:val="0"/>
                      <w:color w:val="auto"/>
                      <w:kern w:val="0"/>
                      <w:sz w:val="21"/>
                      <w:szCs w:val="21"/>
                      <w:highlight w:val="none"/>
                      <w:vertAlign w:val="superscript"/>
                      <w:lang w:val="en-US" w:eastAsia="zh-CN" w:bidi="ar"/>
                    </w:rPr>
                    <w:t>5</w:t>
                  </w:r>
                  <w:r>
                    <w:rPr>
                      <w:rFonts w:hint="eastAsia" w:ascii="Times New Roman" w:hAnsi="Times New Roman" w:eastAsia="宋体" w:cs="Times New Roman"/>
                      <w:b w:val="0"/>
                      <w:bCs w:val="0"/>
                      <w:color w:val="auto"/>
                      <w:kern w:val="0"/>
                      <w:sz w:val="21"/>
                      <w:szCs w:val="21"/>
                      <w:highlight w:val="none"/>
                      <w:vertAlign w:val="baseline"/>
                      <w:lang w:val="en-US" w:eastAsia="zh-CN" w:bidi="ar"/>
                    </w:rPr>
                    <w:t>=100mg/m</w:t>
                  </w:r>
                  <w:r>
                    <w:rPr>
                      <w:rFonts w:hint="eastAsia" w:ascii="Times New Roman" w:hAnsi="Times New Roman" w:eastAsia="宋体" w:cs="Times New Roman"/>
                      <w:b w:val="0"/>
                      <w:bCs w:val="0"/>
                      <w:color w:val="auto"/>
                      <w:kern w:val="0"/>
                      <w:sz w:val="21"/>
                      <w:szCs w:val="21"/>
                      <w:highlight w:val="none"/>
                      <w:vertAlign w:val="superscript"/>
                      <w:lang w:val="en-US" w:eastAsia="zh-CN" w:bidi="ar"/>
                    </w:rPr>
                    <w:t>3</w:t>
                  </w:r>
                  <w:r>
                    <w:rPr>
                      <w:rFonts w:hint="eastAsia" w:ascii="Times New Roman" w:hAnsi="Times New Roman" w:eastAsia="宋体" w:cs="Times New Roman"/>
                      <w:b w:val="0"/>
                      <w:bCs w:val="0"/>
                      <w:color w:val="auto"/>
                      <w:kern w:val="0"/>
                      <w:sz w:val="21"/>
                      <w:szCs w:val="21"/>
                      <w:highlight w:val="none"/>
                      <w:vertAlign w:val="baseline"/>
                      <w:lang w:val="en-US" w:eastAsia="zh-CN" w:bidi="ar"/>
                    </w:rPr>
                    <w:t>，本次环评取100进行计算</w:t>
                  </w:r>
                </w:p>
              </w:tc>
            </w:tr>
          </w:tbl>
          <w:p w14:paraId="6CCFA82C">
            <w:pPr>
              <w:pStyle w:val="2"/>
              <w:rPr>
                <w:rFonts w:hint="default"/>
                <w:lang w:val="en-US" w:eastAsia="zh-CN"/>
              </w:rPr>
            </w:pPr>
          </w:p>
          <w:p w14:paraId="00EE2131">
            <w:pPr>
              <w:pStyle w:val="80"/>
              <w:adjustRightInd/>
              <w:snapToGrid/>
              <w:spacing w:line="240" w:lineRule="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rPr>
              <w:t>4</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rPr>
              <w:t xml:space="preserve"> 燃</w:t>
            </w:r>
            <w:r>
              <w:rPr>
                <w:rFonts w:hint="eastAsia" w:ascii="Times New Roman" w:hAnsi="Times New Roman" w:eastAsia="宋体" w:cs="Times New Roman"/>
                <w:b/>
                <w:bCs/>
                <w:color w:val="auto"/>
                <w:sz w:val="24"/>
                <w:szCs w:val="24"/>
                <w:lang w:val="en-US" w:eastAsia="zh-CN"/>
              </w:rPr>
              <w:t>气锅</w:t>
            </w:r>
            <w:r>
              <w:rPr>
                <w:rFonts w:hint="eastAsia" w:ascii="Times New Roman" w:hAnsi="Times New Roman" w:eastAsia="宋体" w:cs="Times New Roman"/>
                <w:b/>
                <w:bCs/>
                <w:color w:val="auto"/>
                <w:sz w:val="24"/>
                <w:szCs w:val="24"/>
              </w:rPr>
              <w:t>炉污染物产排情况一览表</w:t>
            </w:r>
          </w:p>
          <w:tbl>
            <w:tblPr>
              <w:tblStyle w:val="28"/>
              <w:tblpPr w:leftFromText="180" w:rightFromText="180" w:vertAnchor="text" w:horzAnchor="page" w:tblpXSpec="center" w:tblpY="134"/>
              <w:tblOverlap w:val="never"/>
              <w:tblW w:w="495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06"/>
              <w:gridCol w:w="1553"/>
              <w:gridCol w:w="1763"/>
              <w:gridCol w:w="1933"/>
            </w:tblGrid>
            <w:tr w14:paraId="58E3FAA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pct"/>
                  <w:tcBorders>
                    <w:top w:val="single" w:color="auto" w:sz="12" w:space="0"/>
                    <w:left w:val="nil"/>
                    <w:bottom w:val="single" w:color="auto" w:sz="4" w:space="0"/>
                    <w:right w:val="single" w:color="auto" w:sz="4" w:space="0"/>
                  </w:tcBorders>
                  <w:noWrap w:val="0"/>
                  <w:vAlign w:val="center"/>
                </w:tcPr>
                <w:p w14:paraId="5CBF4C80">
                  <w:pPr>
                    <w:jc w:val="center"/>
                    <w:rPr>
                      <w:rFonts w:ascii="Times New Roman" w:hAnsi="Times New Roman"/>
                      <w:color w:val="auto"/>
                      <w:highlight w:val="none"/>
                    </w:rPr>
                  </w:pPr>
                  <w:r>
                    <w:rPr>
                      <w:rFonts w:hint="eastAsia" w:ascii="Times New Roman" w:hAnsi="Times New Roman" w:cs="宋体"/>
                      <w:color w:val="auto"/>
                      <w:highlight w:val="none"/>
                      <w:lang w:bidi="ar"/>
                    </w:rPr>
                    <w:t>污染物指标</w:t>
                  </w:r>
                </w:p>
              </w:tc>
              <w:tc>
                <w:tcPr>
                  <w:tcW w:w="904" w:type="pct"/>
                  <w:tcBorders>
                    <w:top w:val="single" w:color="auto" w:sz="12" w:space="0"/>
                    <w:left w:val="single" w:color="auto" w:sz="4" w:space="0"/>
                    <w:bottom w:val="single" w:color="auto" w:sz="4" w:space="0"/>
                    <w:right w:val="single" w:color="auto" w:sz="4" w:space="0"/>
                  </w:tcBorders>
                  <w:noWrap w:val="0"/>
                  <w:vAlign w:val="center"/>
                </w:tcPr>
                <w:p w14:paraId="51EA10E9">
                  <w:pPr>
                    <w:jc w:val="center"/>
                    <w:rPr>
                      <w:rFonts w:ascii="Times New Roman" w:hAnsi="Times New Roman"/>
                      <w:color w:val="auto"/>
                      <w:highlight w:val="none"/>
                    </w:rPr>
                  </w:pPr>
                  <w:r>
                    <w:rPr>
                      <w:rFonts w:hint="eastAsia" w:ascii="Times New Roman" w:hAnsi="Times New Roman" w:cs="宋体"/>
                      <w:color w:val="auto"/>
                      <w:highlight w:val="none"/>
                      <w:lang w:bidi="ar"/>
                    </w:rPr>
                    <w:t>产生浓度</w:t>
                  </w:r>
                </w:p>
                <w:p w14:paraId="2A1710E2">
                  <w:pPr>
                    <w:jc w:val="center"/>
                    <w:rPr>
                      <w:rFonts w:ascii="Times New Roman" w:hAnsi="Times New Roman"/>
                      <w:color w:val="auto"/>
                      <w:highlight w:val="none"/>
                    </w:rPr>
                  </w:pPr>
                  <w:r>
                    <w:rPr>
                      <w:rFonts w:hint="eastAsia" w:ascii="Times New Roman" w:hAnsi="Times New Roman" w:cs="宋体"/>
                      <w:color w:val="auto"/>
                      <w:highlight w:val="none"/>
                      <w:lang w:eastAsia="zh-CN" w:bidi="ar"/>
                    </w:rPr>
                    <w:t>(</w:t>
                  </w:r>
                  <w:r>
                    <w:rPr>
                      <w:rFonts w:ascii="Times New Roman" w:hAnsi="Times New Roman"/>
                      <w:color w:val="auto"/>
                      <w:highlight w:val="none"/>
                      <w:lang w:bidi="ar"/>
                    </w:rPr>
                    <w:t>mg/m</w:t>
                  </w:r>
                  <w:r>
                    <w:rPr>
                      <w:rFonts w:ascii="Times New Roman" w:hAnsi="Times New Roman"/>
                      <w:color w:val="auto"/>
                      <w:highlight w:val="none"/>
                      <w:vertAlign w:val="superscript"/>
                      <w:lang w:bidi="ar"/>
                    </w:rPr>
                    <w:t>3</w:t>
                  </w:r>
                  <w:r>
                    <w:rPr>
                      <w:rFonts w:hint="eastAsia" w:ascii="Times New Roman" w:hAnsi="Times New Roman"/>
                      <w:color w:val="auto"/>
                      <w:highlight w:val="none"/>
                      <w:vertAlign w:val="superscript"/>
                      <w:lang w:eastAsia="zh-CN" w:bidi="ar"/>
                    </w:rPr>
                    <w:t>)</w:t>
                  </w:r>
                </w:p>
              </w:tc>
              <w:tc>
                <w:tcPr>
                  <w:tcW w:w="932" w:type="pct"/>
                  <w:tcBorders>
                    <w:top w:val="single" w:color="auto" w:sz="12" w:space="0"/>
                    <w:left w:val="single" w:color="auto" w:sz="4" w:space="0"/>
                    <w:bottom w:val="single" w:color="auto" w:sz="4" w:space="0"/>
                    <w:right w:val="single" w:color="auto" w:sz="4" w:space="0"/>
                  </w:tcBorders>
                  <w:noWrap w:val="0"/>
                  <w:vAlign w:val="center"/>
                </w:tcPr>
                <w:p w14:paraId="567B80F4">
                  <w:pPr>
                    <w:jc w:val="center"/>
                    <w:rPr>
                      <w:rFonts w:ascii="Times New Roman" w:hAnsi="Times New Roman"/>
                      <w:color w:val="auto"/>
                      <w:highlight w:val="none"/>
                    </w:rPr>
                  </w:pPr>
                  <w:r>
                    <w:rPr>
                      <w:rFonts w:hint="eastAsia" w:ascii="Times New Roman" w:hAnsi="Times New Roman" w:cs="宋体"/>
                      <w:color w:val="auto"/>
                      <w:highlight w:val="none"/>
                      <w:lang w:bidi="ar"/>
                    </w:rPr>
                    <w:t>产生量</w:t>
                  </w:r>
                </w:p>
                <w:p w14:paraId="307B51F3">
                  <w:pPr>
                    <w:jc w:val="center"/>
                    <w:rPr>
                      <w:rFonts w:ascii="Times New Roman" w:hAnsi="Times New Roman"/>
                      <w:color w:val="auto"/>
                      <w:highlight w:val="none"/>
                    </w:rPr>
                  </w:pPr>
                  <w:r>
                    <w:rPr>
                      <w:rFonts w:hint="eastAsia" w:ascii="Times New Roman" w:hAnsi="Times New Roman" w:cs="宋体"/>
                      <w:color w:val="auto"/>
                      <w:highlight w:val="none"/>
                      <w:lang w:eastAsia="zh-CN" w:bidi="ar"/>
                    </w:rPr>
                    <w:t>(</w:t>
                  </w:r>
                  <w:r>
                    <w:rPr>
                      <w:rFonts w:ascii="Times New Roman" w:hAnsi="Times New Roman"/>
                      <w:color w:val="auto"/>
                      <w:highlight w:val="none"/>
                      <w:lang w:bidi="ar"/>
                    </w:rPr>
                    <w:t>t/a</w:t>
                  </w:r>
                  <w:r>
                    <w:rPr>
                      <w:rFonts w:hint="eastAsia" w:ascii="Times New Roman" w:hAnsi="Times New Roman"/>
                      <w:color w:val="auto"/>
                      <w:highlight w:val="none"/>
                      <w:lang w:eastAsia="zh-CN" w:bidi="ar"/>
                    </w:rPr>
                    <w:t>)</w:t>
                  </w:r>
                </w:p>
              </w:tc>
              <w:tc>
                <w:tcPr>
                  <w:tcW w:w="1058" w:type="pct"/>
                  <w:tcBorders>
                    <w:top w:val="single" w:color="auto" w:sz="12" w:space="0"/>
                    <w:left w:val="single" w:color="auto" w:sz="4" w:space="0"/>
                    <w:bottom w:val="single" w:color="auto" w:sz="4" w:space="0"/>
                    <w:right w:val="single" w:color="auto" w:sz="4" w:space="0"/>
                  </w:tcBorders>
                  <w:noWrap w:val="0"/>
                  <w:vAlign w:val="center"/>
                </w:tcPr>
                <w:p w14:paraId="653BB426">
                  <w:pPr>
                    <w:jc w:val="center"/>
                    <w:rPr>
                      <w:rFonts w:ascii="Times New Roman" w:hAnsi="Times New Roman"/>
                      <w:color w:val="auto"/>
                      <w:highlight w:val="none"/>
                    </w:rPr>
                  </w:pPr>
                  <w:r>
                    <w:rPr>
                      <w:rFonts w:hint="eastAsia" w:ascii="Times New Roman" w:hAnsi="Times New Roman" w:cs="宋体"/>
                      <w:color w:val="auto"/>
                      <w:highlight w:val="none"/>
                      <w:lang w:bidi="ar"/>
                    </w:rPr>
                    <w:t>排放浓度</w:t>
                  </w:r>
                </w:p>
                <w:p w14:paraId="31F93E23">
                  <w:pPr>
                    <w:jc w:val="center"/>
                    <w:rPr>
                      <w:rFonts w:ascii="Times New Roman" w:hAnsi="Times New Roman"/>
                      <w:color w:val="auto"/>
                      <w:highlight w:val="none"/>
                    </w:rPr>
                  </w:pPr>
                  <w:r>
                    <w:rPr>
                      <w:rFonts w:hint="eastAsia" w:ascii="Times New Roman" w:hAnsi="Times New Roman" w:cs="宋体"/>
                      <w:color w:val="auto"/>
                      <w:highlight w:val="none"/>
                      <w:lang w:eastAsia="zh-CN" w:bidi="ar"/>
                    </w:rPr>
                    <w:t>(</w:t>
                  </w:r>
                  <w:r>
                    <w:rPr>
                      <w:rFonts w:ascii="Times New Roman" w:hAnsi="Times New Roman"/>
                      <w:color w:val="auto"/>
                      <w:highlight w:val="none"/>
                      <w:lang w:bidi="ar"/>
                    </w:rPr>
                    <w:t>mg/m</w:t>
                  </w:r>
                  <w:r>
                    <w:rPr>
                      <w:rFonts w:ascii="Times New Roman" w:hAnsi="Times New Roman"/>
                      <w:color w:val="auto"/>
                      <w:highlight w:val="none"/>
                      <w:vertAlign w:val="superscript"/>
                      <w:lang w:bidi="ar"/>
                    </w:rPr>
                    <w:t>3</w:t>
                  </w:r>
                  <w:r>
                    <w:rPr>
                      <w:rFonts w:hint="eastAsia" w:ascii="Times New Roman" w:hAnsi="Times New Roman"/>
                      <w:color w:val="auto"/>
                      <w:highlight w:val="none"/>
                      <w:vertAlign w:val="superscript"/>
                      <w:lang w:eastAsia="zh-CN" w:bidi="ar"/>
                    </w:rPr>
                    <w:t>)</w:t>
                  </w:r>
                </w:p>
              </w:tc>
              <w:tc>
                <w:tcPr>
                  <w:tcW w:w="1160" w:type="pct"/>
                  <w:tcBorders>
                    <w:top w:val="single" w:color="auto" w:sz="12" w:space="0"/>
                    <w:left w:val="single" w:color="auto" w:sz="4" w:space="0"/>
                    <w:bottom w:val="single" w:color="auto" w:sz="4" w:space="0"/>
                    <w:right w:val="nil"/>
                  </w:tcBorders>
                  <w:noWrap w:val="0"/>
                  <w:vAlign w:val="center"/>
                </w:tcPr>
                <w:p w14:paraId="506940CB">
                  <w:pPr>
                    <w:jc w:val="center"/>
                    <w:rPr>
                      <w:rFonts w:ascii="Times New Roman" w:hAnsi="Times New Roman"/>
                      <w:color w:val="auto"/>
                      <w:highlight w:val="none"/>
                    </w:rPr>
                  </w:pPr>
                  <w:r>
                    <w:rPr>
                      <w:rFonts w:hint="eastAsia" w:ascii="Times New Roman" w:hAnsi="Times New Roman" w:cs="宋体"/>
                      <w:color w:val="auto"/>
                      <w:highlight w:val="none"/>
                      <w:lang w:bidi="ar"/>
                    </w:rPr>
                    <w:t>排放量</w:t>
                  </w:r>
                </w:p>
                <w:p w14:paraId="02593887">
                  <w:pPr>
                    <w:jc w:val="center"/>
                    <w:rPr>
                      <w:rFonts w:ascii="Times New Roman" w:hAnsi="Times New Roman"/>
                      <w:color w:val="auto"/>
                      <w:highlight w:val="none"/>
                    </w:rPr>
                  </w:pPr>
                  <w:r>
                    <w:rPr>
                      <w:rFonts w:hint="eastAsia" w:ascii="Times New Roman" w:hAnsi="Times New Roman" w:cs="宋体"/>
                      <w:color w:val="auto"/>
                      <w:highlight w:val="none"/>
                      <w:lang w:eastAsia="zh-CN" w:bidi="ar"/>
                    </w:rPr>
                    <w:t>(</w:t>
                  </w:r>
                  <w:r>
                    <w:rPr>
                      <w:rFonts w:ascii="Times New Roman" w:hAnsi="Times New Roman"/>
                      <w:color w:val="auto"/>
                      <w:highlight w:val="none"/>
                      <w:lang w:bidi="ar"/>
                    </w:rPr>
                    <w:t>t/a</w:t>
                  </w:r>
                  <w:r>
                    <w:rPr>
                      <w:rFonts w:hint="eastAsia" w:ascii="Times New Roman" w:hAnsi="Times New Roman"/>
                      <w:color w:val="auto"/>
                      <w:highlight w:val="none"/>
                      <w:lang w:eastAsia="zh-CN" w:bidi="ar"/>
                    </w:rPr>
                    <w:t>)</w:t>
                  </w:r>
                </w:p>
              </w:tc>
            </w:tr>
            <w:tr w14:paraId="3E3C0BF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pct"/>
                  <w:tcBorders>
                    <w:top w:val="single" w:color="auto" w:sz="4" w:space="0"/>
                    <w:left w:val="nil"/>
                    <w:bottom w:val="single" w:color="auto" w:sz="4" w:space="0"/>
                    <w:right w:val="single" w:color="auto" w:sz="4" w:space="0"/>
                  </w:tcBorders>
                  <w:noWrap w:val="0"/>
                  <w:vAlign w:val="center"/>
                </w:tcPr>
                <w:p w14:paraId="26A480C1">
                  <w:pPr>
                    <w:jc w:val="center"/>
                    <w:rPr>
                      <w:rFonts w:ascii="Times New Roman" w:hAnsi="Times New Roman"/>
                      <w:color w:val="auto"/>
                      <w:highlight w:val="none"/>
                    </w:rPr>
                  </w:pPr>
                  <w:r>
                    <w:rPr>
                      <w:rFonts w:hint="eastAsia" w:ascii="Times New Roman" w:hAnsi="Times New Roman" w:cs="宋体"/>
                      <w:color w:val="auto"/>
                      <w:highlight w:val="none"/>
                      <w:lang w:bidi="ar"/>
                    </w:rPr>
                    <w:t>工业废气量</w:t>
                  </w:r>
                </w:p>
              </w:tc>
              <w:tc>
                <w:tcPr>
                  <w:tcW w:w="1836" w:type="pct"/>
                  <w:gridSpan w:val="2"/>
                  <w:tcBorders>
                    <w:top w:val="single" w:color="auto" w:sz="4" w:space="0"/>
                    <w:left w:val="single" w:color="auto" w:sz="4" w:space="0"/>
                    <w:bottom w:val="single" w:color="auto" w:sz="4" w:space="0"/>
                    <w:right w:val="single" w:color="auto" w:sz="4" w:space="0"/>
                  </w:tcBorders>
                  <w:noWrap w:val="0"/>
                  <w:vAlign w:val="center"/>
                </w:tcPr>
                <w:p w14:paraId="4B41B5BE">
                  <w:pPr>
                    <w:jc w:val="center"/>
                    <w:rPr>
                      <w:rFonts w:hint="eastAsia" w:ascii="Times New Roman" w:hAnsi="Times New Roman"/>
                      <w:color w:val="auto"/>
                      <w:highlight w:val="none"/>
                      <w:lang w:bidi="ar"/>
                    </w:rPr>
                  </w:pPr>
                  <w:r>
                    <w:rPr>
                      <w:rFonts w:hint="eastAsia" w:ascii="Times New Roman" w:hAnsi="Times New Roman"/>
                      <w:color w:val="auto"/>
                      <w:highlight w:val="none"/>
                      <w:lang w:val="en-US" w:eastAsia="zh-CN" w:bidi="ar"/>
                    </w:rPr>
                    <w:t>188617600</w:t>
                  </w:r>
                  <w:r>
                    <w:rPr>
                      <w:rFonts w:hint="eastAsia" w:ascii="Times New Roman" w:hAnsi="Times New Roman"/>
                      <w:color w:val="auto"/>
                      <w:highlight w:val="none"/>
                      <w:lang w:bidi="ar"/>
                    </w:rPr>
                    <w:t>标立方米</w:t>
                  </w:r>
                </w:p>
              </w:tc>
              <w:tc>
                <w:tcPr>
                  <w:tcW w:w="2218" w:type="pct"/>
                  <w:gridSpan w:val="2"/>
                  <w:tcBorders>
                    <w:top w:val="single" w:color="auto" w:sz="4" w:space="0"/>
                    <w:left w:val="single" w:color="auto" w:sz="4" w:space="0"/>
                    <w:bottom w:val="single" w:color="auto" w:sz="4" w:space="0"/>
                    <w:right w:val="nil"/>
                  </w:tcBorders>
                  <w:noWrap w:val="0"/>
                  <w:vAlign w:val="center"/>
                </w:tcPr>
                <w:p w14:paraId="6760393C">
                  <w:pPr>
                    <w:jc w:val="center"/>
                    <w:rPr>
                      <w:rFonts w:hint="eastAsia" w:ascii="Times New Roman" w:hAnsi="Times New Roman"/>
                      <w:color w:val="auto"/>
                      <w:highlight w:val="none"/>
                      <w:lang w:bidi="ar"/>
                    </w:rPr>
                  </w:pPr>
                  <w:r>
                    <w:rPr>
                      <w:rFonts w:hint="eastAsia" w:ascii="Times New Roman" w:hAnsi="Times New Roman"/>
                      <w:color w:val="auto"/>
                      <w:highlight w:val="none"/>
                      <w:lang w:val="en-US" w:eastAsia="zh-CN" w:bidi="ar"/>
                    </w:rPr>
                    <w:t>188617600</w:t>
                  </w:r>
                  <w:r>
                    <w:rPr>
                      <w:rFonts w:hint="eastAsia" w:ascii="Times New Roman" w:hAnsi="Times New Roman"/>
                      <w:color w:val="auto"/>
                      <w:highlight w:val="none"/>
                      <w:lang w:bidi="ar"/>
                    </w:rPr>
                    <w:t>标立方米</w:t>
                  </w:r>
                </w:p>
              </w:tc>
            </w:tr>
            <w:tr w14:paraId="065080C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pct"/>
                  <w:tcBorders>
                    <w:top w:val="single" w:color="auto" w:sz="4" w:space="0"/>
                    <w:left w:val="nil"/>
                    <w:bottom w:val="single" w:color="auto" w:sz="4" w:space="0"/>
                    <w:right w:val="single" w:color="auto" w:sz="4" w:space="0"/>
                  </w:tcBorders>
                  <w:noWrap w:val="0"/>
                  <w:vAlign w:val="center"/>
                </w:tcPr>
                <w:p w14:paraId="060A1852">
                  <w:pPr>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颗粒物</w:t>
                  </w:r>
                </w:p>
              </w:tc>
              <w:tc>
                <w:tcPr>
                  <w:tcW w:w="1551" w:type="dxa"/>
                  <w:tcBorders>
                    <w:top w:val="single" w:color="auto" w:sz="4" w:space="0"/>
                    <w:left w:val="single" w:color="auto" w:sz="4" w:space="0"/>
                    <w:bottom w:val="single" w:color="auto" w:sz="4" w:space="0"/>
                    <w:right w:val="single" w:color="auto" w:sz="4" w:space="0"/>
                  </w:tcBorders>
                  <w:noWrap w:val="0"/>
                  <w:vAlign w:val="center"/>
                </w:tcPr>
                <w:p w14:paraId="0D92231C">
                  <w:pPr>
                    <w:keepNext w:val="0"/>
                    <w:keepLines w:val="0"/>
                    <w:widowControl/>
                    <w:suppressLineNumbers w:val="0"/>
                    <w:jc w:val="center"/>
                    <w:textAlignment w:val="center"/>
                    <w:rPr>
                      <w:rFonts w:hint="default" w:ascii="Times New Roman" w:hAnsi="Times New Roman" w:eastAsia="宋体"/>
                      <w:color w:val="auto"/>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48.521 </w:t>
                  </w:r>
                </w:p>
              </w:tc>
              <w:tc>
                <w:tcPr>
                  <w:tcW w:w="1599" w:type="dxa"/>
                  <w:tcBorders>
                    <w:top w:val="single" w:color="auto" w:sz="4" w:space="0"/>
                    <w:left w:val="single" w:color="auto" w:sz="4" w:space="0"/>
                    <w:bottom w:val="single" w:color="auto" w:sz="4" w:space="0"/>
                    <w:right w:val="single" w:color="auto" w:sz="4" w:space="0"/>
                  </w:tcBorders>
                  <w:noWrap w:val="0"/>
                  <w:vAlign w:val="center"/>
                </w:tcPr>
                <w:p w14:paraId="51D41356">
                  <w:pPr>
                    <w:keepNext w:val="0"/>
                    <w:keepLines w:val="0"/>
                    <w:widowControl/>
                    <w:suppressLineNumbers w:val="0"/>
                    <w:jc w:val="center"/>
                    <w:textAlignment w:val="center"/>
                    <w:rPr>
                      <w:rFonts w:hint="default" w:ascii="Times New Roman" w:hAnsi="Times New Roman" w:eastAsia="宋体"/>
                      <w:color w:val="auto"/>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9.152</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330B717">
                  <w:pPr>
                    <w:keepNext w:val="0"/>
                    <w:keepLines w:val="0"/>
                    <w:widowControl/>
                    <w:suppressLineNumbers w:val="0"/>
                    <w:jc w:val="center"/>
                    <w:textAlignment w:val="center"/>
                    <w:rPr>
                      <w:rFonts w:hint="eastAsia" w:ascii="Times New Roman" w:hAnsi="Times New Roman" w:eastAsia="宋体"/>
                      <w:color w:val="auto"/>
                      <w:highlight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0.146</w:t>
                  </w:r>
                </w:p>
              </w:tc>
              <w:tc>
                <w:tcPr>
                  <w:tcW w:w="1884" w:type="dxa"/>
                  <w:tcBorders>
                    <w:top w:val="single" w:color="auto" w:sz="4" w:space="0"/>
                    <w:left w:val="single" w:color="auto" w:sz="4" w:space="0"/>
                    <w:bottom w:val="single" w:color="auto" w:sz="4" w:space="0"/>
                    <w:right w:val="nil"/>
                  </w:tcBorders>
                  <w:noWrap w:val="0"/>
                  <w:vAlign w:val="center"/>
                </w:tcPr>
                <w:p w14:paraId="450171F2">
                  <w:pPr>
                    <w:keepNext w:val="0"/>
                    <w:keepLines w:val="0"/>
                    <w:widowControl/>
                    <w:suppressLineNumbers w:val="0"/>
                    <w:jc w:val="center"/>
                    <w:textAlignment w:val="center"/>
                    <w:rPr>
                      <w:rFonts w:hint="eastAsia" w:ascii="Times New Roman" w:hAnsi="Times New Roman" w:eastAsia="宋体"/>
                      <w:color w:val="auto"/>
                      <w:highlight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0.027 </w:t>
                  </w:r>
                </w:p>
              </w:tc>
            </w:tr>
            <w:tr w14:paraId="6114186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pct"/>
                  <w:tcBorders>
                    <w:top w:val="single" w:color="auto" w:sz="4" w:space="0"/>
                    <w:left w:val="nil"/>
                    <w:bottom w:val="single" w:color="auto" w:sz="4" w:space="0"/>
                    <w:right w:val="single" w:color="auto" w:sz="4" w:space="0"/>
                  </w:tcBorders>
                  <w:noWrap w:val="0"/>
                  <w:vAlign w:val="center"/>
                </w:tcPr>
                <w:p w14:paraId="3F8FB057">
                  <w:pPr>
                    <w:jc w:val="center"/>
                    <w:rPr>
                      <w:rFonts w:ascii="Times New Roman" w:hAnsi="Times New Roman"/>
                      <w:color w:val="auto"/>
                      <w:highlight w:val="none"/>
                    </w:rPr>
                  </w:pPr>
                  <w:r>
                    <w:rPr>
                      <w:rFonts w:ascii="Times New Roman" w:hAnsi="Times New Roman"/>
                      <w:color w:val="auto"/>
                      <w:highlight w:val="none"/>
                      <w:lang w:bidi="ar"/>
                    </w:rPr>
                    <w:t>SO</w:t>
                  </w:r>
                  <w:r>
                    <w:rPr>
                      <w:rFonts w:ascii="Times New Roman" w:hAnsi="Times New Roman"/>
                      <w:color w:val="auto"/>
                      <w:highlight w:val="none"/>
                      <w:vertAlign w:val="subscript"/>
                      <w:lang w:bidi="ar"/>
                    </w:rPr>
                    <w:t>2</w:t>
                  </w:r>
                </w:p>
              </w:tc>
              <w:tc>
                <w:tcPr>
                  <w:tcW w:w="1551" w:type="dxa"/>
                  <w:tcBorders>
                    <w:top w:val="single" w:color="auto" w:sz="4" w:space="0"/>
                    <w:left w:val="single" w:color="auto" w:sz="4" w:space="0"/>
                    <w:bottom w:val="single" w:color="auto" w:sz="4" w:space="0"/>
                    <w:right w:val="single" w:color="auto" w:sz="4" w:space="0"/>
                  </w:tcBorders>
                  <w:noWrap w:val="0"/>
                  <w:vAlign w:val="center"/>
                </w:tcPr>
                <w:p w14:paraId="67ECCDF5">
                  <w:pPr>
                    <w:keepNext w:val="0"/>
                    <w:keepLines w:val="0"/>
                    <w:widowControl/>
                    <w:suppressLineNumbers w:val="0"/>
                    <w:jc w:val="center"/>
                    <w:textAlignment w:val="center"/>
                    <w:rPr>
                      <w:rFonts w:hint="default" w:ascii="Times New Roman" w:hAnsi="Times New Roman" w:eastAsia="宋体"/>
                      <w:color w:val="auto"/>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33.931 </w:t>
                  </w:r>
                </w:p>
              </w:tc>
              <w:tc>
                <w:tcPr>
                  <w:tcW w:w="1599" w:type="dxa"/>
                  <w:tcBorders>
                    <w:top w:val="single" w:color="auto" w:sz="4" w:space="0"/>
                    <w:left w:val="single" w:color="auto" w:sz="4" w:space="0"/>
                    <w:bottom w:val="single" w:color="auto" w:sz="4" w:space="0"/>
                    <w:right w:val="single" w:color="auto" w:sz="4" w:space="0"/>
                  </w:tcBorders>
                  <w:noWrap w:val="0"/>
                  <w:vAlign w:val="center"/>
                </w:tcPr>
                <w:p w14:paraId="174184DD">
                  <w:pPr>
                    <w:keepNext w:val="0"/>
                    <w:keepLines w:val="0"/>
                    <w:widowControl/>
                    <w:suppressLineNumbers w:val="0"/>
                    <w:jc w:val="center"/>
                    <w:textAlignment w:val="center"/>
                    <w:rPr>
                      <w:rFonts w:hint="default" w:ascii="Times New Roman" w:hAnsi="Times New Roman" w:eastAsia="宋体"/>
                      <w:color w:val="auto"/>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064066E">
                  <w:pPr>
                    <w:keepNext w:val="0"/>
                    <w:keepLines w:val="0"/>
                    <w:widowControl/>
                    <w:suppressLineNumbers w:val="0"/>
                    <w:jc w:val="center"/>
                    <w:textAlignment w:val="center"/>
                    <w:rPr>
                      <w:rFonts w:hint="eastAsia" w:ascii="Times New Roman" w:hAnsi="Times New Roman" w:eastAsia="宋体"/>
                      <w:color w:val="auto"/>
                      <w:highlight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33.931 </w:t>
                  </w:r>
                </w:p>
              </w:tc>
              <w:tc>
                <w:tcPr>
                  <w:tcW w:w="1884" w:type="dxa"/>
                  <w:tcBorders>
                    <w:top w:val="single" w:color="auto" w:sz="4" w:space="0"/>
                    <w:left w:val="single" w:color="auto" w:sz="4" w:space="0"/>
                    <w:bottom w:val="single" w:color="auto" w:sz="4" w:space="0"/>
                    <w:right w:val="nil"/>
                  </w:tcBorders>
                  <w:noWrap w:val="0"/>
                  <w:vAlign w:val="center"/>
                </w:tcPr>
                <w:p w14:paraId="21DEC30D">
                  <w:pPr>
                    <w:keepNext w:val="0"/>
                    <w:keepLines w:val="0"/>
                    <w:widowControl/>
                    <w:suppressLineNumbers w:val="0"/>
                    <w:jc w:val="center"/>
                    <w:textAlignment w:val="center"/>
                    <w:rPr>
                      <w:rFonts w:hint="eastAsia" w:ascii="Times New Roman" w:hAnsi="Times New Roman" w:eastAsia="宋体"/>
                      <w:color w:val="auto"/>
                      <w:highlight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6.40</w:t>
                  </w:r>
                </w:p>
              </w:tc>
            </w:tr>
            <w:tr w14:paraId="4C89AE2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pct"/>
                  <w:tcBorders>
                    <w:top w:val="single" w:color="auto" w:sz="4" w:space="0"/>
                    <w:left w:val="nil"/>
                    <w:bottom w:val="single" w:color="auto" w:sz="4" w:space="0"/>
                    <w:right w:val="single" w:color="auto" w:sz="4" w:space="0"/>
                  </w:tcBorders>
                  <w:noWrap w:val="0"/>
                  <w:vAlign w:val="center"/>
                </w:tcPr>
                <w:p w14:paraId="0D4DC5E5">
                  <w:pPr>
                    <w:jc w:val="center"/>
                    <w:rPr>
                      <w:rFonts w:ascii="Times New Roman" w:hAnsi="Times New Roman"/>
                      <w:color w:val="auto"/>
                      <w:highlight w:val="none"/>
                    </w:rPr>
                  </w:pPr>
                  <w:r>
                    <w:rPr>
                      <w:rFonts w:hint="eastAsia" w:ascii="Times New Roman" w:hAnsi="Times New Roman" w:cs="宋体"/>
                      <w:color w:val="auto"/>
                      <w:highlight w:val="none"/>
                      <w:lang w:bidi="ar"/>
                    </w:rPr>
                    <w:t>氮氧化物</w:t>
                  </w:r>
                </w:p>
              </w:tc>
              <w:tc>
                <w:tcPr>
                  <w:tcW w:w="1528" w:type="dxa"/>
                  <w:tcBorders>
                    <w:top w:val="single" w:color="auto" w:sz="4" w:space="0"/>
                    <w:left w:val="single" w:color="auto" w:sz="4" w:space="0"/>
                    <w:bottom w:val="single" w:color="auto" w:sz="4" w:space="0"/>
                    <w:right w:val="single" w:color="auto" w:sz="4" w:space="0"/>
                  </w:tcBorders>
                  <w:noWrap w:val="0"/>
                  <w:vAlign w:val="center"/>
                </w:tcPr>
                <w:p w14:paraId="30B5D02D">
                  <w:pPr>
                    <w:keepNext w:val="0"/>
                    <w:keepLines w:val="0"/>
                    <w:widowControl/>
                    <w:suppressLineNumbers w:val="0"/>
                    <w:jc w:val="center"/>
                    <w:textAlignment w:val="center"/>
                    <w:rPr>
                      <w:rFonts w:hint="default" w:ascii="Times New Roman" w:hAnsi="Times New Roman" w:eastAsia="宋体"/>
                      <w:color w:val="auto"/>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72.952 </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885C889">
                  <w:pPr>
                    <w:keepNext w:val="0"/>
                    <w:keepLines w:val="0"/>
                    <w:widowControl/>
                    <w:suppressLineNumbers w:val="0"/>
                    <w:jc w:val="center"/>
                    <w:textAlignment w:val="center"/>
                    <w:rPr>
                      <w:rFonts w:hint="default" w:ascii="Times New Roman" w:hAnsi="Times New Roman" w:eastAsia="宋体"/>
                      <w:color w:val="auto"/>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13.76</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1094FA3">
                  <w:pPr>
                    <w:keepNext w:val="0"/>
                    <w:keepLines w:val="0"/>
                    <w:widowControl/>
                    <w:suppressLineNumbers w:val="0"/>
                    <w:jc w:val="center"/>
                    <w:textAlignment w:val="center"/>
                    <w:rPr>
                      <w:rFonts w:hint="eastAsia" w:ascii="Times New Roman" w:hAnsi="Times New Roman" w:eastAsia="宋体"/>
                      <w:color w:val="auto"/>
                      <w:highlight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72.952</w:t>
                  </w:r>
                </w:p>
              </w:tc>
              <w:tc>
                <w:tcPr>
                  <w:tcW w:w="1884" w:type="dxa"/>
                  <w:tcBorders>
                    <w:top w:val="single" w:color="auto" w:sz="4" w:space="0"/>
                    <w:left w:val="single" w:color="auto" w:sz="4" w:space="0"/>
                    <w:bottom w:val="single" w:color="auto" w:sz="4" w:space="0"/>
                    <w:right w:val="nil"/>
                  </w:tcBorders>
                  <w:noWrap w:val="0"/>
                  <w:vAlign w:val="center"/>
                </w:tcPr>
                <w:p w14:paraId="2773AC56">
                  <w:pPr>
                    <w:keepNext w:val="0"/>
                    <w:keepLines w:val="0"/>
                    <w:widowControl/>
                    <w:suppressLineNumbers w:val="0"/>
                    <w:jc w:val="center"/>
                    <w:textAlignment w:val="center"/>
                    <w:rPr>
                      <w:rFonts w:hint="eastAsia" w:ascii="Times New Roman" w:hAnsi="Times New Roman" w:eastAsia="宋体"/>
                      <w:color w:val="auto"/>
                      <w:highlight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13.76</w:t>
                  </w:r>
                </w:p>
              </w:tc>
            </w:tr>
            <w:tr w14:paraId="6048F7C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pct"/>
                  <w:tcBorders>
                    <w:top w:val="single" w:color="auto" w:sz="4" w:space="0"/>
                    <w:left w:val="nil"/>
                    <w:bottom w:val="single" w:color="auto" w:sz="12" w:space="0"/>
                    <w:right w:val="single" w:color="auto" w:sz="4" w:space="0"/>
                  </w:tcBorders>
                  <w:noWrap w:val="0"/>
                  <w:vAlign w:val="center"/>
                </w:tcPr>
                <w:p w14:paraId="6BD66B7E">
                  <w:pPr>
                    <w:jc w:val="center"/>
                    <w:rPr>
                      <w:rFonts w:hint="default" w:ascii="Times New Roman" w:hAnsi="Times New Roman" w:eastAsia="宋体" w:cs="宋体"/>
                      <w:color w:val="auto"/>
                      <w:szCs w:val="21"/>
                      <w:highlight w:val="none"/>
                      <w:lang w:val="en-US" w:eastAsia="zh-CN" w:bidi="ar"/>
                    </w:rPr>
                  </w:pPr>
                  <w:r>
                    <w:rPr>
                      <w:rFonts w:hint="eastAsia" w:ascii="Times New Roman" w:hAnsi="Times New Roman" w:eastAsia="宋体" w:cs="宋体"/>
                      <w:color w:val="auto"/>
                      <w:szCs w:val="21"/>
                      <w:highlight w:val="none"/>
                      <w:lang w:val="en-US" w:eastAsia="zh-CN" w:bidi="ar"/>
                    </w:rPr>
                    <w:t>烟气黑度</w:t>
                  </w:r>
                </w:p>
              </w:tc>
              <w:tc>
                <w:tcPr>
                  <w:tcW w:w="1836" w:type="pct"/>
                  <w:gridSpan w:val="2"/>
                  <w:tcBorders>
                    <w:top w:val="single" w:color="auto" w:sz="4" w:space="0"/>
                    <w:left w:val="single" w:color="auto" w:sz="4" w:space="0"/>
                    <w:bottom w:val="single" w:color="auto" w:sz="12" w:space="0"/>
                    <w:right w:val="single" w:color="auto" w:sz="4" w:space="0"/>
                  </w:tcBorders>
                  <w:noWrap w:val="0"/>
                  <w:vAlign w:val="center"/>
                </w:tcPr>
                <w:p w14:paraId="140A53FE">
                  <w:pPr>
                    <w:jc w:val="center"/>
                    <w:rPr>
                      <w:rFonts w:hint="default" w:ascii="Times New Roman" w:hAnsi="Times New Roman" w:eastAsia="宋体"/>
                      <w:color w:val="auto"/>
                      <w:szCs w:val="21"/>
                      <w:highlight w:val="none"/>
                      <w:lang w:val="en-US" w:eastAsia="zh-CN" w:bidi="ar"/>
                    </w:rPr>
                  </w:pPr>
                  <w:r>
                    <w:rPr>
                      <w:rFonts w:hint="eastAsia" w:ascii="Times New Roman" w:hAnsi="Times New Roman"/>
                      <w:color w:val="auto"/>
                      <w:szCs w:val="21"/>
                      <w:highlight w:val="none"/>
                      <w:lang w:val="en-US" w:eastAsia="zh-CN" w:bidi="ar"/>
                    </w:rPr>
                    <w:t>≤1级</w:t>
                  </w:r>
                </w:p>
              </w:tc>
              <w:tc>
                <w:tcPr>
                  <w:tcW w:w="2218" w:type="pct"/>
                  <w:gridSpan w:val="2"/>
                  <w:tcBorders>
                    <w:top w:val="single" w:color="auto" w:sz="4" w:space="0"/>
                    <w:left w:val="single" w:color="auto" w:sz="4" w:space="0"/>
                    <w:bottom w:val="single" w:color="auto" w:sz="12" w:space="0"/>
                    <w:right w:val="nil"/>
                  </w:tcBorders>
                  <w:noWrap w:val="0"/>
                  <w:vAlign w:val="center"/>
                </w:tcPr>
                <w:p w14:paraId="4DB3644E">
                  <w:pPr>
                    <w:jc w:val="center"/>
                    <w:rPr>
                      <w:rFonts w:hint="eastAsia" w:ascii="Times New Roman" w:hAnsi="Times New Roman"/>
                      <w:color w:val="auto"/>
                      <w:szCs w:val="21"/>
                      <w:highlight w:val="none"/>
                      <w:lang w:bidi="ar"/>
                    </w:rPr>
                  </w:pPr>
                  <w:r>
                    <w:rPr>
                      <w:rFonts w:hint="eastAsia" w:ascii="Times New Roman" w:hAnsi="Times New Roman"/>
                      <w:color w:val="auto"/>
                      <w:szCs w:val="21"/>
                      <w:highlight w:val="none"/>
                      <w:lang w:val="en-US" w:eastAsia="zh-CN" w:bidi="ar"/>
                    </w:rPr>
                    <w:t>≤1级</w:t>
                  </w:r>
                </w:p>
              </w:tc>
            </w:tr>
          </w:tbl>
          <w:p w14:paraId="7D8E935F">
            <w:pPr>
              <w:pStyle w:val="8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综上可知，燃气锅炉产生的污染物通过</w:t>
            </w:r>
            <w:r>
              <w:rPr>
                <w:rFonts w:hint="default" w:ascii="Times New Roman" w:hAnsi="Times New Roman" w:eastAsia="宋体" w:cs="Times New Roman"/>
                <w:color w:val="auto"/>
                <w:sz w:val="24"/>
                <w:highlight w:val="none"/>
                <w:lang w:val="en-US" w:eastAsia="zh-CN"/>
              </w:rPr>
              <w:t>1</w:t>
            </w:r>
            <w:r>
              <w:rPr>
                <w:rFonts w:hint="eastAsia"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m高排气筒高空排放，污染物排放浓度符合《锅炉大气污染物排放标准》（GB13271-2014）中表</w:t>
            </w:r>
            <w:r>
              <w:rPr>
                <w:rFonts w:hint="eastAsia"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燃气锅炉标准（颗粒物浓度≤20mg/m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浓度≤50mg/m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，NOx浓度≤</w:t>
            </w:r>
            <w:r>
              <w:rPr>
                <w:rFonts w:hint="eastAsia"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）限值要求。</w:t>
            </w:r>
          </w:p>
          <w:p w14:paraId="0B4BB165">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大气污染源情况一览表</w:t>
            </w:r>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
              <w:gridCol w:w="413"/>
              <w:gridCol w:w="416"/>
              <w:gridCol w:w="739"/>
              <w:gridCol w:w="938"/>
              <w:gridCol w:w="601"/>
              <w:gridCol w:w="1187"/>
              <w:gridCol w:w="522"/>
              <w:gridCol w:w="416"/>
              <w:gridCol w:w="690"/>
              <w:gridCol w:w="857"/>
              <w:gridCol w:w="655"/>
              <w:gridCol w:w="562"/>
            </w:tblGrid>
            <w:tr w14:paraId="57D30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restart"/>
                  <w:tcBorders>
                    <w:tl2br w:val="nil"/>
                    <w:tr2bl w:val="nil"/>
                  </w:tcBorders>
                  <w:noWrap w:val="0"/>
                  <w:vAlign w:val="center"/>
                </w:tcPr>
                <w:p w14:paraId="7B7DE6F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246" w:type="pct"/>
                  <w:vMerge w:val="restart"/>
                  <w:tcBorders>
                    <w:tl2br w:val="nil"/>
                    <w:tr2bl w:val="nil"/>
                  </w:tcBorders>
                  <w:noWrap w:val="0"/>
                  <w:vAlign w:val="center"/>
                </w:tcPr>
                <w:p w14:paraId="6D2D1EF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1600" w:type="pct"/>
                  <w:gridSpan w:val="4"/>
                  <w:tcBorders>
                    <w:tl2br w:val="nil"/>
                    <w:tr2bl w:val="nil"/>
                  </w:tcBorders>
                  <w:noWrap w:val="0"/>
                  <w:vAlign w:val="center"/>
                </w:tcPr>
                <w:p w14:paraId="3A6F5DC5">
                  <w:pPr>
                    <w:keepNext w:val="0"/>
                    <w:keepLines w:val="0"/>
                    <w:pageBreakBefore w:val="0"/>
                    <w:kinsoku/>
                    <w:wordWrap/>
                    <w:overflowPunct/>
                    <w:topLinePunct w:val="0"/>
                    <w:autoSpaceDE/>
                    <w:autoSpaceDN/>
                    <w:bidi w:val="0"/>
                    <w:adjustRightInd/>
                    <w:snapToGrid/>
                    <w:spacing w:line="240" w:lineRule="auto"/>
                    <w:ind w:left="0" w:leftChars="0" w:firstLine="420" w:firstLineChars="20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污染物产生</w:t>
                  </w:r>
                </w:p>
              </w:tc>
              <w:tc>
                <w:tcPr>
                  <w:tcW w:w="1015" w:type="pct"/>
                  <w:gridSpan w:val="2"/>
                  <w:tcBorders>
                    <w:tl2br w:val="nil"/>
                    <w:tr2bl w:val="nil"/>
                  </w:tcBorders>
                  <w:noWrap w:val="0"/>
                  <w:vAlign w:val="center"/>
                </w:tcPr>
                <w:p w14:paraId="78A7680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治理措施</w:t>
                  </w:r>
                </w:p>
              </w:tc>
              <w:tc>
                <w:tcPr>
                  <w:tcW w:w="1555" w:type="pct"/>
                  <w:gridSpan w:val="4"/>
                  <w:tcBorders>
                    <w:tl2br w:val="nil"/>
                    <w:tr2bl w:val="nil"/>
                  </w:tcBorders>
                  <w:noWrap w:val="0"/>
                  <w:vAlign w:val="center"/>
                </w:tcPr>
                <w:p w14:paraId="7BB4CF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334" w:type="pct"/>
                  <w:vMerge w:val="restart"/>
                  <w:tcBorders>
                    <w:tl2br w:val="nil"/>
                    <w:tr2bl w:val="nil"/>
                  </w:tcBorders>
                  <w:noWrap w:val="0"/>
                  <w:vAlign w:val="center"/>
                </w:tcPr>
                <w:p w14:paraId="5CCEC855">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rPr>
                  </w:pPr>
                  <w:r>
                    <w:rPr>
                      <w:rFonts w:hint="default" w:ascii="Times New Roman" w:hAnsi="Times New Roman" w:eastAsia="宋体" w:cs="Times New Roman"/>
                      <w:b w:val="0"/>
                      <w:bCs w:val="0"/>
                      <w:color w:val="auto"/>
                      <w:spacing w:val="0"/>
                      <w:kern w:val="0"/>
                      <w:sz w:val="21"/>
                      <w:szCs w:val="21"/>
                      <w:lang w:val="en-US" w:eastAsia="zh-CN" w:bidi="ar-SA"/>
                    </w:rPr>
                    <w:t>排放时间</w:t>
                  </w:r>
                  <w:r>
                    <w:rPr>
                      <w:rFonts w:hint="eastAsia" w:cs="Times New Roman"/>
                      <w:b w:val="0"/>
                      <w:bCs w:val="0"/>
                      <w:color w:val="auto"/>
                      <w:spacing w:val="0"/>
                      <w:kern w:val="0"/>
                      <w:sz w:val="21"/>
                      <w:szCs w:val="21"/>
                      <w:lang w:val="en-US" w:eastAsia="zh-CN" w:bidi="ar-SA"/>
                    </w:rPr>
                    <w:t>（</w:t>
                  </w:r>
                  <w:r>
                    <w:rPr>
                      <w:rFonts w:hint="default" w:ascii="Times New Roman" w:hAnsi="Times New Roman" w:eastAsia="宋体" w:cs="Times New Roman"/>
                      <w:b w:val="0"/>
                      <w:bCs w:val="0"/>
                      <w:color w:val="auto"/>
                      <w:spacing w:val="0"/>
                      <w:kern w:val="0"/>
                      <w:sz w:val="21"/>
                      <w:szCs w:val="21"/>
                      <w:lang w:val="en-US" w:eastAsia="zh-CN" w:bidi="ar-SA"/>
                    </w:rPr>
                    <w:t>h</w:t>
                  </w:r>
                  <w:r>
                    <w:rPr>
                      <w:rFonts w:hint="eastAsia" w:cs="Times New Roman"/>
                      <w:b w:val="0"/>
                      <w:bCs w:val="0"/>
                      <w:color w:val="auto"/>
                      <w:spacing w:val="0"/>
                      <w:kern w:val="0"/>
                      <w:sz w:val="21"/>
                      <w:szCs w:val="21"/>
                      <w:lang w:val="en-US" w:eastAsia="zh-CN" w:bidi="ar-SA"/>
                    </w:rPr>
                    <w:t>）</w:t>
                  </w:r>
                </w:p>
              </w:tc>
            </w:tr>
            <w:tr w14:paraId="1C966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14:paraId="27EDD41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246" w:type="pct"/>
                  <w:vMerge w:val="continue"/>
                  <w:tcBorders>
                    <w:tl2br w:val="nil"/>
                    <w:tr2bl w:val="nil"/>
                  </w:tcBorders>
                  <w:noWrap w:val="0"/>
                  <w:vAlign w:val="center"/>
                </w:tcPr>
                <w:p w14:paraId="082CBFF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247" w:type="pct"/>
                  <w:tcBorders>
                    <w:tl2br w:val="nil"/>
                    <w:tr2bl w:val="nil"/>
                  </w:tcBorders>
                  <w:noWrap w:val="0"/>
                  <w:vAlign w:val="center"/>
                </w:tcPr>
                <w:p w14:paraId="289589A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439" w:type="pct"/>
                  <w:tcBorders>
                    <w:tl2br w:val="nil"/>
                    <w:tr2bl w:val="nil"/>
                  </w:tcBorders>
                  <w:noWrap w:val="0"/>
                  <w:vAlign w:val="center"/>
                </w:tcPr>
                <w:p w14:paraId="293417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产生速率</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r>
                    <w:rPr>
                      <w:rFonts w:hint="eastAsia" w:cs="Times New Roman"/>
                      <w:b w:val="0"/>
                      <w:bCs w:val="0"/>
                      <w:i w:val="0"/>
                      <w:iCs w:val="0"/>
                      <w:color w:val="auto"/>
                      <w:spacing w:val="0"/>
                      <w:kern w:val="0"/>
                      <w:sz w:val="21"/>
                      <w:szCs w:val="21"/>
                      <w:lang w:val="en-US" w:eastAsia="zh-CN"/>
                    </w:rPr>
                    <w:t>）</w:t>
                  </w:r>
                </w:p>
              </w:tc>
              <w:tc>
                <w:tcPr>
                  <w:tcW w:w="557" w:type="pct"/>
                  <w:tcBorders>
                    <w:tl2br w:val="nil"/>
                    <w:tr2bl w:val="nil"/>
                  </w:tcBorders>
                  <w:noWrap w:val="0"/>
                  <w:vAlign w:val="center"/>
                </w:tcPr>
                <w:p w14:paraId="0266E3B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w:t>
                  </w:r>
                  <w:r>
                    <w:rPr>
                      <w:rFonts w:hint="default" w:ascii="Times New Roman" w:hAnsi="Times New Roman" w:eastAsia="宋体" w:cs="Times New Roman"/>
                      <w:b w:val="0"/>
                      <w:bCs w:val="0"/>
                      <w:i w:val="0"/>
                      <w:iCs w:val="0"/>
                      <w:color w:val="auto"/>
                      <w:spacing w:val="0"/>
                      <w:kern w:val="0"/>
                      <w:sz w:val="21"/>
                      <w:szCs w:val="21"/>
                    </w:rPr>
                    <w:t>浓度</w:t>
                  </w:r>
                  <w:r>
                    <w:rPr>
                      <w:rFonts w:hint="eastAsia" w:cs="Times New Roman"/>
                      <w:b w:val="0"/>
                      <w:bCs w:val="0"/>
                      <w:i w:val="0"/>
                      <w:iCs w:val="0"/>
                      <w:color w:val="auto"/>
                      <w:spacing w:val="0"/>
                      <w:kern w:val="0"/>
                      <w:sz w:val="21"/>
                      <w:szCs w:val="21"/>
                      <w:lang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eastAsia" w:cs="Times New Roman"/>
                      <w:b w:val="0"/>
                      <w:bCs w:val="0"/>
                      <w:i w:val="0"/>
                      <w:iCs w:val="0"/>
                      <w:color w:val="auto"/>
                      <w:spacing w:val="0"/>
                      <w:sz w:val="21"/>
                      <w:szCs w:val="21"/>
                      <w:highlight w:val="none"/>
                      <w:vertAlign w:val="superscript"/>
                      <w:lang w:eastAsia="zh-CN"/>
                    </w:rPr>
                    <w:t>）</w:t>
                  </w:r>
                </w:p>
              </w:tc>
              <w:tc>
                <w:tcPr>
                  <w:tcW w:w="356" w:type="pct"/>
                  <w:tcBorders>
                    <w:tl2br w:val="nil"/>
                    <w:tr2bl w:val="nil"/>
                  </w:tcBorders>
                  <w:noWrap w:val="0"/>
                  <w:vAlign w:val="center"/>
                </w:tcPr>
                <w:p w14:paraId="5B2817E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rPr>
                    <w:t>产生量</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eastAsia" w:cs="Times New Roman"/>
                      <w:b w:val="0"/>
                      <w:bCs w:val="0"/>
                      <w:i w:val="0"/>
                      <w:iCs w:val="0"/>
                      <w:color w:val="auto"/>
                      <w:spacing w:val="0"/>
                      <w:kern w:val="0"/>
                      <w:sz w:val="21"/>
                      <w:szCs w:val="21"/>
                      <w:lang w:eastAsia="zh-CN"/>
                    </w:rPr>
                    <w:t>）</w:t>
                  </w:r>
                </w:p>
              </w:tc>
              <w:tc>
                <w:tcPr>
                  <w:tcW w:w="705" w:type="pct"/>
                  <w:tcBorders>
                    <w:tl2br w:val="nil"/>
                    <w:tr2bl w:val="nil"/>
                  </w:tcBorders>
                  <w:noWrap w:val="0"/>
                  <w:vAlign w:val="center"/>
                </w:tcPr>
                <w:p w14:paraId="4544D4B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工艺</w:t>
                  </w:r>
                </w:p>
              </w:tc>
              <w:tc>
                <w:tcPr>
                  <w:tcW w:w="310" w:type="pct"/>
                  <w:tcBorders>
                    <w:tl2br w:val="nil"/>
                    <w:tr2bl w:val="nil"/>
                  </w:tcBorders>
                  <w:noWrap w:val="0"/>
                  <w:vAlign w:val="center"/>
                </w:tcPr>
                <w:p w14:paraId="3DEEADB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效率</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eastAsia" w:cs="Times New Roman"/>
                      <w:b w:val="0"/>
                      <w:bCs w:val="0"/>
                      <w:i w:val="0"/>
                      <w:iCs w:val="0"/>
                      <w:color w:val="auto"/>
                      <w:spacing w:val="0"/>
                      <w:kern w:val="0"/>
                      <w:sz w:val="21"/>
                      <w:szCs w:val="21"/>
                      <w:lang w:val="en-US" w:eastAsia="zh-CN"/>
                    </w:rPr>
                    <w:t>）</w:t>
                  </w:r>
                </w:p>
              </w:tc>
              <w:tc>
                <w:tcPr>
                  <w:tcW w:w="247" w:type="pct"/>
                  <w:tcBorders>
                    <w:tl2br w:val="nil"/>
                    <w:tr2bl w:val="nil"/>
                  </w:tcBorders>
                  <w:noWrap w:val="0"/>
                  <w:vAlign w:val="center"/>
                </w:tcPr>
                <w:p w14:paraId="24D16DE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410" w:type="pct"/>
                  <w:tcBorders>
                    <w:tl2br w:val="nil"/>
                    <w:tr2bl w:val="nil"/>
                  </w:tcBorders>
                  <w:noWrap w:val="0"/>
                  <w:vAlign w:val="center"/>
                </w:tcPr>
                <w:p w14:paraId="7E369C4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lang w:val="en-US"/>
                    </w:rPr>
                  </w:pPr>
                  <w:r>
                    <w:rPr>
                      <w:rFonts w:hint="default" w:ascii="Times New Roman" w:hAnsi="Times New Roman" w:eastAsia="宋体" w:cs="Times New Roman"/>
                      <w:b w:val="0"/>
                      <w:bCs w:val="0"/>
                      <w:i w:val="0"/>
                      <w:iCs w:val="0"/>
                      <w:color w:val="auto"/>
                      <w:spacing w:val="0"/>
                      <w:kern w:val="0"/>
                      <w:sz w:val="21"/>
                      <w:szCs w:val="21"/>
                      <w:lang w:eastAsia="zh-CN"/>
                    </w:rPr>
                    <w:t>排放速率</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r>
                    <w:rPr>
                      <w:rFonts w:hint="eastAsia" w:cs="Times New Roman"/>
                      <w:b w:val="0"/>
                      <w:bCs w:val="0"/>
                      <w:i w:val="0"/>
                      <w:iCs w:val="0"/>
                      <w:color w:val="auto"/>
                      <w:spacing w:val="0"/>
                      <w:kern w:val="0"/>
                      <w:sz w:val="21"/>
                      <w:szCs w:val="21"/>
                      <w:lang w:val="en-US" w:eastAsia="zh-CN"/>
                    </w:rPr>
                    <w:t>）</w:t>
                  </w:r>
                </w:p>
              </w:tc>
              <w:tc>
                <w:tcPr>
                  <w:tcW w:w="509" w:type="pct"/>
                  <w:tcBorders>
                    <w:tl2br w:val="nil"/>
                    <w:tr2bl w:val="nil"/>
                  </w:tcBorders>
                  <w:noWrap w:val="0"/>
                  <w:vAlign w:val="center"/>
                </w:tcPr>
                <w:p w14:paraId="7A56E34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浓度</w:t>
                  </w:r>
                  <w:r>
                    <w:rPr>
                      <w:rFonts w:hint="eastAsia" w:cs="Times New Roman"/>
                      <w:b w:val="0"/>
                      <w:bCs w:val="0"/>
                      <w:i w:val="0"/>
                      <w:iCs w:val="0"/>
                      <w:color w:val="auto"/>
                      <w:spacing w:val="0"/>
                      <w:kern w:val="0"/>
                      <w:sz w:val="21"/>
                      <w:szCs w:val="21"/>
                      <w:lang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eastAsia" w:cs="Times New Roman"/>
                      <w:b w:val="0"/>
                      <w:bCs w:val="0"/>
                      <w:i w:val="0"/>
                      <w:iCs w:val="0"/>
                      <w:color w:val="auto"/>
                      <w:spacing w:val="0"/>
                      <w:sz w:val="21"/>
                      <w:szCs w:val="21"/>
                      <w:highlight w:val="none"/>
                      <w:vertAlign w:val="superscript"/>
                      <w:lang w:eastAsia="zh-CN"/>
                    </w:rPr>
                    <w:t>）</w:t>
                  </w:r>
                </w:p>
              </w:tc>
              <w:tc>
                <w:tcPr>
                  <w:tcW w:w="388" w:type="pct"/>
                  <w:tcBorders>
                    <w:tl2br w:val="nil"/>
                    <w:tr2bl w:val="nil"/>
                  </w:tcBorders>
                  <w:noWrap w:val="0"/>
                  <w:vAlign w:val="center"/>
                </w:tcPr>
                <w:p w14:paraId="7FE64C6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量</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eastAsia" w:cs="Times New Roman"/>
                      <w:b w:val="0"/>
                      <w:bCs w:val="0"/>
                      <w:i w:val="0"/>
                      <w:iCs w:val="0"/>
                      <w:color w:val="auto"/>
                      <w:spacing w:val="0"/>
                      <w:kern w:val="0"/>
                      <w:sz w:val="21"/>
                      <w:szCs w:val="21"/>
                      <w:lang w:eastAsia="zh-CN"/>
                    </w:rPr>
                    <w:t>）</w:t>
                  </w:r>
                </w:p>
              </w:tc>
              <w:tc>
                <w:tcPr>
                  <w:tcW w:w="334" w:type="pct"/>
                  <w:vMerge w:val="continue"/>
                  <w:tcBorders>
                    <w:tl2br w:val="nil"/>
                    <w:tr2bl w:val="nil"/>
                  </w:tcBorders>
                  <w:noWrap w:val="0"/>
                  <w:vAlign w:val="center"/>
                </w:tcPr>
                <w:p w14:paraId="00F26B80">
                  <w:pPr>
                    <w:pStyle w:val="70"/>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auto"/>
                      <w:spacing w:val="0"/>
                      <w:sz w:val="21"/>
                      <w:szCs w:val="21"/>
                      <w:vertAlign w:val="baseline"/>
                    </w:rPr>
                  </w:pPr>
                </w:p>
              </w:tc>
            </w:tr>
            <w:tr w14:paraId="188F0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tcBorders>
                    <w:tl2br w:val="nil"/>
                    <w:tr2bl w:val="nil"/>
                  </w:tcBorders>
                  <w:noWrap w:val="0"/>
                  <w:vAlign w:val="center"/>
                </w:tcPr>
                <w:p w14:paraId="45483D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eastAsia" w:cs="Times New Roman"/>
                      <w:b w:val="0"/>
                      <w:bCs w:val="0"/>
                      <w:i w:val="0"/>
                      <w:iCs w:val="0"/>
                      <w:color w:val="auto"/>
                      <w:spacing w:val="0"/>
                      <w:sz w:val="21"/>
                      <w:szCs w:val="21"/>
                      <w:vertAlign w:val="baseline"/>
                      <w:lang w:val="en-US" w:eastAsia="zh-CN"/>
                    </w:rPr>
                    <w:t>进料</w:t>
                  </w:r>
                  <w:r>
                    <w:rPr>
                      <w:rFonts w:hint="default" w:ascii="Times New Roman" w:hAnsi="Times New Roman" w:eastAsia="宋体" w:cs="Times New Roman"/>
                      <w:b w:val="0"/>
                      <w:bCs w:val="0"/>
                      <w:i w:val="0"/>
                      <w:iCs w:val="0"/>
                      <w:color w:val="auto"/>
                      <w:spacing w:val="0"/>
                      <w:sz w:val="21"/>
                      <w:szCs w:val="21"/>
                      <w:vertAlign w:val="baseline"/>
                      <w:lang w:val="en-US" w:eastAsia="zh-CN"/>
                    </w:rPr>
                    <w:t>无组织</w:t>
                  </w:r>
                </w:p>
              </w:tc>
              <w:tc>
                <w:tcPr>
                  <w:tcW w:w="246" w:type="pct"/>
                  <w:tcBorders>
                    <w:tl2br w:val="nil"/>
                    <w:tr2bl w:val="nil"/>
                  </w:tcBorders>
                  <w:noWrap w:val="0"/>
                  <w:vAlign w:val="center"/>
                </w:tcPr>
                <w:p w14:paraId="414CD5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颗粒物</w:t>
                  </w:r>
                </w:p>
              </w:tc>
              <w:tc>
                <w:tcPr>
                  <w:tcW w:w="247" w:type="pct"/>
                  <w:tcBorders>
                    <w:tl2br w:val="nil"/>
                    <w:tr2bl w:val="nil"/>
                  </w:tcBorders>
                  <w:noWrap w:val="0"/>
                  <w:vAlign w:val="center"/>
                </w:tcPr>
                <w:p w14:paraId="418F804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439" w:type="pct"/>
                  <w:tcBorders>
                    <w:tl2br w:val="nil"/>
                    <w:tr2bl w:val="nil"/>
                  </w:tcBorders>
                  <w:noWrap w:val="0"/>
                  <w:vAlign w:val="center"/>
                </w:tcPr>
                <w:p w14:paraId="19A4BAC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0.2</w:t>
                  </w:r>
                </w:p>
              </w:tc>
              <w:tc>
                <w:tcPr>
                  <w:tcW w:w="557" w:type="pct"/>
                  <w:tcBorders>
                    <w:tl2br w:val="nil"/>
                    <w:tr2bl w:val="nil"/>
                  </w:tcBorders>
                  <w:noWrap w:val="0"/>
                  <w:vAlign w:val="center"/>
                </w:tcPr>
                <w:p w14:paraId="5343730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356" w:type="pct"/>
                  <w:tcBorders>
                    <w:tl2br w:val="nil"/>
                    <w:tr2bl w:val="nil"/>
                  </w:tcBorders>
                  <w:noWrap w:val="0"/>
                  <w:vAlign w:val="center"/>
                </w:tcPr>
                <w:p w14:paraId="6D6A6E7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1.6</w:t>
                  </w:r>
                </w:p>
              </w:tc>
              <w:tc>
                <w:tcPr>
                  <w:tcW w:w="705" w:type="pct"/>
                  <w:tcBorders>
                    <w:tl2br w:val="nil"/>
                    <w:tr2bl w:val="nil"/>
                  </w:tcBorders>
                  <w:noWrap w:val="0"/>
                  <w:vAlign w:val="center"/>
                </w:tcPr>
                <w:p w14:paraId="6B53EB7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密闭投料</w:t>
                  </w:r>
                  <w:r>
                    <w:rPr>
                      <w:rFonts w:hint="eastAsia" w:cs="Times New Roman"/>
                      <w:b w:val="0"/>
                      <w:bCs w:val="0"/>
                      <w:i w:val="0"/>
                      <w:iCs w:val="0"/>
                      <w:color w:val="auto"/>
                      <w:spacing w:val="0"/>
                      <w:kern w:val="0"/>
                      <w:sz w:val="21"/>
                      <w:szCs w:val="21"/>
                      <w:u w:val="dotted"/>
                      <w:lang w:val="en-US" w:eastAsia="zh-CN"/>
                    </w:rPr>
                    <w:t xml:space="preserve"> </w:t>
                  </w:r>
                </w:p>
              </w:tc>
              <w:tc>
                <w:tcPr>
                  <w:tcW w:w="310" w:type="pct"/>
                  <w:tcBorders>
                    <w:tl2br w:val="nil"/>
                    <w:tr2bl w:val="nil"/>
                  </w:tcBorders>
                  <w:noWrap w:val="0"/>
                  <w:vAlign w:val="center"/>
                </w:tcPr>
                <w:p w14:paraId="2F0D1F7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90</w:t>
                  </w:r>
                </w:p>
              </w:tc>
              <w:tc>
                <w:tcPr>
                  <w:tcW w:w="247" w:type="pct"/>
                  <w:tcBorders>
                    <w:tl2br w:val="nil"/>
                    <w:tr2bl w:val="nil"/>
                  </w:tcBorders>
                  <w:noWrap w:val="0"/>
                  <w:vAlign w:val="center"/>
                </w:tcPr>
                <w:p w14:paraId="62A444B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410" w:type="pct"/>
                  <w:tcBorders>
                    <w:tl2br w:val="nil"/>
                    <w:tr2bl w:val="nil"/>
                  </w:tcBorders>
                  <w:noWrap w:val="0"/>
                  <w:vAlign w:val="center"/>
                </w:tcPr>
                <w:p w14:paraId="449B57C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0.02</w:t>
                  </w:r>
                </w:p>
              </w:tc>
              <w:tc>
                <w:tcPr>
                  <w:tcW w:w="509" w:type="pct"/>
                  <w:tcBorders>
                    <w:tl2br w:val="nil"/>
                    <w:tr2bl w:val="nil"/>
                  </w:tcBorders>
                  <w:noWrap w:val="0"/>
                  <w:vAlign w:val="center"/>
                </w:tcPr>
                <w:p w14:paraId="6709B7A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bidi="ar-SA"/>
                    </w:rPr>
                    <w:t>/</w:t>
                  </w:r>
                </w:p>
              </w:tc>
              <w:tc>
                <w:tcPr>
                  <w:tcW w:w="388" w:type="pct"/>
                  <w:tcBorders>
                    <w:tl2br w:val="nil"/>
                    <w:tr2bl w:val="nil"/>
                  </w:tcBorders>
                  <w:noWrap w:val="0"/>
                  <w:vAlign w:val="center"/>
                </w:tcPr>
                <w:p w14:paraId="38C0CC6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0.16</w:t>
                  </w:r>
                </w:p>
              </w:tc>
              <w:tc>
                <w:tcPr>
                  <w:tcW w:w="334" w:type="pct"/>
                  <w:tcBorders>
                    <w:tl2br w:val="nil"/>
                    <w:tr2bl w:val="nil"/>
                  </w:tcBorders>
                  <w:noWrap w:val="0"/>
                  <w:vAlign w:val="center"/>
                </w:tcPr>
                <w:p w14:paraId="1C353539">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8000</w:t>
                  </w:r>
                </w:p>
              </w:tc>
            </w:tr>
            <w:tr w14:paraId="0C600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vMerge w:val="restart"/>
                  <w:tcBorders>
                    <w:tl2br w:val="nil"/>
                    <w:tr2bl w:val="nil"/>
                  </w:tcBorders>
                  <w:noWrap w:val="0"/>
                  <w:vAlign w:val="center"/>
                </w:tcPr>
                <w:p w14:paraId="11FA0714">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eastAsia" w:cs="Times New Roman"/>
                      <w:b w:val="0"/>
                      <w:bCs w:val="0"/>
                      <w:i w:val="0"/>
                      <w:iCs w:val="0"/>
                      <w:color w:val="auto"/>
                      <w:spacing w:val="0"/>
                      <w:sz w:val="21"/>
                      <w:szCs w:val="21"/>
                      <w:vertAlign w:val="baseline"/>
                      <w:lang w:val="en-US" w:eastAsia="zh-CN"/>
                    </w:rPr>
                    <w:t>锅炉</w:t>
                  </w:r>
                  <w:r>
                    <w:rPr>
                      <w:rFonts w:hint="default" w:ascii="Times New Roman" w:hAnsi="Times New Roman" w:eastAsia="宋体" w:cs="Times New Roman"/>
                      <w:b w:val="0"/>
                      <w:bCs w:val="0"/>
                      <w:i w:val="0"/>
                      <w:iCs w:val="0"/>
                      <w:color w:val="auto"/>
                      <w:spacing w:val="0"/>
                      <w:sz w:val="21"/>
                      <w:szCs w:val="21"/>
                      <w:vertAlign w:val="baseline"/>
                      <w:lang w:val="en-US" w:eastAsia="zh-CN"/>
                    </w:rPr>
                    <w:t>有组织</w:t>
                  </w:r>
                </w:p>
              </w:tc>
              <w:tc>
                <w:tcPr>
                  <w:tcW w:w="246" w:type="pct"/>
                  <w:tcBorders>
                    <w:tl2br w:val="nil"/>
                    <w:tr2bl w:val="nil"/>
                  </w:tcBorders>
                  <w:noWrap w:val="0"/>
                  <w:vAlign w:val="center"/>
                </w:tcPr>
                <w:p w14:paraId="6CDFF9D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颗粒物</w:t>
                  </w:r>
                </w:p>
              </w:tc>
              <w:tc>
                <w:tcPr>
                  <w:tcW w:w="247" w:type="pct"/>
                  <w:vMerge w:val="restart"/>
                  <w:tcBorders>
                    <w:tl2br w:val="nil"/>
                    <w:tr2bl w:val="nil"/>
                  </w:tcBorders>
                  <w:noWrap w:val="0"/>
                  <w:vAlign w:val="center"/>
                </w:tcPr>
                <w:p w14:paraId="6257404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61" w:type="dxa"/>
                  <w:tcBorders>
                    <w:tl2br w:val="nil"/>
                    <w:tr2bl w:val="nil"/>
                  </w:tcBorders>
                  <w:noWrap w:val="0"/>
                  <w:vAlign w:val="center"/>
                </w:tcPr>
                <w:p w14:paraId="6E0747B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1.144</w:t>
                  </w:r>
                </w:p>
              </w:tc>
              <w:tc>
                <w:tcPr>
                  <w:tcW w:w="966" w:type="dxa"/>
                  <w:tcBorders>
                    <w:tl2br w:val="nil"/>
                    <w:tr2bl w:val="nil"/>
                  </w:tcBorders>
                  <w:noWrap w:val="0"/>
                  <w:vAlign w:val="center"/>
                </w:tcPr>
                <w:p w14:paraId="7478074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48.521 </w:t>
                  </w:r>
                </w:p>
              </w:tc>
              <w:tc>
                <w:tcPr>
                  <w:tcW w:w="617" w:type="dxa"/>
                  <w:tcBorders>
                    <w:tl2br w:val="nil"/>
                    <w:tr2bl w:val="nil"/>
                  </w:tcBorders>
                  <w:noWrap w:val="0"/>
                  <w:vAlign w:val="center"/>
                </w:tcPr>
                <w:p w14:paraId="2784E1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9.152</w:t>
                  </w:r>
                </w:p>
              </w:tc>
              <w:tc>
                <w:tcPr>
                  <w:tcW w:w="705" w:type="pct"/>
                  <w:vMerge w:val="restart"/>
                  <w:tcBorders>
                    <w:tl2br w:val="nil"/>
                    <w:tr2bl w:val="nil"/>
                  </w:tcBorders>
                  <w:noWrap w:val="0"/>
                  <w:vAlign w:val="center"/>
                </w:tcPr>
                <w:p w14:paraId="0FB8E0A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多管除尘器+</w:t>
                  </w:r>
                  <w:r>
                    <w:rPr>
                      <w:rFonts w:hint="default" w:ascii="Times New Roman" w:hAnsi="Times New Roman" w:cs="Times New Roman"/>
                      <w:b w:val="0"/>
                      <w:bCs w:val="0"/>
                      <w:color w:val="auto"/>
                      <w:spacing w:val="0"/>
                      <w:sz w:val="21"/>
                      <w:szCs w:val="21"/>
                      <w:vertAlign w:val="baseline"/>
                      <w:lang w:val="en-US" w:eastAsia="zh-CN"/>
                    </w:rPr>
                    <w:t>布袋除尘器+</w:t>
                  </w:r>
                  <w:r>
                    <w:rPr>
                      <w:rFonts w:hint="eastAsia" w:cs="Times New Roman"/>
                      <w:b w:val="0"/>
                      <w:bCs w:val="0"/>
                      <w:color w:val="auto"/>
                      <w:spacing w:val="0"/>
                      <w:sz w:val="21"/>
                      <w:szCs w:val="21"/>
                      <w:vertAlign w:val="baseline"/>
                      <w:lang w:val="en-US" w:eastAsia="zh-CN"/>
                    </w:rPr>
                    <w:t>低氮燃烧器+</w:t>
                  </w:r>
                  <w:r>
                    <w:rPr>
                      <w:rFonts w:hint="default" w:ascii="Times New Roman" w:hAnsi="Times New Roman" w:cs="Times New Roman"/>
                      <w:b w:val="0"/>
                      <w:bCs w:val="0"/>
                      <w:color w:val="auto"/>
                      <w:spacing w:val="0"/>
                      <w:sz w:val="21"/>
                      <w:szCs w:val="21"/>
                      <w:vertAlign w:val="baseline"/>
                      <w:lang w:val="en-US" w:eastAsia="zh-CN"/>
                    </w:rPr>
                    <w:t>15m高</w:t>
                  </w:r>
                  <w:r>
                    <w:rPr>
                      <w:rFonts w:hint="eastAsia" w:cs="Times New Roman"/>
                      <w:b w:val="0"/>
                      <w:bCs w:val="0"/>
                      <w:color w:val="auto"/>
                      <w:spacing w:val="0"/>
                      <w:sz w:val="21"/>
                      <w:szCs w:val="21"/>
                      <w:vertAlign w:val="baseline"/>
                      <w:lang w:val="en-US" w:eastAsia="zh-CN"/>
                    </w:rPr>
                    <w:t>排气筒</w:t>
                  </w:r>
                </w:p>
              </w:tc>
              <w:tc>
                <w:tcPr>
                  <w:tcW w:w="310" w:type="pct"/>
                  <w:tcBorders>
                    <w:tl2br w:val="nil"/>
                    <w:tr2bl w:val="nil"/>
                  </w:tcBorders>
                  <w:noWrap w:val="0"/>
                  <w:vAlign w:val="center"/>
                </w:tcPr>
                <w:p w14:paraId="6866FED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99</w:t>
                  </w:r>
                  <w:r>
                    <w:rPr>
                      <w:rFonts w:hint="eastAsia" w:cs="Times New Roman"/>
                      <w:b w:val="0"/>
                      <w:bCs w:val="0"/>
                      <w:i w:val="0"/>
                      <w:iCs w:val="0"/>
                      <w:color w:val="auto"/>
                      <w:spacing w:val="0"/>
                      <w:kern w:val="0"/>
                      <w:sz w:val="21"/>
                      <w:szCs w:val="21"/>
                      <w:lang w:val="en-US" w:eastAsia="zh-CN"/>
                    </w:rPr>
                    <w:t>.7</w:t>
                  </w:r>
                </w:p>
              </w:tc>
              <w:tc>
                <w:tcPr>
                  <w:tcW w:w="247" w:type="pct"/>
                  <w:vMerge w:val="restart"/>
                  <w:tcBorders>
                    <w:tl2br w:val="nil"/>
                    <w:tr2bl w:val="nil"/>
                  </w:tcBorders>
                  <w:noWrap w:val="0"/>
                  <w:vAlign w:val="center"/>
                </w:tcPr>
                <w:p w14:paraId="6AC0190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11" w:type="dxa"/>
                  <w:tcBorders>
                    <w:tl2br w:val="nil"/>
                    <w:tr2bl w:val="nil"/>
                  </w:tcBorders>
                  <w:noWrap w:val="0"/>
                  <w:vAlign w:val="center"/>
                </w:tcPr>
                <w:p w14:paraId="507ADC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0.003 </w:t>
                  </w:r>
                </w:p>
              </w:tc>
              <w:tc>
                <w:tcPr>
                  <w:tcW w:w="882" w:type="dxa"/>
                  <w:tcBorders>
                    <w:tl2br w:val="nil"/>
                    <w:tr2bl w:val="nil"/>
                  </w:tcBorders>
                  <w:noWrap w:val="0"/>
                  <w:vAlign w:val="center"/>
                </w:tcPr>
                <w:p w14:paraId="581106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0.146</w:t>
                  </w:r>
                </w:p>
              </w:tc>
              <w:tc>
                <w:tcPr>
                  <w:tcW w:w="674" w:type="dxa"/>
                  <w:tcBorders>
                    <w:tl2br w:val="nil"/>
                    <w:tr2bl w:val="nil"/>
                  </w:tcBorders>
                  <w:noWrap w:val="0"/>
                  <w:vAlign w:val="center"/>
                </w:tcPr>
                <w:p w14:paraId="2D37BB5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0.027 </w:t>
                  </w:r>
                </w:p>
              </w:tc>
              <w:tc>
                <w:tcPr>
                  <w:tcW w:w="334" w:type="pct"/>
                  <w:vMerge w:val="restart"/>
                  <w:tcBorders>
                    <w:tl2br w:val="nil"/>
                    <w:tr2bl w:val="nil"/>
                  </w:tcBorders>
                  <w:noWrap w:val="0"/>
                  <w:vAlign w:val="center"/>
                </w:tcPr>
                <w:p w14:paraId="06A0DD52">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8000</w:t>
                  </w:r>
                </w:p>
              </w:tc>
            </w:tr>
            <w:tr w14:paraId="00E75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14:paraId="402F7A5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246" w:type="pct"/>
                  <w:tcBorders>
                    <w:tl2br w:val="nil"/>
                    <w:tr2bl w:val="nil"/>
                  </w:tcBorders>
                  <w:noWrap w:val="0"/>
                  <w:vAlign w:val="center"/>
                </w:tcPr>
                <w:p w14:paraId="4A3B0D6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二氧化硫</w:t>
                  </w:r>
                </w:p>
              </w:tc>
              <w:tc>
                <w:tcPr>
                  <w:tcW w:w="247" w:type="pct"/>
                  <w:vMerge w:val="continue"/>
                  <w:tcBorders>
                    <w:tl2br w:val="nil"/>
                    <w:tr2bl w:val="nil"/>
                  </w:tcBorders>
                  <w:noWrap w:val="0"/>
                  <w:vAlign w:val="center"/>
                </w:tcPr>
                <w:p w14:paraId="138492A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61" w:type="dxa"/>
                  <w:tcBorders>
                    <w:tl2br w:val="nil"/>
                    <w:tr2bl w:val="nil"/>
                  </w:tcBorders>
                  <w:noWrap w:val="0"/>
                  <w:vAlign w:val="center"/>
                </w:tcPr>
                <w:p w14:paraId="48B337F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000000"/>
                      <w:kern w:val="0"/>
                      <w:sz w:val="22"/>
                      <w:szCs w:val="22"/>
                      <w:u w:val="none"/>
                      <w:lang w:val="en-US" w:eastAsia="zh-CN" w:bidi="ar"/>
                    </w:rPr>
                    <w:t>0.8</w:t>
                  </w:r>
                </w:p>
              </w:tc>
              <w:tc>
                <w:tcPr>
                  <w:tcW w:w="966" w:type="dxa"/>
                  <w:tcBorders>
                    <w:tl2br w:val="nil"/>
                    <w:tr2bl w:val="nil"/>
                  </w:tcBorders>
                  <w:noWrap w:val="0"/>
                  <w:vAlign w:val="center"/>
                </w:tcPr>
                <w:p w14:paraId="1A3F632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33.931</w:t>
                  </w:r>
                </w:p>
              </w:tc>
              <w:tc>
                <w:tcPr>
                  <w:tcW w:w="617" w:type="dxa"/>
                  <w:tcBorders>
                    <w:tl2br w:val="nil"/>
                    <w:tr2bl w:val="nil"/>
                  </w:tcBorders>
                  <w:noWrap w:val="0"/>
                  <w:vAlign w:val="center"/>
                </w:tcPr>
                <w:p w14:paraId="61EB2A6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6.4</w:t>
                  </w:r>
                </w:p>
              </w:tc>
              <w:tc>
                <w:tcPr>
                  <w:tcW w:w="705" w:type="pct"/>
                  <w:vMerge w:val="continue"/>
                  <w:tcBorders>
                    <w:tl2br w:val="nil"/>
                    <w:tr2bl w:val="nil"/>
                  </w:tcBorders>
                  <w:noWrap w:val="0"/>
                  <w:vAlign w:val="center"/>
                </w:tcPr>
                <w:p w14:paraId="473B7A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310" w:type="pct"/>
                  <w:tcBorders>
                    <w:tl2br w:val="nil"/>
                    <w:tr2bl w:val="nil"/>
                  </w:tcBorders>
                  <w:noWrap w:val="0"/>
                  <w:vAlign w:val="center"/>
                </w:tcPr>
                <w:p w14:paraId="1C1E51F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247" w:type="pct"/>
                  <w:vMerge w:val="continue"/>
                  <w:tcBorders>
                    <w:tl2br w:val="nil"/>
                    <w:tr2bl w:val="nil"/>
                  </w:tcBorders>
                  <w:noWrap w:val="0"/>
                  <w:vAlign w:val="center"/>
                </w:tcPr>
                <w:p w14:paraId="0B95AB7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14:paraId="5128E9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0.8</w:t>
                  </w:r>
                </w:p>
              </w:tc>
              <w:tc>
                <w:tcPr>
                  <w:tcW w:w="882" w:type="dxa"/>
                  <w:tcBorders>
                    <w:tl2br w:val="nil"/>
                    <w:tr2bl w:val="nil"/>
                  </w:tcBorders>
                  <w:noWrap w:val="0"/>
                  <w:vAlign w:val="center"/>
                </w:tcPr>
                <w:p w14:paraId="6886FD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33.931</w:t>
                  </w:r>
                </w:p>
              </w:tc>
              <w:tc>
                <w:tcPr>
                  <w:tcW w:w="674" w:type="dxa"/>
                  <w:tcBorders>
                    <w:tl2br w:val="nil"/>
                    <w:tr2bl w:val="nil"/>
                  </w:tcBorders>
                  <w:noWrap w:val="0"/>
                  <w:vAlign w:val="center"/>
                </w:tcPr>
                <w:p w14:paraId="0520C65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6.4</w:t>
                  </w:r>
                </w:p>
              </w:tc>
              <w:tc>
                <w:tcPr>
                  <w:tcW w:w="334" w:type="pct"/>
                  <w:vMerge w:val="continue"/>
                  <w:tcBorders>
                    <w:tl2br w:val="nil"/>
                    <w:tr2bl w:val="nil"/>
                  </w:tcBorders>
                  <w:noWrap w:val="0"/>
                  <w:vAlign w:val="center"/>
                </w:tcPr>
                <w:p w14:paraId="4B0E600A">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14:paraId="6BCF1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14:paraId="55D7C2A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246" w:type="pct"/>
                  <w:tcBorders>
                    <w:tl2br w:val="nil"/>
                    <w:tr2bl w:val="nil"/>
                  </w:tcBorders>
                  <w:noWrap w:val="0"/>
                  <w:vAlign w:val="center"/>
                </w:tcPr>
                <w:p w14:paraId="1ED3C51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氮氧化物</w:t>
                  </w:r>
                </w:p>
              </w:tc>
              <w:tc>
                <w:tcPr>
                  <w:tcW w:w="247" w:type="pct"/>
                  <w:tcBorders>
                    <w:tl2br w:val="nil"/>
                    <w:tr2bl w:val="nil"/>
                  </w:tcBorders>
                  <w:noWrap w:val="0"/>
                  <w:vAlign w:val="center"/>
                </w:tcPr>
                <w:p w14:paraId="66DF445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14:paraId="2AABF39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1.72</w:t>
                  </w:r>
                </w:p>
              </w:tc>
              <w:tc>
                <w:tcPr>
                  <w:tcW w:w="966" w:type="dxa"/>
                  <w:tcBorders>
                    <w:tl2br w:val="nil"/>
                    <w:tr2bl w:val="nil"/>
                  </w:tcBorders>
                  <w:noWrap w:val="0"/>
                  <w:vAlign w:val="center"/>
                </w:tcPr>
                <w:p w14:paraId="2F29F8F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72.952 </w:t>
                  </w:r>
                </w:p>
              </w:tc>
              <w:tc>
                <w:tcPr>
                  <w:tcW w:w="617" w:type="dxa"/>
                  <w:tcBorders>
                    <w:tl2br w:val="nil"/>
                    <w:tr2bl w:val="nil"/>
                  </w:tcBorders>
                  <w:noWrap w:val="0"/>
                  <w:vAlign w:val="center"/>
                </w:tcPr>
                <w:p w14:paraId="73CEDDD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13.76</w:t>
                  </w:r>
                </w:p>
              </w:tc>
              <w:tc>
                <w:tcPr>
                  <w:tcW w:w="705" w:type="pct"/>
                  <w:vMerge w:val="continue"/>
                  <w:tcBorders>
                    <w:tl2br w:val="nil"/>
                    <w:tr2bl w:val="nil"/>
                  </w:tcBorders>
                  <w:noWrap w:val="0"/>
                  <w:vAlign w:val="center"/>
                </w:tcPr>
                <w:p w14:paraId="3C6305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310" w:type="pct"/>
                  <w:tcBorders>
                    <w:tl2br w:val="nil"/>
                    <w:tr2bl w:val="nil"/>
                  </w:tcBorders>
                  <w:noWrap w:val="0"/>
                  <w:vAlign w:val="center"/>
                </w:tcPr>
                <w:p w14:paraId="6BB0CDF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w:t>
                  </w:r>
                </w:p>
              </w:tc>
              <w:tc>
                <w:tcPr>
                  <w:tcW w:w="247" w:type="pct"/>
                  <w:vMerge w:val="continue"/>
                  <w:tcBorders>
                    <w:tl2br w:val="nil"/>
                    <w:tr2bl w:val="nil"/>
                  </w:tcBorders>
                  <w:noWrap w:val="0"/>
                  <w:vAlign w:val="center"/>
                </w:tcPr>
                <w:p w14:paraId="5AECC41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14:paraId="249CB9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1.72 </w:t>
                  </w:r>
                </w:p>
              </w:tc>
              <w:tc>
                <w:tcPr>
                  <w:tcW w:w="882" w:type="dxa"/>
                  <w:tcBorders>
                    <w:tl2br w:val="nil"/>
                    <w:tr2bl w:val="nil"/>
                  </w:tcBorders>
                  <w:noWrap w:val="0"/>
                  <w:vAlign w:val="center"/>
                </w:tcPr>
                <w:p w14:paraId="680382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72.952</w:t>
                  </w:r>
                </w:p>
              </w:tc>
              <w:tc>
                <w:tcPr>
                  <w:tcW w:w="674" w:type="dxa"/>
                  <w:tcBorders>
                    <w:tl2br w:val="nil"/>
                    <w:tr2bl w:val="nil"/>
                  </w:tcBorders>
                  <w:noWrap w:val="0"/>
                  <w:vAlign w:val="center"/>
                </w:tcPr>
                <w:p w14:paraId="0BB40A7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13.76</w:t>
                  </w:r>
                </w:p>
              </w:tc>
              <w:tc>
                <w:tcPr>
                  <w:tcW w:w="334" w:type="pct"/>
                  <w:vMerge w:val="continue"/>
                  <w:tcBorders>
                    <w:tl2br w:val="nil"/>
                    <w:tr2bl w:val="nil"/>
                  </w:tcBorders>
                  <w:noWrap w:val="0"/>
                  <w:vAlign w:val="center"/>
                </w:tcPr>
                <w:p w14:paraId="0F73EED2">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14:paraId="32295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14:paraId="307B119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246" w:type="pct"/>
                  <w:tcBorders>
                    <w:tl2br w:val="nil"/>
                    <w:tr2bl w:val="nil"/>
                  </w:tcBorders>
                  <w:noWrap w:val="0"/>
                  <w:vAlign w:val="center"/>
                </w:tcPr>
                <w:p w14:paraId="137140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eastAsia" w:ascii="Times New Roman" w:hAnsi="Times New Roman" w:eastAsia="宋体" w:cs="Times New Roman"/>
                      <w:b w:val="0"/>
                      <w:bCs w:val="0"/>
                      <w:i w:val="0"/>
                      <w:iCs w:val="0"/>
                      <w:color w:val="auto"/>
                      <w:spacing w:val="0"/>
                      <w:kern w:val="2"/>
                      <w:sz w:val="21"/>
                      <w:szCs w:val="21"/>
                      <w:vertAlign w:val="baseline"/>
                      <w:lang w:val="en-US" w:eastAsia="zh-CN" w:bidi="ar-SA"/>
                    </w:rPr>
                    <w:t>烟气黑度</w:t>
                  </w:r>
                </w:p>
              </w:tc>
              <w:tc>
                <w:tcPr>
                  <w:tcW w:w="247" w:type="pct"/>
                  <w:tcBorders>
                    <w:tl2br w:val="nil"/>
                    <w:tr2bl w:val="nil"/>
                  </w:tcBorders>
                  <w:noWrap w:val="0"/>
                  <w:vAlign w:val="center"/>
                </w:tcPr>
                <w:p w14:paraId="02EA732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439" w:type="pct"/>
                  <w:tcBorders>
                    <w:tl2br w:val="nil"/>
                    <w:tr2bl w:val="nil"/>
                  </w:tcBorders>
                  <w:noWrap w:val="0"/>
                  <w:vAlign w:val="center"/>
                </w:tcPr>
                <w:p w14:paraId="60B17C3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557" w:type="pct"/>
                  <w:tcBorders>
                    <w:tl2br w:val="nil"/>
                    <w:tr2bl w:val="nil"/>
                  </w:tcBorders>
                  <w:noWrap w:val="0"/>
                  <w:vAlign w:val="center"/>
                </w:tcPr>
                <w:p w14:paraId="18ED8FDE">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356" w:type="pct"/>
                  <w:tcBorders>
                    <w:tl2br w:val="nil"/>
                    <w:tr2bl w:val="nil"/>
                  </w:tcBorders>
                  <w:noWrap w:val="0"/>
                  <w:vAlign w:val="center"/>
                </w:tcPr>
                <w:p w14:paraId="27897090">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05" w:type="pct"/>
                  <w:vMerge w:val="continue"/>
                  <w:tcBorders>
                    <w:tl2br w:val="nil"/>
                    <w:tr2bl w:val="nil"/>
                  </w:tcBorders>
                  <w:noWrap w:val="0"/>
                  <w:vAlign w:val="center"/>
                </w:tcPr>
                <w:p w14:paraId="6CCF21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310" w:type="pct"/>
                  <w:tcBorders>
                    <w:tl2br w:val="nil"/>
                    <w:tr2bl w:val="nil"/>
                  </w:tcBorders>
                  <w:noWrap w:val="0"/>
                  <w:vAlign w:val="center"/>
                </w:tcPr>
                <w:p w14:paraId="1C3477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247" w:type="pct"/>
                  <w:tcBorders>
                    <w:tl2br w:val="nil"/>
                    <w:tr2bl w:val="nil"/>
                  </w:tcBorders>
                  <w:noWrap w:val="0"/>
                  <w:vAlign w:val="center"/>
                </w:tcPr>
                <w:p w14:paraId="20803DC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410" w:type="pct"/>
                  <w:tcBorders>
                    <w:tl2br w:val="nil"/>
                    <w:tr2bl w:val="nil"/>
                  </w:tcBorders>
                  <w:noWrap w:val="0"/>
                  <w:vAlign w:val="center"/>
                </w:tcPr>
                <w:p w14:paraId="0777E9B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509" w:type="pct"/>
                  <w:tcBorders>
                    <w:tl2br w:val="nil"/>
                    <w:tr2bl w:val="nil"/>
                  </w:tcBorders>
                  <w:noWrap w:val="0"/>
                  <w:vAlign w:val="center"/>
                </w:tcPr>
                <w:p w14:paraId="4D5E21C3">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388" w:type="pct"/>
                  <w:tcBorders>
                    <w:tl2br w:val="nil"/>
                    <w:tr2bl w:val="nil"/>
                  </w:tcBorders>
                  <w:noWrap w:val="0"/>
                  <w:vAlign w:val="center"/>
                </w:tcPr>
                <w:p w14:paraId="4570AD64">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34" w:type="pct"/>
                  <w:vMerge w:val="continue"/>
                  <w:tcBorders>
                    <w:tl2br w:val="nil"/>
                    <w:tr2bl w:val="nil"/>
                  </w:tcBorders>
                  <w:noWrap w:val="0"/>
                  <w:vAlign w:val="center"/>
                </w:tcPr>
                <w:p w14:paraId="109C84C1">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bl>
          <w:p w14:paraId="1BE8775B">
            <w:pPr>
              <w:keepLines w:val="0"/>
              <w:pageBreakBefore w:val="0"/>
              <w:numPr>
                <w:ilvl w:val="0"/>
                <w:numId w:val="0"/>
              </w:numPr>
              <w:tabs>
                <w:tab w:val="left" w:pos="1291"/>
              </w:tabs>
              <w:topLinePunct w:val="0"/>
              <w:bidi w:val="0"/>
              <w:spacing w:beforeAutospacing="0" w:afterAutospacing="0" w:line="360" w:lineRule="auto"/>
              <w:ind w:left="0" w:leftChars="0" w:right="0" w:rightChars="0" w:firstLine="480" w:firstLineChars="200"/>
              <w:jc w:val="left"/>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非正常工况排污</w:t>
            </w:r>
          </w:p>
          <w:p w14:paraId="3A4C27E0">
            <w:pPr>
              <w:pStyle w:val="61"/>
              <w:keepLines w:val="0"/>
              <w:pageBreakBefore w:val="0"/>
              <w:topLinePunct w:val="0"/>
              <w:bidi w:val="0"/>
              <w:spacing w:beforeAutospacing="0" w:afterAutospacing="0" w:line="360" w:lineRule="auto"/>
              <w:ind w:left="0" w:leftChars="0" w:right="0" w:righ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若项目</w:t>
            </w:r>
            <w:r>
              <w:rPr>
                <w:rFonts w:hint="eastAsia" w:cs="Times New Roman"/>
                <w:color w:val="auto"/>
                <w:sz w:val="24"/>
                <w:szCs w:val="24"/>
                <w:lang w:val="en-US" w:eastAsia="zh-CN"/>
              </w:rPr>
              <w:t>锅</w:t>
            </w:r>
            <w:r>
              <w:rPr>
                <w:rFonts w:hint="default" w:ascii="Times New Roman" w:hAnsi="Times New Roman" w:eastAsia="宋体" w:cs="Times New Roman"/>
                <w:color w:val="auto"/>
                <w:sz w:val="24"/>
                <w:szCs w:val="24"/>
              </w:rPr>
              <w:t>炉配套的布袋除尘器发生故障，会导致除尘效率下降为</w:t>
            </w:r>
            <w:r>
              <w:rPr>
                <w:rFonts w:hint="eastAsia" w:cs="Times New Roman"/>
                <w:color w:val="auto"/>
                <w:sz w:val="24"/>
                <w:szCs w:val="24"/>
                <w:lang w:val="en-US" w:eastAsia="zh-CN"/>
              </w:rPr>
              <w:t>70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，颗粒物</w:t>
            </w:r>
            <w:r>
              <w:rPr>
                <w:rFonts w:hint="eastAsia" w:cs="Times New Roman"/>
                <w:color w:val="auto"/>
                <w:sz w:val="24"/>
                <w:szCs w:val="24"/>
                <w:lang w:val="en-US" w:eastAsia="zh-CN"/>
              </w:rPr>
              <w:t>排放</w:t>
            </w:r>
            <w:r>
              <w:rPr>
                <w:rFonts w:hint="default" w:ascii="Times New Roman" w:hAnsi="Times New Roman" w:eastAsia="宋体" w:cs="Times New Roman"/>
                <w:color w:val="auto"/>
                <w:sz w:val="24"/>
                <w:szCs w:val="24"/>
              </w:rPr>
              <w:t>量为</w:t>
            </w:r>
            <w:r>
              <w:rPr>
                <w:rFonts w:hint="eastAsia" w:cs="Times New Roman"/>
                <w:color w:val="auto"/>
                <w:sz w:val="24"/>
                <w:szCs w:val="24"/>
                <w:lang w:val="en-US" w:eastAsia="zh-CN"/>
              </w:rPr>
              <w:t>0.343</w:t>
            </w:r>
            <w:r>
              <w:rPr>
                <w:rFonts w:hint="default" w:ascii="Times New Roman" w:hAnsi="Times New Roman" w:cs="Times New Roman"/>
                <w:color w:val="auto"/>
                <w:sz w:val="24"/>
                <w:szCs w:val="24"/>
                <w:lang w:val="en-US" w:eastAsia="zh-CN"/>
              </w:rPr>
              <w:t>kg/h</w:t>
            </w:r>
            <w:r>
              <w:rPr>
                <w:rFonts w:hint="default" w:ascii="Times New Roman" w:hAnsi="Times New Roman" w:eastAsia="宋体" w:cs="Times New Roman"/>
                <w:color w:val="auto"/>
                <w:sz w:val="24"/>
                <w:szCs w:val="24"/>
              </w:rPr>
              <w:t>。若发生非正常工况时，企业做停产处理</w:t>
            </w:r>
            <w:r>
              <w:rPr>
                <w:rFonts w:hint="eastAsia" w:cs="Times New Roman"/>
                <w:color w:val="auto"/>
                <w:sz w:val="24"/>
                <w:szCs w:val="24"/>
                <w:lang w:eastAsia="zh-CN"/>
              </w:rPr>
              <w:t>，</w:t>
            </w:r>
            <w:r>
              <w:rPr>
                <w:rFonts w:hint="eastAsia" w:cs="Times New Roman"/>
                <w:color w:val="auto"/>
                <w:sz w:val="24"/>
                <w:szCs w:val="24"/>
                <w:lang w:val="en-US" w:eastAsia="zh-CN"/>
              </w:rPr>
              <w:t>恢复正常后重新运行。</w:t>
            </w:r>
            <w:r>
              <w:rPr>
                <w:rFonts w:hint="default" w:ascii="Times New Roman" w:hAnsi="Times New Roman" w:eastAsia="宋体" w:cs="Times New Roman"/>
                <w:color w:val="auto"/>
                <w:sz w:val="24"/>
                <w:szCs w:val="24"/>
                <w:lang w:val="en-US" w:eastAsia="zh-CN"/>
              </w:rPr>
              <w:t>非正常工况下废气污染源强核算结果及相关参数</w:t>
            </w:r>
            <w:r>
              <w:rPr>
                <w:rFonts w:hint="eastAsia" w:cs="Times New Roman"/>
                <w:color w:val="auto"/>
                <w:sz w:val="24"/>
                <w:szCs w:val="24"/>
                <w:lang w:val="en-US" w:eastAsia="zh-CN"/>
              </w:rPr>
              <w:t>见</w:t>
            </w: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4-4</w:t>
            </w:r>
            <w:r>
              <w:rPr>
                <w:rFonts w:hint="default" w:ascii="Times New Roman" w:hAnsi="Times New Roman" w:eastAsia="宋体" w:cs="Times New Roman"/>
                <w:color w:val="auto"/>
                <w:sz w:val="24"/>
                <w:szCs w:val="24"/>
                <w:lang w:eastAsia="zh-CN"/>
              </w:rPr>
              <w:t>。</w:t>
            </w:r>
          </w:p>
          <w:p w14:paraId="4AEFCD4F">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非正常工况下废气污染源强核算结果及相关参数一览表</w:t>
            </w:r>
          </w:p>
          <w:tbl>
            <w:tblPr>
              <w:tblStyle w:val="2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4"/>
              <w:gridCol w:w="635"/>
              <w:gridCol w:w="1158"/>
              <w:gridCol w:w="530"/>
              <w:gridCol w:w="1440"/>
              <w:gridCol w:w="1372"/>
              <w:gridCol w:w="926"/>
              <w:gridCol w:w="872"/>
              <w:gridCol w:w="1055"/>
            </w:tblGrid>
            <w:tr w14:paraId="1E5511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2" w:type="pct"/>
                  <w:tcBorders>
                    <w:tl2br w:val="nil"/>
                    <w:tr2bl w:val="nil"/>
                  </w:tcBorders>
                  <w:noWrap/>
                  <w:vAlign w:val="center"/>
                </w:tcPr>
                <w:p w14:paraId="2DF8763E">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377" w:type="pct"/>
                  <w:tcBorders>
                    <w:tl2br w:val="nil"/>
                    <w:tr2bl w:val="nil"/>
                  </w:tcBorders>
                  <w:noWrap/>
                  <w:vAlign w:val="center"/>
                </w:tcPr>
                <w:p w14:paraId="3568B9EA">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w:t>
                  </w:r>
                </w:p>
              </w:tc>
              <w:tc>
                <w:tcPr>
                  <w:tcW w:w="688" w:type="pct"/>
                  <w:tcBorders>
                    <w:tl2br w:val="nil"/>
                    <w:tr2bl w:val="nil"/>
                  </w:tcBorders>
                  <w:noWrap/>
                  <w:vAlign w:val="center"/>
                </w:tcPr>
                <w:p w14:paraId="70B13C54">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非正常排放原因</w:t>
                  </w:r>
                </w:p>
              </w:tc>
              <w:tc>
                <w:tcPr>
                  <w:tcW w:w="315" w:type="pct"/>
                  <w:tcBorders>
                    <w:tl2br w:val="nil"/>
                    <w:tr2bl w:val="nil"/>
                  </w:tcBorders>
                  <w:noWrap/>
                  <w:vAlign w:val="center"/>
                </w:tcPr>
                <w:p w14:paraId="4FAAFDE5">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855" w:type="pct"/>
                  <w:tcBorders>
                    <w:tl2br w:val="nil"/>
                    <w:tr2bl w:val="nil"/>
                  </w:tcBorders>
                  <w:noWrap/>
                  <w:vAlign w:val="center"/>
                </w:tcPr>
                <w:p w14:paraId="700B8D79">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非正常排放浓度/（</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rPr>
                    <w:t>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815" w:type="pct"/>
                  <w:tcBorders>
                    <w:tl2br w:val="nil"/>
                    <w:tr2bl w:val="nil"/>
                  </w:tcBorders>
                  <w:noWrap/>
                  <w:vAlign w:val="center"/>
                </w:tcPr>
                <w:p w14:paraId="34D5CA4C">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非正常排放速率/（kg/h）</w:t>
                  </w:r>
                </w:p>
              </w:tc>
              <w:tc>
                <w:tcPr>
                  <w:tcW w:w="550" w:type="pct"/>
                  <w:tcBorders>
                    <w:tl2br w:val="nil"/>
                    <w:tr2bl w:val="nil"/>
                  </w:tcBorders>
                  <w:noWrap/>
                  <w:vAlign w:val="center"/>
                </w:tcPr>
                <w:p w14:paraId="2A8DF52E">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单次持续时间/h</w:t>
                  </w:r>
                </w:p>
              </w:tc>
              <w:tc>
                <w:tcPr>
                  <w:tcW w:w="518" w:type="pct"/>
                  <w:tcBorders>
                    <w:tl2br w:val="nil"/>
                    <w:tr2bl w:val="nil"/>
                  </w:tcBorders>
                  <w:noWrap/>
                  <w:vAlign w:val="center"/>
                </w:tcPr>
                <w:p w14:paraId="6A7F3EA5">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年发生频次/次</w:t>
                  </w:r>
                </w:p>
              </w:tc>
              <w:tc>
                <w:tcPr>
                  <w:tcW w:w="626" w:type="pct"/>
                  <w:tcBorders>
                    <w:tl2br w:val="nil"/>
                    <w:tr2bl w:val="nil"/>
                  </w:tcBorders>
                  <w:noWrap/>
                  <w:vAlign w:val="center"/>
                </w:tcPr>
                <w:p w14:paraId="452AE2E0">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应对</w:t>
                  </w:r>
                </w:p>
                <w:p w14:paraId="2A3AB35E">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措施</w:t>
                  </w:r>
                </w:p>
              </w:tc>
            </w:tr>
            <w:tr w14:paraId="68B0C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52" w:type="pct"/>
                  <w:tcBorders>
                    <w:tl2br w:val="nil"/>
                    <w:tr2bl w:val="nil"/>
                  </w:tcBorders>
                  <w:noWrap/>
                  <w:vAlign w:val="center"/>
                </w:tcPr>
                <w:p w14:paraId="26DF8CDC">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377" w:type="pct"/>
                  <w:tcBorders>
                    <w:tl2br w:val="nil"/>
                    <w:tr2bl w:val="nil"/>
                  </w:tcBorders>
                  <w:noWrap/>
                  <w:vAlign w:val="center"/>
                </w:tcPr>
                <w:p w14:paraId="0769150E">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热风炉</w:t>
                  </w:r>
                </w:p>
              </w:tc>
              <w:tc>
                <w:tcPr>
                  <w:tcW w:w="688" w:type="pct"/>
                  <w:tcBorders>
                    <w:tl2br w:val="nil"/>
                    <w:tr2bl w:val="nil"/>
                  </w:tcBorders>
                  <w:noWrap/>
                  <w:vAlign w:val="center"/>
                </w:tcPr>
                <w:p w14:paraId="36087FC5">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布袋除尘器布袋破损</w:t>
                  </w:r>
                </w:p>
              </w:tc>
              <w:tc>
                <w:tcPr>
                  <w:tcW w:w="315" w:type="pct"/>
                  <w:tcBorders>
                    <w:tl2br w:val="nil"/>
                    <w:tr2bl w:val="nil"/>
                  </w:tcBorders>
                  <w:noWrap/>
                  <w:vAlign w:val="center"/>
                </w:tcPr>
                <w:p w14:paraId="078F9885">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烟尘</w:t>
                  </w:r>
                </w:p>
              </w:tc>
              <w:tc>
                <w:tcPr>
                  <w:tcW w:w="855" w:type="pct"/>
                  <w:tcBorders>
                    <w:tl2br w:val="nil"/>
                    <w:tr2bl w:val="nil"/>
                  </w:tcBorders>
                  <w:noWrap/>
                  <w:vAlign w:val="center"/>
                </w:tcPr>
                <w:p w14:paraId="69CBF2BB">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14.556</w:t>
                  </w:r>
                </w:p>
              </w:tc>
              <w:tc>
                <w:tcPr>
                  <w:tcW w:w="815" w:type="pct"/>
                  <w:tcBorders>
                    <w:tl2br w:val="nil"/>
                    <w:tr2bl w:val="nil"/>
                  </w:tcBorders>
                  <w:noWrap/>
                  <w:vAlign w:val="center"/>
                </w:tcPr>
                <w:p w14:paraId="35927185">
                  <w:pPr>
                    <w:pStyle w:val="97"/>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0.323</w:t>
                  </w:r>
                </w:p>
              </w:tc>
              <w:tc>
                <w:tcPr>
                  <w:tcW w:w="550" w:type="pct"/>
                  <w:tcBorders>
                    <w:tl2br w:val="nil"/>
                    <w:tr2bl w:val="nil"/>
                  </w:tcBorders>
                  <w:noWrap/>
                  <w:vAlign w:val="center"/>
                </w:tcPr>
                <w:p w14:paraId="3953BD00">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1h</w:t>
                  </w:r>
                </w:p>
              </w:tc>
              <w:tc>
                <w:tcPr>
                  <w:tcW w:w="518" w:type="pct"/>
                  <w:tcBorders>
                    <w:tl2br w:val="nil"/>
                    <w:tr2bl w:val="nil"/>
                  </w:tcBorders>
                  <w:noWrap/>
                  <w:vAlign w:val="center"/>
                </w:tcPr>
                <w:p w14:paraId="2740F09B">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2次</w:t>
                  </w:r>
                </w:p>
              </w:tc>
              <w:tc>
                <w:tcPr>
                  <w:tcW w:w="626" w:type="pct"/>
                  <w:tcBorders>
                    <w:tl2br w:val="nil"/>
                    <w:tr2bl w:val="nil"/>
                  </w:tcBorders>
                  <w:noWrap/>
                  <w:vAlign w:val="center"/>
                </w:tcPr>
                <w:p w14:paraId="3AF89EB4">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停止生产及时检修</w:t>
                  </w:r>
                </w:p>
              </w:tc>
            </w:tr>
          </w:tbl>
          <w:p w14:paraId="3D4AA12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2、</w:t>
            </w:r>
            <w:r>
              <w:rPr>
                <w:rFonts w:hint="default" w:ascii="Times New Roman" w:hAnsi="Times New Roman" w:eastAsia="宋体" w:cs="Times New Roman"/>
                <w:bCs/>
                <w:color w:val="auto"/>
                <w:spacing w:val="-10"/>
                <w:sz w:val="24"/>
                <w:szCs w:val="24"/>
                <w:lang w:val="en-US" w:eastAsia="zh-CN"/>
              </w:rPr>
              <w:t>治理设施</w:t>
            </w:r>
          </w:p>
          <w:p w14:paraId="2B063186">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eastAsia"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eastAsia="宋体" w:cs="Times New Roman"/>
                <w:color w:val="auto"/>
                <w:sz w:val="24"/>
                <w:szCs w:val="24"/>
              </w:rPr>
              <w:t>采取</w:t>
            </w:r>
            <w:r>
              <w:rPr>
                <w:rFonts w:hint="eastAsia" w:ascii="Times New Roman" w:hAnsi="Times New Roman" w:eastAsia="宋体" w:cs="Times New Roman"/>
                <w:color w:val="auto"/>
                <w:sz w:val="24"/>
                <w:szCs w:val="24"/>
                <w:lang w:val="en-US" w:eastAsia="zh-CN"/>
              </w:rPr>
              <w:t>密闭投料</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可使颗粒物无组织排放量减少90%。</w:t>
            </w:r>
            <w:r>
              <w:rPr>
                <w:rFonts w:hint="default" w:ascii="Times New Roman" w:hAnsi="Times New Roman" w:eastAsia="宋体" w:cs="Times New Roman"/>
                <w:bCs/>
                <w:color w:val="auto"/>
                <w:spacing w:val="-10"/>
                <w:sz w:val="24"/>
                <w:szCs w:val="24"/>
                <w:lang w:val="en-US" w:eastAsia="zh-CN"/>
              </w:rPr>
              <w:t>本项目</w:t>
            </w:r>
            <w:r>
              <w:rPr>
                <w:rFonts w:hint="eastAsia" w:cs="Times New Roman"/>
                <w:bCs/>
                <w:color w:val="auto"/>
                <w:spacing w:val="-10"/>
                <w:sz w:val="24"/>
                <w:szCs w:val="24"/>
                <w:lang w:val="en-US" w:eastAsia="zh-CN"/>
              </w:rPr>
              <w:t>锅</w:t>
            </w:r>
            <w:r>
              <w:rPr>
                <w:rFonts w:hint="default" w:ascii="Times New Roman" w:hAnsi="Times New Roman" w:eastAsia="宋体" w:cs="Times New Roman"/>
                <w:bCs/>
                <w:color w:val="auto"/>
                <w:spacing w:val="-10"/>
                <w:sz w:val="24"/>
                <w:szCs w:val="24"/>
                <w:lang w:val="en-US" w:eastAsia="zh-CN"/>
              </w:rPr>
              <w:t>炉配设1台</w:t>
            </w:r>
            <w:r>
              <w:rPr>
                <w:rFonts w:hint="eastAsia" w:cs="Times New Roman"/>
                <w:bCs/>
                <w:color w:val="auto"/>
                <w:spacing w:val="-10"/>
                <w:sz w:val="24"/>
                <w:szCs w:val="24"/>
                <w:lang w:val="en-US" w:eastAsia="zh-CN"/>
              </w:rPr>
              <w:t>多管除尘器+</w:t>
            </w:r>
            <w:r>
              <w:rPr>
                <w:rFonts w:hint="default" w:ascii="Times New Roman" w:hAnsi="Times New Roman" w:eastAsia="宋体" w:cs="Times New Roman"/>
                <w:bCs/>
                <w:color w:val="auto"/>
                <w:spacing w:val="-10"/>
                <w:sz w:val="24"/>
                <w:szCs w:val="24"/>
                <w:lang w:val="en-US" w:eastAsia="zh-CN"/>
              </w:rPr>
              <w:t>布袋除尘器</w:t>
            </w:r>
            <w:r>
              <w:rPr>
                <w:rFonts w:hint="eastAsia" w:cs="Times New Roman"/>
                <w:bCs/>
                <w:color w:val="auto"/>
                <w:spacing w:val="-10"/>
                <w:sz w:val="24"/>
                <w:szCs w:val="24"/>
                <w:lang w:val="en-US" w:eastAsia="zh-CN"/>
              </w:rPr>
              <w:t>+低氮燃烧器</w:t>
            </w:r>
            <w:r>
              <w:rPr>
                <w:rFonts w:hint="default" w:ascii="Times New Roman" w:hAnsi="Times New Roman" w:eastAsia="宋体" w:cs="Times New Roman"/>
                <w:bCs/>
                <w:color w:val="auto"/>
                <w:spacing w:val="-10"/>
                <w:sz w:val="24"/>
                <w:szCs w:val="24"/>
                <w:lang w:val="en-US" w:eastAsia="zh-CN"/>
              </w:rPr>
              <w:t>，烟气经</w:t>
            </w:r>
            <w:r>
              <w:rPr>
                <w:rFonts w:hint="eastAsia" w:cs="Times New Roman"/>
                <w:bCs/>
                <w:color w:val="auto"/>
                <w:spacing w:val="-10"/>
                <w:sz w:val="24"/>
                <w:szCs w:val="24"/>
                <w:lang w:val="en-US" w:eastAsia="zh-CN"/>
              </w:rPr>
              <w:t>低氮燃烧后经过多管+</w:t>
            </w:r>
            <w:r>
              <w:rPr>
                <w:rFonts w:hint="default" w:ascii="Times New Roman" w:hAnsi="Times New Roman" w:eastAsia="宋体" w:cs="Times New Roman"/>
                <w:bCs/>
                <w:color w:val="auto"/>
                <w:spacing w:val="-10"/>
                <w:sz w:val="24"/>
                <w:szCs w:val="24"/>
                <w:lang w:val="en-US" w:eastAsia="zh-CN"/>
              </w:rPr>
              <w:t>布袋除尘器净化处理后由15m高烟囱排放。</w:t>
            </w:r>
            <w:r>
              <w:rPr>
                <w:rFonts w:hint="eastAsia"/>
                <w:color w:val="auto"/>
                <w:sz w:val="24"/>
              </w:rPr>
              <w:t>根据</w:t>
            </w:r>
            <w:r>
              <w:rPr>
                <w:color w:val="auto"/>
                <w:sz w:val="24"/>
              </w:rPr>
              <w:t>《</w:t>
            </w:r>
            <w:r>
              <w:rPr>
                <w:rFonts w:hint="eastAsia"/>
                <w:color w:val="auto"/>
                <w:sz w:val="24"/>
              </w:rPr>
              <w:t>排污许可证申请与核发技术规范 锅炉</w:t>
            </w:r>
            <w:r>
              <w:rPr>
                <w:color w:val="auto"/>
                <w:sz w:val="24"/>
              </w:rPr>
              <w:t>》</w:t>
            </w:r>
            <w:r>
              <w:rPr>
                <w:rFonts w:hint="eastAsia"/>
                <w:color w:val="auto"/>
                <w:sz w:val="24"/>
              </w:rPr>
              <w:t>（</w:t>
            </w:r>
            <w:r>
              <w:rPr>
                <w:color w:val="auto"/>
                <w:sz w:val="24"/>
              </w:rPr>
              <w:t>HJ</w:t>
            </w:r>
            <w:r>
              <w:rPr>
                <w:rFonts w:hint="eastAsia"/>
                <w:color w:val="auto"/>
                <w:sz w:val="24"/>
              </w:rPr>
              <w:t>953</w:t>
            </w:r>
            <w:r>
              <w:rPr>
                <w:color w:val="auto"/>
                <w:sz w:val="24"/>
              </w:rPr>
              <w:t>-201</w:t>
            </w:r>
            <w:r>
              <w:rPr>
                <w:rFonts w:hint="eastAsia"/>
                <w:color w:val="auto"/>
                <w:sz w:val="24"/>
              </w:rPr>
              <w:t>8）</w:t>
            </w:r>
            <w:r>
              <w:rPr>
                <w:color w:val="auto"/>
                <w:sz w:val="24"/>
              </w:rPr>
              <w:t>的可行技术要求</w:t>
            </w:r>
            <w:r>
              <w:rPr>
                <w:rFonts w:hint="eastAsia"/>
                <w:color w:val="auto"/>
                <w:sz w:val="24"/>
                <w:lang w:eastAsia="zh-CN"/>
              </w:rPr>
              <w:t>，</w:t>
            </w:r>
            <w:r>
              <w:rPr>
                <w:rFonts w:hint="eastAsia"/>
                <w:color w:val="auto"/>
                <w:sz w:val="24"/>
                <w:lang w:val="en-US" w:eastAsia="zh-CN"/>
              </w:rPr>
              <w:t>燃气锅炉氮氧化物可行性技术为“低氮燃烧技术、低氮燃烧+SCR脱硝技术”，本项目锅炉自带低氮燃烧器，为可行性技术。由于本项目燃料为生物质气，防止生物质燃料燃烧后颗粒物含量超标，本项目选择了多管除尘器+布袋除尘器，保证颗粒物排放浓度满足</w:t>
            </w:r>
            <w:r>
              <w:rPr>
                <w:rFonts w:hint="default" w:ascii="Times New Roman" w:hAnsi="Times New Roman" w:eastAsia="宋体" w:cs="Times New Roman"/>
                <w:color w:val="auto"/>
                <w:sz w:val="24"/>
                <w:highlight w:val="none"/>
              </w:rPr>
              <w:t>《锅炉大气污染物排放标准》（GB13271-2014）中表</w:t>
            </w:r>
            <w:r>
              <w:rPr>
                <w:rFonts w:hint="eastAsia"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燃气锅炉标准</w:t>
            </w:r>
            <w:r>
              <w:rPr>
                <w:rFonts w:hint="eastAsia" w:ascii="Times New Roman" w:hAnsi="Times New Roman" w:eastAsia="宋体" w:cs="Times New Roman"/>
                <w:color w:val="auto"/>
                <w:sz w:val="24"/>
                <w:highlight w:val="none"/>
                <w:lang w:eastAsia="zh-CN"/>
              </w:rPr>
              <w:t>。</w:t>
            </w:r>
          </w:p>
          <w:p w14:paraId="1A11DCF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（3）排放口基本信息</w:t>
            </w:r>
          </w:p>
          <w:p w14:paraId="3A4FFB4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本项目排放口情况见下表：</w:t>
            </w:r>
          </w:p>
          <w:p w14:paraId="642C9C9B">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排气口基本情况一览表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947"/>
              <w:gridCol w:w="1021"/>
              <w:gridCol w:w="1030"/>
              <w:gridCol w:w="929"/>
              <w:gridCol w:w="929"/>
              <w:gridCol w:w="929"/>
              <w:gridCol w:w="929"/>
              <w:gridCol w:w="935"/>
            </w:tblGrid>
            <w:tr w14:paraId="0B5AA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vMerge w:val="restart"/>
                  <w:tcBorders>
                    <w:tl2br w:val="nil"/>
                    <w:tr2bl w:val="nil"/>
                  </w:tcBorders>
                  <w:noWrap w:val="0"/>
                  <w:vAlign w:val="center"/>
                </w:tcPr>
                <w:p w14:paraId="49C5687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编号</w:t>
                  </w:r>
                </w:p>
              </w:tc>
              <w:tc>
                <w:tcPr>
                  <w:tcW w:w="563" w:type="pct"/>
                  <w:vMerge w:val="restart"/>
                  <w:tcBorders>
                    <w:tl2br w:val="nil"/>
                    <w:tr2bl w:val="nil"/>
                  </w:tcBorders>
                  <w:noWrap w:val="0"/>
                  <w:vAlign w:val="center"/>
                </w:tcPr>
                <w:p w14:paraId="106CF61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名称</w:t>
                  </w:r>
                </w:p>
              </w:tc>
              <w:tc>
                <w:tcPr>
                  <w:tcW w:w="1219" w:type="pct"/>
                  <w:gridSpan w:val="2"/>
                  <w:tcBorders>
                    <w:tl2br w:val="nil"/>
                    <w:tr2bl w:val="nil"/>
                  </w:tcBorders>
                  <w:noWrap w:val="0"/>
                  <w:vAlign w:val="center"/>
                </w:tcPr>
                <w:p w14:paraId="23A2F29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排气筒底部中心坐标</w:t>
                  </w:r>
                </w:p>
              </w:tc>
              <w:tc>
                <w:tcPr>
                  <w:tcW w:w="552" w:type="pct"/>
                  <w:vMerge w:val="restart"/>
                  <w:tcBorders>
                    <w:tl2br w:val="nil"/>
                    <w:tr2bl w:val="nil"/>
                  </w:tcBorders>
                  <w:noWrap w:val="0"/>
                  <w:vAlign w:val="center"/>
                </w:tcPr>
                <w:p w14:paraId="686260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排气筒高度（m）</w:t>
                  </w:r>
                </w:p>
              </w:tc>
              <w:tc>
                <w:tcPr>
                  <w:tcW w:w="552" w:type="pct"/>
                  <w:vMerge w:val="restart"/>
                  <w:tcBorders>
                    <w:tl2br w:val="nil"/>
                    <w:tr2bl w:val="nil"/>
                  </w:tcBorders>
                  <w:noWrap w:val="0"/>
                  <w:vAlign w:val="center"/>
                </w:tcPr>
                <w:p w14:paraId="1F5108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排气筒出口</w:t>
                  </w:r>
                  <w:r>
                    <w:rPr>
                      <w:rFonts w:hint="eastAsia" w:cs="Times New Roman"/>
                      <w:b w:val="0"/>
                      <w:bCs w:val="0"/>
                      <w:i w:val="0"/>
                      <w:iCs w:val="0"/>
                      <w:color w:val="auto"/>
                      <w:spacing w:val="0"/>
                      <w:kern w:val="0"/>
                      <w:sz w:val="21"/>
                      <w:szCs w:val="21"/>
                      <w:lang w:val="en-US" w:eastAsia="zh-CN"/>
                    </w:rPr>
                    <w:t>内径</w:t>
                  </w:r>
                  <w:r>
                    <w:rPr>
                      <w:rFonts w:hint="default" w:ascii="Times New Roman" w:hAnsi="Times New Roman" w:eastAsia="宋体" w:cs="Times New Roman"/>
                      <w:b w:val="0"/>
                      <w:bCs w:val="0"/>
                      <w:i w:val="0"/>
                      <w:iCs w:val="0"/>
                      <w:color w:val="auto"/>
                      <w:spacing w:val="0"/>
                      <w:kern w:val="0"/>
                      <w:sz w:val="21"/>
                      <w:szCs w:val="21"/>
                      <w:lang w:val="en-US" w:eastAsia="zh-CN"/>
                    </w:rPr>
                    <w:t>（m）</w:t>
                  </w:r>
                </w:p>
              </w:tc>
              <w:tc>
                <w:tcPr>
                  <w:tcW w:w="552" w:type="pct"/>
                  <w:vMerge w:val="restart"/>
                  <w:tcBorders>
                    <w:tl2br w:val="nil"/>
                    <w:tr2bl w:val="nil"/>
                  </w:tcBorders>
                  <w:noWrap w:val="0"/>
                  <w:vAlign w:val="center"/>
                </w:tcPr>
                <w:p w14:paraId="22886DA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烟气温度（℃）</w:t>
                  </w:r>
                </w:p>
              </w:tc>
              <w:tc>
                <w:tcPr>
                  <w:tcW w:w="552" w:type="pct"/>
                  <w:vMerge w:val="restart"/>
                  <w:tcBorders>
                    <w:tl2br w:val="nil"/>
                    <w:tr2bl w:val="nil"/>
                  </w:tcBorders>
                  <w:noWrap w:val="0"/>
                  <w:vAlign w:val="center"/>
                </w:tcPr>
                <w:p w14:paraId="2CF7463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年排放小时数（h）</w:t>
                  </w:r>
                </w:p>
              </w:tc>
              <w:tc>
                <w:tcPr>
                  <w:tcW w:w="556" w:type="pct"/>
                  <w:vMerge w:val="restart"/>
                  <w:tcBorders>
                    <w:tl2br w:val="nil"/>
                    <w:tr2bl w:val="nil"/>
                  </w:tcBorders>
                  <w:noWrap w:val="0"/>
                  <w:vAlign w:val="center"/>
                </w:tcPr>
                <w:p w14:paraId="11AFCD2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排放工况</w:t>
                  </w:r>
                </w:p>
              </w:tc>
            </w:tr>
            <w:tr w14:paraId="57B01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2" w:type="pct"/>
                  <w:vMerge w:val="continue"/>
                  <w:tcBorders>
                    <w:tl2br w:val="nil"/>
                    <w:tr2bl w:val="nil"/>
                  </w:tcBorders>
                  <w:noWrap w:val="0"/>
                  <w:vAlign w:val="center"/>
                </w:tcPr>
                <w:p w14:paraId="6288A4C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563" w:type="pct"/>
                  <w:vMerge w:val="continue"/>
                  <w:tcBorders>
                    <w:tl2br w:val="nil"/>
                    <w:tr2bl w:val="nil"/>
                  </w:tcBorders>
                  <w:noWrap w:val="0"/>
                  <w:vAlign w:val="center"/>
                </w:tcPr>
                <w:p w14:paraId="30550F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607" w:type="pct"/>
                  <w:tcBorders>
                    <w:tl2br w:val="nil"/>
                    <w:tr2bl w:val="nil"/>
                  </w:tcBorders>
                  <w:noWrap w:val="0"/>
                  <w:vAlign w:val="center"/>
                </w:tcPr>
                <w:p w14:paraId="4B5022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经度</w:t>
                  </w:r>
                </w:p>
              </w:tc>
              <w:tc>
                <w:tcPr>
                  <w:tcW w:w="612" w:type="pct"/>
                  <w:tcBorders>
                    <w:tl2br w:val="nil"/>
                    <w:tr2bl w:val="nil"/>
                  </w:tcBorders>
                  <w:noWrap w:val="0"/>
                  <w:vAlign w:val="center"/>
                </w:tcPr>
                <w:p w14:paraId="544BE83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纬度</w:t>
                  </w:r>
                </w:p>
              </w:tc>
              <w:tc>
                <w:tcPr>
                  <w:tcW w:w="552" w:type="pct"/>
                  <w:vMerge w:val="continue"/>
                  <w:tcBorders>
                    <w:tl2br w:val="nil"/>
                    <w:tr2bl w:val="nil"/>
                  </w:tcBorders>
                  <w:noWrap w:val="0"/>
                  <w:vAlign w:val="center"/>
                </w:tcPr>
                <w:p w14:paraId="253B599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552" w:type="pct"/>
                  <w:vMerge w:val="continue"/>
                  <w:tcBorders>
                    <w:tl2br w:val="nil"/>
                    <w:tr2bl w:val="nil"/>
                  </w:tcBorders>
                  <w:noWrap w:val="0"/>
                  <w:vAlign w:val="center"/>
                </w:tcPr>
                <w:p w14:paraId="480364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552" w:type="pct"/>
                  <w:vMerge w:val="continue"/>
                  <w:tcBorders>
                    <w:tl2br w:val="nil"/>
                    <w:tr2bl w:val="nil"/>
                  </w:tcBorders>
                  <w:noWrap w:val="0"/>
                  <w:vAlign w:val="center"/>
                </w:tcPr>
                <w:p w14:paraId="7C764D5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552" w:type="pct"/>
                  <w:vMerge w:val="continue"/>
                  <w:tcBorders>
                    <w:tl2br w:val="nil"/>
                    <w:tr2bl w:val="nil"/>
                  </w:tcBorders>
                  <w:noWrap w:val="0"/>
                  <w:vAlign w:val="center"/>
                </w:tcPr>
                <w:p w14:paraId="735BFE6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556" w:type="pct"/>
                  <w:vMerge w:val="continue"/>
                  <w:tcBorders>
                    <w:tl2br w:val="nil"/>
                    <w:tr2bl w:val="nil"/>
                  </w:tcBorders>
                  <w:noWrap w:val="0"/>
                  <w:vAlign w:val="center"/>
                </w:tcPr>
                <w:p w14:paraId="58F5971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r>
            <w:tr w14:paraId="6F4C6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52" w:type="pct"/>
                  <w:tcBorders>
                    <w:tl2br w:val="nil"/>
                    <w:tr2bl w:val="nil"/>
                  </w:tcBorders>
                  <w:noWrap w:val="0"/>
                  <w:vAlign w:val="center"/>
                </w:tcPr>
                <w:p w14:paraId="68E558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DA</w:t>
                  </w:r>
                </w:p>
                <w:p w14:paraId="45D9BF2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001</w:t>
                  </w:r>
                </w:p>
              </w:tc>
              <w:tc>
                <w:tcPr>
                  <w:tcW w:w="563" w:type="pct"/>
                  <w:tcBorders>
                    <w:tl2br w:val="nil"/>
                    <w:tr2bl w:val="nil"/>
                  </w:tcBorders>
                  <w:noWrap w:val="0"/>
                  <w:vAlign w:val="center"/>
                </w:tcPr>
                <w:p w14:paraId="234F602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锅</w:t>
                  </w:r>
                  <w:r>
                    <w:rPr>
                      <w:rFonts w:hint="default" w:ascii="Times New Roman" w:hAnsi="Times New Roman" w:eastAsia="宋体" w:cs="Times New Roman"/>
                      <w:b w:val="0"/>
                      <w:bCs w:val="0"/>
                      <w:i w:val="0"/>
                      <w:iCs w:val="0"/>
                      <w:color w:val="auto"/>
                      <w:spacing w:val="0"/>
                      <w:kern w:val="0"/>
                      <w:sz w:val="21"/>
                      <w:szCs w:val="21"/>
                      <w:lang w:val="en-US" w:eastAsia="zh-CN"/>
                    </w:rPr>
                    <w:t>炉烟囱</w:t>
                  </w:r>
                </w:p>
              </w:tc>
              <w:tc>
                <w:tcPr>
                  <w:tcW w:w="607" w:type="pct"/>
                  <w:tcBorders>
                    <w:tl2br w:val="nil"/>
                    <w:tr2bl w:val="nil"/>
                  </w:tcBorders>
                  <w:noWrap w:val="0"/>
                  <w:vAlign w:val="center"/>
                </w:tcPr>
                <w:p w14:paraId="65C03C3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rPr>
                    <w:t>130.47803272</w:t>
                  </w:r>
                </w:p>
              </w:tc>
              <w:tc>
                <w:tcPr>
                  <w:tcW w:w="612" w:type="pct"/>
                  <w:tcBorders>
                    <w:tl2br w:val="nil"/>
                    <w:tr2bl w:val="nil"/>
                  </w:tcBorders>
                  <w:noWrap w:val="0"/>
                  <w:vAlign w:val="center"/>
                </w:tcPr>
                <w:p w14:paraId="39F4C5A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rPr>
                    <w:t>48.86368214</w:t>
                  </w:r>
                </w:p>
              </w:tc>
              <w:tc>
                <w:tcPr>
                  <w:tcW w:w="552" w:type="pct"/>
                  <w:tcBorders>
                    <w:tl2br w:val="nil"/>
                    <w:tr2bl w:val="nil"/>
                  </w:tcBorders>
                  <w:noWrap w:val="0"/>
                  <w:vAlign w:val="center"/>
                </w:tcPr>
                <w:p w14:paraId="0062896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15</w:t>
                  </w:r>
                </w:p>
              </w:tc>
              <w:tc>
                <w:tcPr>
                  <w:tcW w:w="552" w:type="pct"/>
                  <w:tcBorders>
                    <w:tl2br w:val="nil"/>
                    <w:tr2bl w:val="nil"/>
                  </w:tcBorders>
                  <w:noWrap w:val="0"/>
                  <w:vAlign w:val="center"/>
                </w:tcPr>
                <w:p w14:paraId="1FC558B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0.5</w:t>
                  </w:r>
                </w:p>
              </w:tc>
              <w:tc>
                <w:tcPr>
                  <w:tcW w:w="552" w:type="pct"/>
                  <w:tcBorders>
                    <w:tl2br w:val="nil"/>
                    <w:tr2bl w:val="nil"/>
                  </w:tcBorders>
                  <w:noWrap w:val="0"/>
                  <w:vAlign w:val="center"/>
                </w:tcPr>
                <w:p w14:paraId="786A3AB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w:t>
                  </w:r>
                  <w:r>
                    <w:rPr>
                      <w:rFonts w:hint="default" w:ascii="Times New Roman" w:hAnsi="Times New Roman" w:eastAsia="宋体" w:cs="Times New Roman"/>
                      <w:b w:val="0"/>
                      <w:bCs w:val="0"/>
                      <w:i w:val="0"/>
                      <w:iCs w:val="0"/>
                      <w:color w:val="auto"/>
                      <w:spacing w:val="0"/>
                      <w:kern w:val="0"/>
                      <w:sz w:val="21"/>
                      <w:szCs w:val="21"/>
                      <w:lang w:val="en-US" w:eastAsia="zh-CN"/>
                    </w:rPr>
                    <w:t>5</w:t>
                  </w:r>
                </w:p>
              </w:tc>
              <w:tc>
                <w:tcPr>
                  <w:tcW w:w="552" w:type="pct"/>
                  <w:tcBorders>
                    <w:tl2br w:val="nil"/>
                    <w:tr2bl w:val="nil"/>
                  </w:tcBorders>
                  <w:noWrap w:val="0"/>
                  <w:vAlign w:val="center"/>
                </w:tcPr>
                <w:p w14:paraId="2A16F76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8000</w:t>
                  </w:r>
                </w:p>
              </w:tc>
              <w:tc>
                <w:tcPr>
                  <w:tcW w:w="556" w:type="pct"/>
                  <w:tcBorders>
                    <w:tl2br w:val="nil"/>
                    <w:tr2bl w:val="nil"/>
                  </w:tcBorders>
                  <w:noWrap w:val="0"/>
                  <w:vAlign w:val="center"/>
                </w:tcPr>
                <w:p w14:paraId="680CA42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正常</w:t>
                  </w:r>
                </w:p>
              </w:tc>
            </w:tr>
          </w:tbl>
          <w:p w14:paraId="7125F8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u w:val="none" w:color="000000"/>
                <w:lang w:val="en-US" w:eastAsia="zh-CN" w:bidi="ar-SA"/>
              </w:rPr>
            </w:pPr>
            <w:r>
              <w:rPr>
                <w:rFonts w:hint="eastAsia" w:ascii="Times New Roman" w:hAnsi="Times New Roman" w:eastAsia="宋体" w:cs="Times New Roman"/>
                <w:color w:val="auto"/>
                <w:kern w:val="0"/>
                <w:sz w:val="24"/>
                <w:szCs w:val="24"/>
                <w:highlight w:val="none"/>
                <w:u w:val="none" w:color="000000"/>
                <w:lang w:val="en-US" w:eastAsia="zh-CN" w:bidi="ar-SA"/>
              </w:rPr>
              <w:t>项目排气筒高度设置合理性分析：</w:t>
            </w:r>
          </w:p>
          <w:p w14:paraId="75777305">
            <w:pPr>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szCs w:val="24"/>
                <w:highlight w:val="none"/>
                <w:u w:val="none" w:color="000000"/>
                <w:lang w:val="en-US" w:eastAsia="zh-CN" w:bidi="ar-SA"/>
              </w:rPr>
              <w:t>根据</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cs="Times New Roman"/>
                <w:color w:val="auto"/>
                <w:kern w:val="0"/>
                <w:sz w:val="24"/>
                <w:szCs w:val="24"/>
                <w:highlight w:val="none"/>
                <w:u w:val="none" w:color="000000"/>
                <w:lang w:val="en-US" w:eastAsia="zh-CN" w:bidi="ar-SA"/>
              </w:rPr>
              <w:t>锅炉</w:t>
            </w:r>
            <w:r>
              <w:rPr>
                <w:rFonts w:hint="default" w:ascii="Times New Roman" w:hAnsi="Times New Roman" w:eastAsia="宋体" w:cs="Times New Roman"/>
                <w:color w:val="auto"/>
                <w:kern w:val="0"/>
                <w:sz w:val="24"/>
                <w:szCs w:val="24"/>
                <w:highlight w:val="none"/>
                <w:u w:val="none" w:color="000000"/>
                <w:lang w:val="en-US" w:eastAsia="zh-CN" w:bidi="ar-SA"/>
              </w:rPr>
              <w:t>大气污染物排放标准》（GB9078-1996）</w:t>
            </w:r>
            <w:r>
              <w:rPr>
                <w:rFonts w:hint="eastAsia"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燃气锅炉</w:t>
            </w:r>
            <w:r>
              <w:rPr>
                <w:rFonts w:hint="eastAsia" w:ascii="Times New Roman" w:hAnsi="Times New Roman" w:eastAsia="宋体" w:cs="Times New Roman"/>
                <w:color w:val="auto"/>
                <w:kern w:val="0"/>
                <w:sz w:val="24"/>
                <w:szCs w:val="24"/>
                <w:highlight w:val="none"/>
                <w:u w:val="none" w:color="000000"/>
                <w:lang w:val="en-US" w:eastAsia="zh-CN" w:bidi="ar-SA"/>
              </w:rPr>
              <w:t>烟囱最低允许高度为</w:t>
            </w:r>
            <w:r>
              <w:rPr>
                <w:rFonts w:hint="eastAsia" w:cs="Times New Roman"/>
                <w:color w:val="auto"/>
                <w:kern w:val="0"/>
                <w:sz w:val="24"/>
                <w:szCs w:val="24"/>
                <w:highlight w:val="none"/>
                <w:u w:val="none" w:color="000000"/>
                <w:lang w:val="en-US" w:eastAsia="zh-CN" w:bidi="ar-SA"/>
              </w:rPr>
              <w:t>8</w:t>
            </w:r>
            <w:r>
              <w:rPr>
                <w:rFonts w:hint="eastAsia" w:ascii="Times New Roman" w:hAnsi="Times New Roman" w:eastAsia="宋体" w:cs="Times New Roman"/>
                <w:color w:val="auto"/>
                <w:kern w:val="0"/>
                <w:sz w:val="24"/>
                <w:szCs w:val="24"/>
                <w:highlight w:val="none"/>
                <w:u w:val="none" w:color="000000"/>
                <w:lang w:val="en-US" w:eastAsia="zh-CN" w:bidi="ar-SA"/>
              </w:rPr>
              <w:t>m，当烟囱</w:t>
            </w:r>
            <w:r>
              <w:rPr>
                <w:rFonts w:hint="eastAsia"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或排</w:t>
            </w:r>
            <w:r>
              <w:rPr>
                <w:rFonts w:hint="eastAsia" w:cs="Times New Roman"/>
                <w:color w:val="auto"/>
                <w:kern w:val="0"/>
                <w:sz w:val="24"/>
                <w:szCs w:val="24"/>
                <w:highlight w:val="none"/>
                <w:u w:val="none" w:color="000000"/>
                <w:lang w:val="en-US" w:eastAsia="zh-CN" w:bidi="ar-SA"/>
              </w:rPr>
              <w:t>气筒）</w:t>
            </w:r>
            <w:r>
              <w:rPr>
                <w:rFonts w:hint="eastAsia" w:ascii="Times New Roman" w:hAnsi="Times New Roman" w:eastAsia="宋体" w:cs="Times New Roman"/>
                <w:color w:val="auto"/>
                <w:kern w:val="0"/>
                <w:sz w:val="24"/>
                <w:szCs w:val="24"/>
                <w:highlight w:val="none"/>
                <w:u w:val="none" w:color="000000"/>
                <w:lang w:val="en-US" w:eastAsia="zh-CN" w:bidi="ar-SA"/>
              </w:rPr>
              <w:t>周围半径200m距离内有建筑物时，应高出最高建筑物3m以上，本项目排气筒高度15m，周边200米范围内无12m以上建筑，因此本项目符合排气筒设置规范。</w:t>
            </w:r>
          </w:p>
          <w:p w14:paraId="4F33FEF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（4）排放标准</w:t>
            </w:r>
          </w:p>
          <w:p w14:paraId="690D99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color w:val="auto"/>
                <w:sz w:val="24"/>
                <w:szCs w:val="24"/>
                <w:lang w:val="en-US" w:eastAsia="zh-CN"/>
              </w:rPr>
              <w:t>本项目运营期颗粒物无组织排放执行《大气污染物综合排放标准》（GB16297-1996）表2中无组织排放浓度监控限值要求</w:t>
            </w:r>
            <w:r>
              <w:rPr>
                <w:rFonts w:hint="eastAsia" w:cs="Times New Roman"/>
                <w:color w:val="auto"/>
                <w:sz w:val="24"/>
                <w:szCs w:val="24"/>
                <w:lang w:val="en-US" w:eastAsia="zh-CN"/>
              </w:rPr>
              <w:t>，锅炉烟气污染物排放浓度符合《锅炉大气污染物排放标准》（GB13271-2014）中表2燃气锅炉标准</w:t>
            </w:r>
            <w:r>
              <w:rPr>
                <w:rFonts w:hint="default" w:ascii="Times New Roman" w:hAnsi="Times New Roman" w:eastAsia="宋体" w:cs="Times New Roman"/>
                <w:color w:val="auto"/>
                <w:lang w:val="en-US" w:eastAsia="zh-CN"/>
              </w:rPr>
              <w:t>。</w:t>
            </w:r>
          </w:p>
          <w:p w14:paraId="5C98CA3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监测要求</w:t>
            </w:r>
          </w:p>
          <w:p w14:paraId="3D23CEE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lang w:val="en-US" w:eastAsia="zh-CN"/>
              </w:rPr>
              <w:t>本项目运营期大气污染源监测要求</w:t>
            </w:r>
            <w:r>
              <w:rPr>
                <w:rFonts w:hint="default" w:ascii="Times New Roman" w:hAnsi="Times New Roman" w:eastAsia="宋体" w:cs="Times New Roman"/>
                <w:color w:val="auto"/>
                <w:spacing w:val="-5"/>
                <w:sz w:val="24"/>
                <w:szCs w:val="21"/>
                <w:highlight w:val="none"/>
              </w:rPr>
              <w:t>根据《排污单位自行监测技术指南 总则》（HJ819-2017）和</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rPr>
              <w:fldChar w:fldCharType="begin"/>
            </w:r>
            <w:r>
              <w:rPr>
                <w:rFonts w:hint="default" w:ascii="Times New Roman" w:hAnsi="Times New Roman" w:eastAsia="宋体" w:cs="Times New Roman"/>
                <w:color w:val="auto"/>
                <w:kern w:val="0"/>
                <w:sz w:val="24"/>
                <w:highlight w:val="none"/>
              </w:rPr>
              <w:instrText xml:space="preserve"> HYPERLINK "http://kjs.mep.gov.cn/hjbhbz/bzwb/shjbh/xgbzh/201705/W020170511332490849000.pdf" </w:instrText>
            </w:r>
            <w:r>
              <w:rPr>
                <w:rFonts w:hint="default" w:ascii="Times New Roman" w:hAnsi="Times New Roman" w:eastAsia="宋体" w:cs="Times New Roman"/>
                <w:color w:val="auto"/>
                <w:kern w:val="0"/>
                <w:sz w:val="24"/>
                <w:highlight w:val="none"/>
              </w:rPr>
              <w:fldChar w:fldCharType="separate"/>
            </w:r>
            <w:r>
              <w:rPr>
                <w:rFonts w:hint="default" w:ascii="Times New Roman" w:hAnsi="Times New Roman" w:eastAsia="宋体" w:cs="Times New Roman"/>
                <w:color w:val="auto"/>
                <w:kern w:val="0"/>
                <w:sz w:val="24"/>
                <w:highlight w:val="none"/>
              </w:rPr>
              <w:t>排污单位自行监测技术指南火力发电及锅炉》（HJ820-2017）</w:t>
            </w:r>
            <w:r>
              <w:rPr>
                <w:rFonts w:hint="default" w:ascii="Times New Roman" w:hAnsi="Times New Roman" w:eastAsia="宋体" w:cs="Times New Roman"/>
                <w:color w:val="auto"/>
                <w:kern w:val="0"/>
                <w:sz w:val="24"/>
                <w:highlight w:val="none"/>
              </w:rPr>
              <w:fldChar w:fldCharType="end"/>
            </w:r>
            <w:r>
              <w:rPr>
                <w:rFonts w:hint="default" w:ascii="Times New Roman" w:hAnsi="Times New Roman" w:eastAsia="宋体" w:cs="Times New Roman"/>
                <w:bCs/>
                <w:color w:val="auto"/>
                <w:spacing w:val="-10"/>
                <w:sz w:val="24"/>
                <w:szCs w:val="24"/>
                <w:lang w:val="en-US" w:eastAsia="zh-CN"/>
              </w:rPr>
              <w:t>自行监测管理要求执行。</w:t>
            </w:r>
          </w:p>
          <w:p w14:paraId="78C4D889">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大气污染源监测要求信息表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1"/>
              <w:gridCol w:w="1867"/>
              <w:gridCol w:w="3264"/>
              <w:gridCol w:w="1177"/>
            </w:tblGrid>
            <w:tr w14:paraId="2478E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9" w:type="pct"/>
                  <w:vMerge w:val="restart"/>
                  <w:tcBorders>
                    <w:tl2br w:val="nil"/>
                    <w:tr2bl w:val="nil"/>
                  </w:tcBorders>
                  <w:noWrap w:val="0"/>
                  <w:vAlign w:val="center"/>
                </w:tcPr>
                <w:p w14:paraId="2148F5F0">
                  <w:pPr>
                    <w:pStyle w:val="2"/>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污染源名称</w:t>
                  </w:r>
                </w:p>
              </w:tc>
              <w:tc>
                <w:tcPr>
                  <w:tcW w:w="1110" w:type="pct"/>
                  <w:vMerge w:val="restart"/>
                  <w:tcBorders>
                    <w:tl2br w:val="nil"/>
                    <w:tr2bl w:val="nil"/>
                  </w:tcBorders>
                  <w:noWrap w:val="0"/>
                  <w:vAlign w:val="center"/>
                </w:tcPr>
                <w:p w14:paraId="5FFE172B">
                  <w:pPr>
                    <w:pStyle w:val="2"/>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监测点位</w:t>
                  </w:r>
                </w:p>
              </w:tc>
              <w:tc>
                <w:tcPr>
                  <w:tcW w:w="1940" w:type="pct"/>
                  <w:vMerge w:val="restart"/>
                  <w:tcBorders>
                    <w:tl2br w:val="nil"/>
                    <w:tr2bl w:val="nil"/>
                  </w:tcBorders>
                  <w:noWrap w:val="0"/>
                  <w:vAlign w:val="center"/>
                </w:tcPr>
                <w:p w14:paraId="23178B22">
                  <w:pPr>
                    <w:pStyle w:val="2"/>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监测因子</w:t>
                  </w:r>
                </w:p>
              </w:tc>
              <w:tc>
                <w:tcPr>
                  <w:tcW w:w="699" w:type="pct"/>
                  <w:vMerge w:val="restart"/>
                  <w:tcBorders>
                    <w:tl2br w:val="nil"/>
                    <w:tr2bl w:val="nil"/>
                  </w:tcBorders>
                  <w:noWrap w:val="0"/>
                  <w:vAlign w:val="center"/>
                </w:tcPr>
                <w:p w14:paraId="52A4B65A">
                  <w:pPr>
                    <w:pStyle w:val="2"/>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监测频次</w:t>
                  </w:r>
                </w:p>
              </w:tc>
            </w:tr>
            <w:tr w14:paraId="39D99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9" w:type="pct"/>
                  <w:vMerge w:val="continue"/>
                  <w:tcBorders>
                    <w:tl2br w:val="nil"/>
                    <w:tr2bl w:val="nil"/>
                  </w:tcBorders>
                  <w:noWrap w:val="0"/>
                  <w:vAlign w:val="center"/>
                </w:tcPr>
                <w:p w14:paraId="4B40BC48">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110" w:type="pct"/>
                  <w:vMerge w:val="continue"/>
                  <w:tcBorders>
                    <w:tl2br w:val="nil"/>
                    <w:tr2bl w:val="nil"/>
                  </w:tcBorders>
                  <w:noWrap w:val="0"/>
                  <w:vAlign w:val="center"/>
                </w:tcPr>
                <w:p w14:paraId="79C80F63">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40" w:type="pct"/>
                  <w:vMerge w:val="continue"/>
                  <w:tcBorders>
                    <w:tl2br w:val="nil"/>
                    <w:tr2bl w:val="nil"/>
                  </w:tcBorders>
                  <w:noWrap w:val="0"/>
                  <w:vAlign w:val="center"/>
                </w:tcPr>
                <w:p w14:paraId="72CF9FAA">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699" w:type="pct"/>
                  <w:vMerge w:val="continue"/>
                  <w:tcBorders>
                    <w:tl2br w:val="nil"/>
                    <w:tr2bl w:val="nil"/>
                  </w:tcBorders>
                  <w:noWrap w:val="0"/>
                  <w:vAlign w:val="center"/>
                </w:tcPr>
                <w:p w14:paraId="742F1673">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r>
            <w:tr w14:paraId="10157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9" w:type="pct"/>
                  <w:vMerge w:val="restart"/>
                  <w:tcBorders>
                    <w:tl2br w:val="nil"/>
                    <w:tr2bl w:val="nil"/>
                  </w:tcBorders>
                  <w:noWrap w:val="0"/>
                  <w:vAlign w:val="center"/>
                </w:tcPr>
                <w:p w14:paraId="4BEE34B9">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DA001</w:t>
                  </w:r>
                </w:p>
                <w:p w14:paraId="5A76373F">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（有组织排放源）</w:t>
                  </w:r>
                </w:p>
              </w:tc>
              <w:tc>
                <w:tcPr>
                  <w:tcW w:w="1110" w:type="pct"/>
                  <w:vMerge w:val="restart"/>
                  <w:tcBorders>
                    <w:tl2br w:val="nil"/>
                    <w:tr2bl w:val="nil"/>
                  </w:tcBorders>
                  <w:noWrap w:val="0"/>
                  <w:vAlign w:val="center"/>
                </w:tcPr>
                <w:p w14:paraId="1AAA2AD5">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烟囱预留监测孔</w:t>
                  </w:r>
                </w:p>
              </w:tc>
              <w:tc>
                <w:tcPr>
                  <w:tcW w:w="1940" w:type="pct"/>
                  <w:tcBorders>
                    <w:tl2br w:val="nil"/>
                    <w:tr2bl w:val="nil"/>
                  </w:tcBorders>
                  <w:noWrap w:val="0"/>
                  <w:vAlign w:val="center"/>
                </w:tcPr>
                <w:p w14:paraId="756889A4">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颗粒物、二氧化硫、烟气黑度</w:t>
                  </w:r>
                </w:p>
              </w:tc>
              <w:tc>
                <w:tcPr>
                  <w:tcW w:w="699" w:type="pct"/>
                  <w:tcBorders>
                    <w:tl2br w:val="nil"/>
                    <w:tr2bl w:val="nil"/>
                  </w:tcBorders>
                  <w:noWrap w:val="0"/>
                  <w:vAlign w:val="center"/>
                </w:tcPr>
                <w:p w14:paraId="21965E50">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14:paraId="0A408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249" w:type="pct"/>
                  <w:vMerge w:val="continue"/>
                  <w:tcBorders>
                    <w:tl2br w:val="nil"/>
                    <w:tr2bl w:val="nil"/>
                  </w:tcBorders>
                  <w:noWrap w:val="0"/>
                  <w:vAlign w:val="center"/>
                </w:tcPr>
                <w:p w14:paraId="3A0FFE94">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110" w:type="pct"/>
                  <w:vMerge w:val="continue"/>
                  <w:tcBorders>
                    <w:tl2br w:val="nil"/>
                    <w:tr2bl w:val="nil"/>
                  </w:tcBorders>
                  <w:noWrap w:val="0"/>
                  <w:vAlign w:val="center"/>
                </w:tcPr>
                <w:p w14:paraId="7A5FC08E">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40" w:type="pct"/>
                  <w:tcBorders>
                    <w:tl2br w:val="nil"/>
                    <w:tr2bl w:val="nil"/>
                  </w:tcBorders>
                  <w:noWrap w:val="0"/>
                  <w:vAlign w:val="center"/>
                </w:tcPr>
                <w:p w14:paraId="68B8CE7A">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氮氧化物</w:t>
                  </w:r>
                </w:p>
              </w:tc>
              <w:tc>
                <w:tcPr>
                  <w:tcW w:w="699" w:type="pct"/>
                  <w:tcBorders>
                    <w:tl2br w:val="nil"/>
                    <w:tr2bl w:val="nil"/>
                  </w:tcBorders>
                  <w:noWrap w:val="0"/>
                  <w:vAlign w:val="center"/>
                </w:tcPr>
                <w:p w14:paraId="2EE1517D">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每月运行期</w:t>
                  </w:r>
                </w:p>
              </w:tc>
            </w:tr>
            <w:tr w14:paraId="06201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9" w:type="pct"/>
                  <w:tcBorders>
                    <w:tl2br w:val="nil"/>
                    <w:tr2bl w:val="nil"/>
                  </w:tcBorders>
                  <w:noWrap w:val="0"/>
                  <w:vAlign w:val="center"/>
                </w:tcPr>
                <w:p w14:paraId="0E7FAF30">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ascii="Times New Roman" w:hAnsi="Times New Roman" w:eastAsia="宋体" w:cs="Times New Roman"/>
                      <w:caps w:val="0"/>
                      <w:snapToGrid w:val="0"/>
                      <w:color w:val="auto"/>
                      <w:kern w:val="0"/>
                      <w:sz w:val="21"/>
                      <w:szCs w:val="21"/>
                      <w:highlight w:val="none"/>
                      <w:lang w:val="en-US" w:eastAsia="zh-CN"/>
                    </w:rPr>
                    <w:t>无组织排放源</w:t>
                  </w:r>
                </w:p>
              </w:tc>
              <w:tc>
                <w:tcPr>
                  <w:tcW w:w="1110" w:type="pct"/>
                  <w:tcBorders>
                    <w:tl2br w:val="nil"/>
                    <w:tr2bl w:val="nil"/>
                  </w:tcBorders>
                  <w:noWrap w:val="0"/>
                  <w:vAlign w:val="center"/>
                </w:tcPr>
                <w:p w14:paraId="291C75ED">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bCs/>
                      <w:color w:val="auto"/>
                      <w:spacing w:val="-10"/>
                      <w:szCs w:val="21"/>
                      <w:lang w:val="en-US" w:eastAsia="zh-CN"/>
                    </w:rPr>
                    <w:t>厂区各边界（共4个监测点）</w:t>
                  </w:r>
                </w:p>
              </w:tc>
              <w:tc>
                <w:tcPr>
                  <w:tcW w:w="1940" w:type="pct"/>
                  <w:tcBorders>
                    <w:tl2br w:val="nil"/>
                    <w:tr2bl w:val="nil"/>
                  </w:tcBorders>
                  <w:noWrap w:val="0"/>
                  <w:vAlign w:val="center"/>
                </w:tcPr>
                <w:p w14:paraId="6B098D99">
                  <w:pPr>
                    <w:pStyle w:val="2"/>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699" w:type="pct"/>
                  <w:tcBorders>
                    <w:tl2br w:val="nil"/>
                    <w:tr2bl w:val="nil"/>
                  </w:tcBorders>
                  <w:noWrap w:val="0"/>
                  <w:vAlign w:val="center"/>
                </w:tcPr>
                <w:p w14:paraId="44F6EC9B">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bl>
          <w:p w14:paraId="1C4E7547">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（6）达标排放</w:t>
            </w:r>
          </w:p>
          <w:p w14:paraId="12F5092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eastAsia" w:cs="Times New Roman"/>
                <w:bCs/>
                <w:color w:val="auto"/>
                <w:spacing w:val="-10"/>
                <w:sz w:val="24"/>
                <w:szCs w:val="24"/>
                <w:lang w:val="en-US" w:eastAsia="zh-CN"/>
              </w:rPr>
              <w:t>锅</w:t>
            </w:r>
            <w:r>
              <w:rPr>
                <w:rFonts w:hint="default" w:ascii="Times New Roman" w:hAnsi="Times New Roman" w:eastAsia="宋体" w:cs="Times New Roman"/>
                <w:bCs/>
                <w:color w:val="auto"/>
                <w:spacing w:val="-10"/>
                <w:sz w:val="24"/>
                <w:szCs w:val="24"/>
                <w:lang w:val="en-US" w:eastAsia="zh-CN"/>
              </w:rPr>
              <w:t>炉</w:t>
            </w:r>
            <w:r>
              <w:rPr>
                <w:rFonts w:hint="eastAsia" w:cs="Times New Roman"/>
                <w:bCs/>
                <w:color w:val="auto"/>
                <w:spacing w:val="-10"/>
                <w:sz w:val="24"/>
                <w:szCs w:val="24"/>
                <w:lang w:val="en-US" w:eastAsia="zh-CN"/>
              </w:rPr>
              <w:t>采用低氮燃烧技术，烟气经多管除尘器+</w:t>
            </w:r>
            <w:r>
              <w:rPr>
                <w:rFonts w:hint="default" w:ascii="Times New Roman" w:hAnsi="Times New Roman" w:eastAsia="宋体" w:cs="Times New Roman"/>
                <w:bCs/>
                <w:color w:val="auto"/>
                <w:spacing w:val="-10"/>
                <w:sz w:val="24"/>
                <w:szCs w:val="24"/>
                <w:lang w:val="en-US" w:eastAsia="zh-CN"/>
              </w:rPr>
              <w:t>布袋除尘器处理后由15m高烟囱排放，本项目污染物排放浓度符合《锅炉大气污染物排放标准》（GB13271-2014）中表2燃气锅炉标准。</w:t>
            </w:r>
            <w:r>
              <w:rPr>
                <w:rFonts w:hint="eastAsia" w:cs="Times New Roman"/>
                <w:bCs/>
                <w:color w:val="auto"/>
                <w:spacing w:val="-10"/>
                <w:sz w:val="24"/>
                <w:szCs w:val="24"/>
                <w:lang w:val="en-US" w:eastAsia="zh-CN"/>
              </w:rPr>
              <w:t>本项目生物质原料上料为密闭上料，厂界无组织颗粒物满足</w:t>
            </w:r>
            <w:r>
              <w:rPr>
                <w:rFonts w:hint="default" w:ascii="Times New Roman" w:hAnsi="Times New Roman" w:eastAsia="宋体" w:cs="Times New Roman"/>
                <w:color w:val="auto"/>
                <w:sz w:val="24"/>
                <w:szCs w:val="24"/>
                <w:lang w:val="en-US" w:eastAsia="zh-CN"/>
              </w:rPr>
              <w:t>执行《大气污染物综合排放标准》（GB16297-1996）表2中无组织排放浓度监控限值要求</w:t>
            </w:r>
            <w:r>
              <w:rPr>
                <w:rFonts w:hint="eastAsia" w:ascii="Times New Roman" w:hAnsi="Times New Roman" w:eastAsia="宋体" w:cs="Times New Roman"/>
                <w:color w:val="auto"/>
                <w:sz w:val="24"/>
                <w:szCs w:val="24"/>
                <w:lang w:val="en-US" w:eastAsia="zh-CN"/>
              </w:rPr>
              <w:t>。</w:t>
            </w:r>
          </w:p>
          <w:p w14:paraId="0AA70E7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综上所述，本项目有组织及无组织形式排放的</w:t>
            </w:r>
            <w:r>
              <w:rPr>
                <w:rFonts w:hint="eastAsia" w:cs="Times New Roman"/>
                <w:bCs/>
                <w:color w:val="auto"/>
                <w:spacing w:val="-10"/>
                <w:sz w:val="24"/>
                <w:szCs w:val="24"/>
                <w:lang w:val="en-US" w:eastAsia="zh-CN"/>
              </w:rPr>
              <w:t>废气</w:t>
            </w:r>
            <w:r>
              <w:rPr>
                <w:rFonts w:hint="default" w:ascii="Times New Roman" w:hAnsi="Times New Roman" w:eastAsia="宋体" w:cs="Times New Roman"/>
                <w:bCs/>
                <w:color w:val="auto"/>
                <w:spacing w:val="-10"/>
                <w:sz w:val="24"/>
                <w:szCs w:val="24"/>
                <w:lang w:val="en-US" w:eastAsia="zh-CN"/>
              </w:rPr>
              <w:t>均可达标排放，且排放量较小，不会</w:t>
            </w:r>
            <w:r>
              <w:rPr>
                <w:rFonts w:hint="eastAsia" w:cs="Times New Roman"/>
                <w:bCs/>
                <w:color w:val="auto"/>
                <w:spacing w:val="-10"/>
                <w:sz w:val="24"/>
                <w:szCs w:val="24"/>
                <w:lang w:val="en-US" w:eastAsia="zh-CN"/>
              </w:rPr>
              <w:t>对</w:t>
            </w:r>
            <w:r>
              <w:rPr>
                <w:rFonts w:hint="default" w:ascii="Times New Roman" w:hAnsi="Times New Roman" w:eastAsia="宋体" w:cs="Times New Roman"/>
                <w:bCs/>
                <w:color w:val="auto"/>
                <w:spacing w:val="-10"/>
                <w:sz w:val="24"/>
                <w:szCs w:val="24"/>
                <w:lang w:val="en-US" w:eastAsia="zh-CN"/>
              </w:rPr>
              <w:t>区域环境空气质量</w:t>
            </w:r>
            <w:r>
              <w:rPr>
                <w:rFonts w:hint="eastAsia" w:cs="Times New Roman"/>
                <w:bCs/>
                <w:color w:val="auto"/>
                <w:spacing w:val="-10"/>
                <w:sz w:val="24"/>
                <w:szCs w:val="24"/>
                <w:lang w:val="en-US" w:eastAsia="zh-CN"/>
              </w:rPr>
              <w:t>造成较大影响，</w:t>
            </w:r>
            <w:r>
              <w:rPr>
                <w:rFonts w:hint="default" w:ascii="Times New Roman" w:hAnsi="Times New Roman" w:eastAsia="宋体" w:cs="Times New Roman"/>
                <w:bCs/>
                <w:color w:val="auto"/>
                <w:spacing w:val="-10"/>
                <w:sz w:val="24"/>
                <w:szCs w:val="24"/>
                <w:lang w:val="en-US" w:eastAsia="zh-CN"/>
              </w:rPr>
              <w:t>可被大气环境所接受。</w:t>
            </w:r>
          </w:p>
          <w:p w14:paraId="32A5F82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cs="Times New Roman"/>
                <w:b/>
                <w:bCs w:val="0"/>
                <w:color w:val="auto"/>
                <w:spacing w:val="-10"/>
                <w:sz w:val="24"/>
                <w:szCs w:val="24"/>
                <w:lang w:val="en-US" w:eastAsia="zh-CN"/>
              </w:rPr>
              <w:t>二</w:t>
            </w:r>
            <w:r>
              <w:rPr>
                <w:rFonts w:hint="default" w:ascii="Times New Roman" w:hAnsi="Times New Roman" w:eastAsia="宋体" w:cs="Times New Roman"/>
                <w:b/>
                <w:bCs w:val="0"/>
                <w:color w:val="auto"/>
                <w:spacing w:val="-10"/>
                <w:sz w:val="24"/>
                <w:szCs w:val="24"/>
                <w:lang w:val="en-US" w:eastAsia="zh-CN"/>
              </w:rPr>
              <w:t>、废水</w:t>
            </w:r>
          </w:p>
          <w:p w14:paraId="58145DBA">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eastAsia" w:cs="Times New Roman"/>
                <w:bCs/>
                <w:color w:val="auto"/>
                <w:spacing w:val="-10"/>
                <w:sz w:val="24"/>
                <w:szCs w:val="24"/>
                <w:lang w:val="en-US" w:eastAsia="zh-CN"/>
              </w:rPr>
            </w:pPr>
            <w:r>
              <w:rPr>
                <w:rFonts w:hint="eastAsia" w:cs="Times New Roman"/>
                <w:bCs/>
                <w:color w:val="auto"/>
                <w:spacing w:val="-10"/>
                <w:sz w:val="24"/>
                <w:szCs w:val="24"/>
                <w:lang w:val="en-US" w:eastAsia="zh-CN"/>
              </w:rPr>
              <w:t>1、源强核算</w:t>
            </w:r>
          </w:p>
          <w:p w14:paraId="77F2E1A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本项目产生的废水为生活污水</w:t>
            </w:r>
            <w:r>
              <w:rPr>
                <w:rFonts w:hint="eastAsia" w:cs="Times New Roman"/>
                <w:bCs/>
                <w:color w:val="auto"/>
                <w:spacing w:val="-10"/>
                <w:sz w:val="24"/>
                <w:szCs w:val="24"/>
                <w:lang w:val="en-US" w:eastAsia="zh-CN"/>
              </w:rPr>
              <w:t>和锅炉排水</w:t>
            </w: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生活污水</w:t>
            </w:r>
            <w:r>
              <w:rPr>
                <w:rFonts w:hint="default" w:ascii="Times New Roman" w:hAnsi="Times New Roman" w:eastAsia="宋体" w:cs="Times New Roman"/>
                <w:bCs/>
                <w:color w:val="auto"/>
                <w:spacing w:val="-10"/>
                <w:sz w:val="24"/>
                <w:szCs w:val="24"/>
                <w:lang w:val="en-US" w:eastAsia="zh-CN"/>
              </w:rPr>
              <w:t>产生量为</w:t>
            </w:r>
            <w:r>
              <w:rPr>
                <w:rFonts w:hint="eastAsia" w:cs="Times New Roman"/>
                <w:color w:val="auto"/>
                <w:kern w:val="0"/>
                <w:sz w:val="24"/>
                <w:szCs w:val="24"/>
                <w:highlight w:val="none"/>
                <w:lang w:val="en-US" w:eastAsia="zh-CN"/>
              </w:rPr>
              <w:t>532.8t/a，生活污</w:t>
            </w:r>
            <w:r>
              <w:rPr>
                <w:rFonts w:hint="default" w:ascii="Times New Roman" w:hAnsi="Times New Roman" w:eastAsia="宋体" w:cs="Times New Roman"/>
                <w:color w:val="auto"/>
                <w:kern w:val="0"/>
                <w:sz w:val="24"/>
                <w:szCs w:val="24"/>
                <w:lang w:val="en-US" w:eastAsia="zh-CN"/>
              </w:rPr>
              <w:t>水污染物浓度为COD 300mg/L、氨氮</w:t>
            </w:r>
            <w:r>
              <w:rPr>
                <w:rFonts w:hint="eastAsia" w:cs="Times New Roman"/>
                <w:color w:val="auto"/>
                <w:kern w:val="0"/>
                <w:sz w:val="24"/>
                <w:szCs w:val="24"/>
                <w:lang w:val="en-US" w:eastAsia="zh-CN"/>
              </w:rPr>
              <w:t>25</w:t>
            </w:r>
            <w:r>
              <w:rPr>
                <w:rFonts w:hint="default" w:ascii="Times New Roman" w:hAnsi="Times New Roman" w:eastAsia="宋体" w:cs="Times New Roman"/>
                <w:color w:val="auto"/>
                <w:kern w:val="0"/>
                <w:sz w:val="24"/>
                <w:szCs w:val="24"/>
                <w:lang w:val="en-US" w:eastAsia="zh-CN"/>
              </w:rPr>
              <w:t>mg/L，</w:t>
            </w:r>
            <w:r>
              <w:rPr>
                <w:rFonts w:hint="eastAsia" w:cs="Times New Roman"/>
                <w:color w:val="auto"/>
                <w:kern w:val="0"/>
                <w:sz w:val="24"/>
                <w:szCs w:val="24"/>
                <w:lang w:val="en-US" w:eastAsia="zh-CN"/>
              </w:rPr>
              <w:t>锅炉排污水及软化水处理废水排放量为7822t/a，COD浓度为100mg/L，全盐量为300mg/L.</w:t>
            </w:r>
          </w:p>
          <w:p w14:paraId="578DFC12">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 xml:space="preserve">  废水污染源源强核算结果及相关参数一览表</w:t>
            </w:r>
          </w:p>
          <w:tbl>
            <w:tblPr>
              <w:tblStyle w:val="29"/>
              <w:tblW w:w="83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7"/>
              <w:gridCol w:w="390"/>
              <w:gridCol w:w="450"/>
              <w:gridCol w:w="705"/>
              <w:gridCol w:w="690"/>
              <w:gridCol w:w="720"/>
              <w:gridCol w:w="1414"/>
              <w:gridCol w:w="431"/>
              <w:gridCol w:w="375"/>
              <w:gridCol w:w="660"/>
              <w:gridCol w:w="697"/>
              <w:gridCol w:w="788"/>
              <w:gridCol w:w="494"/>
            </w:tblGrid>
            <w:tr w14:paraId="4C648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17" w:type="dxa"/>
                  <w:vMerge w:val="restart"/>
                  <w:tcBorders>
                    <w:tl2br w:val="nil"/>
                    <w:tr2bl w:val="nil"/>
                  </w:tcBorders>
                  <w:noWrap w:val="0"/>
                  <w:vAlign w:val="center"/>
                </w:tcPr>
                <w:p w14:paraId="15BFFAE5">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lang w:val="en-US" w:eastAsia="zh-CN"/>
                    </w:rPr>
                    <w:t>排放源</w:t>
                  </w:r>
                </w:p>
              </w:tc>
              <w:tc>
                <w:tcPr>
                  <w:tcW w:w="390" w:type="dxa"/>
                  <w:vMerge w:val="restart"/>
                  <w:tcBorders>
                    <w:tl2br w:val="nil"/>
                    <w:tr2bl w:val="nil"/>
                  </w:tcBorders>
                  <w:noWrap w:val="0"/>
                  <w:vAlign w:val="center"/>
                </w:tcPr>
                <w:p w14:paraId="21A36A2B">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污染物</w:t>
                  </w:r>
                </w:p>
              </w:tc>
              <w:tc>
                <w:tcPr>
                  <w:tcW w:w="2565" w:type="dxa"/>
                  <w:gridSpan w:val="4"/>
                  <w:tcBorders>
                    <w:tl2br w:val="nil"/>
                    <w:tr2bl w:val="nil"/>
                  </w:tcBorders>
                  <w:noWrap w:val="0"/>
                  <w:vAlign w:val="center"/>
                </w:tcPr>
                <w:p w14:paraId="7BB71248">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污染物产生</w:t>
                  </w:r>
                </w:p>
              </w:tc>
              <w:tc>
                <w:tcPr>
                  <w:tcW w:w="1845" w:type="dxa"/>
                  <w:gridSpan w:val="2"/>
                  <w:tcBorders>
                    <w:tl2br w:val="nil"/>
                    <w:tr2bl w:val="nil"/>
                  </w:tcBorders>
                  <w:noWrap w:val="0"/>
                  <w:vAlign w:val="center"/>
                </w:tcPr>
                <w:p w14:paraId="44C591AB">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治理措施</w:t>
                  </w:r>
                </w:p>
              </w:tc>
              <w:tc>
                <w:tcPr>
                  <w:tcW w:w="2520" w:type="dxa"/>
                  <w:gridSpan w:val="4"/>
                  <w:tcBorders>
                    <w:tl2br w:val="nil"/>
                    <w:tr2bl w:val="nil"/>
                  </w:tcBorders>
                  <w:noWrap w:val="0"/>
                  <w:vAlign w:val="center"/>
                </w:tcPr>
                <w:p w14:paraId="7D6DE7C9">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污染物排放</w:t>
                  </w:r>
                </w:p>
              </w:tc>
              <w:tc>
                <w:tcPr>
                  <w:tcW w:w="494" w:type="dxa"/>
                  <w:vMerge w:val="restart"/>
                  <w:tcBorders>
                    <w:tl2br w:val="nil"/>
                    <w:tr2bl w:val="nil"/>
                  </w:tcBorders>
                  <w:noWrap w:val="0"/>
                  <w:vAlign w:val="center"/>
                </w:tcPr>
                <w:p w14:paraId="6EEE9E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w:t>
                  </w:r>
                </w:p>
                <w:p w14:paraId="380355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放</w:t>
                  </w:r>
                </w:p>
                <w:p w14:paraId="779EA6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w:t>
                  </w:r>
                </w:p>
                <w:p w14:paraId="10C52B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w:t>
                  </w:r>
                </w:p>
                <w:p w14:paraId="76451187">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lang w:val="en-US" w:eastAsia="zh-CN"/>
                    </w:rPr>
                    <w:t>h</w:t>
                  </w:r>
                </w:p>
              </w:tc>
            </w:tr>
            <w:tr w14:paraId="092B5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l2br w:val="nil"/>
                    <w:tr2bl w:val="nil"/>
                  </w:tcBorders>
                  <w:noWrap w:val="0"/>
                  <w:vAlign w:val="center"/>
                </w:tcPr>
                <w:p w14:paraId="1B292A2C">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p>
              </w:tc>
              <w:tc>
                <w:tcPr>
                  <w:tcW w:w="390" w:type="dxa"/>
                  <w:vMerge w:val="continue"/>
                  <w:tcBorders>
                    <w:tl2br w:val="nil"/>
                    <w:tr2bl w:val="nil"/>
                  </w:tcBorders>
                  <w:noWrap w:val="0"/>
                  <w:vAlign w:val="center"/>
                </w:tcPr>
                <w:p w14:paraId="5D628D6A">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p>
              </w:tc>
              <w:tc>
                <w:tcPr>
                  <w:tcW w:w="450" w:type="dxa"/>
                  <w:tcBorders>
                    <w:tl2br w:val="nil"/>
                    <w:tr2bl w:val="nil"/>
                  </w:tcBorders>
                  <w:noWrap w:val="0"/>
                  <w:vAlign w:val="center"/>
                </w:tcPr>
                <w:p w14:paraId="22F3B14A">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核算方法</w:t>
                  </w:r>
                </w:p>
              </w:tc>
              <w:tc>
                <w:tcPr>
                  <w:tcW w:w="705" w:type="dxa"/>
                  <w:tcBorders>
                    <w:tl2br w:val="nil"/>
                    <w:tr2bl w:val="nil"/>
                  </w:tcBorders>
                  <w:noWrap w:val="0"/>
                  <w:vAlign w:val="center"/>
                </w:tcPr>
                <w:p w14:paraId="078EB4D2">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产生废水量m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90" w:type="dxa"/>
                  <w:tcBorders>
                    <w:tl2br w:val="nil"/>
                    <w:tr2bl w:val="nil"/>
                  </w:tcBorders>
                  <w:noWrap w:val="0"/>
                  <w:vAlign w:val="center"/>
                </w:tcPr>
                <w:p w14:paraId="09AE5F76">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产生浓度mg/L</w:t>
                  </w:r>
                </w:p>
              </w:tc>
              <w:tc>
                <w:tcPr>
                  <w:tcW w:w="720" w:type="dxa"/>
                  <w:tcBorders>
                    <w:tl2br w:val="nil"/>
                    <w:tr2bl w:val="nil"/>
                  </w:tcBorders>
                  <w:noWrap w:val="0"/>
                  <w:vAlign w:val="center"/>
                </w:tcPr>
                <w:p w14:paraId="45653B3E">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产生量t/a</w:t>
                  </w:r>
                </w:p>
              </w:tc>
              <w:tc>
                <w:tcPr>
                  <w:tcW w:w="1414" w:type="dxa"/>
                  <w:tcBorders>
                    <w:tl2br w:val="nil"/>
                    <w:tr2bl w:val="nil"/>
                  </w:tcBorders>
                  <w:noWrap w:val="0"/>
                  <w:vAlign w:val="center"/>
                </w:tcPr>
                <w:p w14:paraId="1D422201">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工艺</w:t>
                  </w:r>
                </w:p>
              </w:tc>
              <w:tc>
                <w:tcPr>
                  <w:tcW w:w="431" w:type="dxa"/>
                  <w:tcBorders>
                    <w:tl2br w:val="nil"/>
                    <w:tr2bl w:val="nil"/>
                  </w:tcBorders>
                  <w:noWrap w:val="0"/>
                  <w:vAlign w:val="center"/>
                </w:tcPr>
                <w:p w14:paraId="50CF4A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效率</w:t>
                  </w:r>
                </w:p>
                <w:p w14:paraId="3956FD88">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w:t>
                  </w:r>
                </w:p>
              </w:tc>
              <w:tc>
                <w:tcPr>
                  <w:tcW w:w="375" w:type="dxa"/>
                  <w:tcBorders>
                    <w:tl2br w:val="nil"/>
                    <w:tr2bl w:val="nil"/>
                  </w:tcBorders>
                  <w:noWrap w:val="0"/>
                  <w:vAlign w:val="center"/>
                </w:tcPr>
                <w:p w14:paraId="1DD6106C">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核算方法</w:t>
                  </w:r>
                </w:p>
              </w:tc>
              <w:tc>
                <w:tcPr>
                  <w:tcW w:w="660" w:type="dxa"/>
                  <w:tcBorders>
                    <w:tl2br w:val="nil"/>
                    <w:tr2bl w:val="nil"/>
                  </w:tcBorders>
                  <w:noWrap w:val="0"/>
                  <w:vAlign w:val="center"/>
                </w:tcPr>
                <w:p w14:paraId="6A42879B">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排放废水量m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697" w:type="dxa"/>
                  <w:tcBorders>
                    <w:tl2br w:val="nil"/>
                    <w:tr2bl w:val="nil"/>
                  </w:tcBorders>
                  <w:noWrap w:val="0"/>
                  <w:vAlign w:val="center"/>
                </w:tcPr>
                <w:p w14:paraId="4F70BF8D">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排放浓度mg/L</w:t>
                  </w:r>
                </w:p>
              </w:tc>
              <w:tc>
                <w:tcPr>
                  <w:tcW w:w="788" w:type="dxa"/>
                  <w:tcBorders>
                    <w:tl2br w:val="nil"/>
                    <w:tr2bl w:val="nil"/>
                  </w:tcBorders>
                  <w:noWrap w:val="0"/>
                  <w:vAlign w:val="center"/>
                </w:tcPr>
                <w:p w14:paraId="39AE9F7B">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default" w:ascii="Times New Roman" w:hAnsi="Times New Roman" w:eastAsia="宋体" w:cs="Times New Roman"/>
                      <w:color w:val="auto"/>
                      <w:sz w:val="21"/>
                      <w:szCs w:val="21"/>
                      <w:highlight w:val="none"/>
                    </w:rPr>
                    <w:t>排放量t/a</w:t>
                  </w:r>
                </w:p>
              </w:tc>
              <w:tc>
                <w:tcPr>
                  <w:tcW w:w="494" w:type="dxa"/>
                  <w:vMerge w:val="continue"/>
                  <w:tcBorders>
                    <w:tl2br w:val="nil"/>
                    <w:tr2bl w:val="nil"/>
                  </w:tcBorders>
                  <w:noWrap w:val="0"/>
                  <w:vAlign w:val="center"/>
                </w:tcPr>
                <w:p w14:paraId="7A1B94FF">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p>
              </w:tc>
            </w:tr>
            <w:tr w14:paraId="2BB28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17" w:type="dxa"/>
                  <w:vMerge w:val="restart"/>
                  <w:tcBorders>
                    <w:tl2br w:val="nil"/>
                    <w:tr2bl w:val="nil"/>
                  </w:tcBorders>
                  <w:noWrap w:val="0"/>
                  <w:vAlign w:val="center"/>
                </w:tcPr>
                <w:p w14:paraId="333E4434">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r>
                    <w:rPr>
                      <w:rFonts w:hint="eastAsia" w:cs="Times New Roman"/>
                      <w:color w:val="auto"/>
                      <w:sz w:val="21"/>
                      <w:szCs w:val="21"/>
                      <w:highlight w:val="none"/>
                      <w:lang w:val="en-US" w:eastAsia="zh-CN"/>
                    </w:rPr>
                    <w:t>8t/h燃气蒸汽锅炉</w:t>
                  </w:r>
                </w:p>
              </w:tc>
              <w:tc>
                <w:tcPr>
                  <w:tcW w:w="390" w:type="dxa"/>
                  <w:tcBorders>
                    <w:tl2br w:val="nil"/>
                    <w:tr2bl w:val="nil"/>
                  </w:tcBorders>
                  <w:noWrap w:val="0"/>
                  <w:vAlign w:val="center"/>
                </w:tcPr>
                <w:p w14:paraId="2ECB2C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COD</w:t>
                  </w:r>
                </w:p>
              </w:tc>
              <w:tc>
                <w:tcPr>
                  <w:tcW w:w="450" w:type="dxa"/>
                  <w:tcBorders>
                    <w:tl2br w:val="nil"/>
                    <w:tr2bl w:val="nil"/>
                  </w:tcBorders>
                  <w:noWrap w:val="0"/>
                  <w:vAlign w:val="center"/>
                </w:tcPr>
                <w:p w14:paraId="5A9938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705" w:type="dxa"/>
                  <w:vMerge w:val="restart"/>
                  <w:tcBorders>
                    <w:tl2br w:val="nil"/>
                    <w:tr2bl w:val="nil"/>
                  </w:tcBorders>
                  <w:noWrap w:val="0"/>
                  <w:vAlign w:val="center"/>
                </w:tcPr>
                <w:p w14:paraId="31C6E4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7822</w:t>
                  </w:r>
                </w:p>
              </w:tc>
              <w:tc>
                <w:tcPr>
                  <w:tcW w:w="690" w:type="dxa"/>
                  <w:tcBorders>
                    <w:tl2br w:val="nil"/>
                    <w:tr2bl w:val="nil"/>
                  </w:tcBorders>
                  <w:noWrap w:val="0"/>
                  <w:vAlign w:val="center"/>
                </w:tcPr>
                <w:p w14:paraId="0F43C8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720" w:type="dxa"/>
                  <w:tcBorders>
                    <w:tl2br w:val="nil"/>
                    <w:tr2bl w:val="nil"/>
                  </w:tcBorders>
                  <w:noWrap w:val="0"/>
                  <w:vAlign w:val="center"/>
                </w:tcPr>
                <w:p w14:paraId="5F11202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0.782</w:t>
                  </w:r>
                </w:p>
              </w:tc>
              <w:tc>
                <w:tcPr>
                  <w:tcW w:w="1414" w:type="dxa"/>
                  <w:vMerge w:val="restart"/>
                  <w:tcBorders>
                    <w:tl2br w:val="nil"/>
                    <w:tr2bl w:val="nil"/>
                  </w:tcBorders>
                  <w:noWrap w:val="0"/>
                  <w:vAlign w:val="center"/>
                </w:tcPr>
                <w:p w14:paraId="086402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项目锅炉排污水和软化处理废水排入厂区沉淀池经污水管网排放。</w:t>
                  </w:r>
                </w:p>
              </w:tc>
              <w:tc>
                <w:tcPr>
                  <w:tcW w:w="431" w:type="dxa"/>
                  <w:tcBorders>
                    <w:tl2br w:val="nil"/>
                    <w:tr2bl w:val="nil"/>
                  </w:tcBorders>
                  <w:noWrap w:val="0"/>
                  <w:vAlign w:val="center"/>
                </w:tcPr>
                <w:p w14:paraId="03F1C6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75" w:type="dxa"/>
                  <w:tcBorders>
                    <w:tl2br w:val="nil"/>
                    <w:tr2bl w:val="nil"/>
                  </w:tcBorders>
                  <w:noWrap w:val="0"/>
                  <w:vAlign w:val="center"/>
                </w:tcPr>
                <w:p w14:paraId="1A03E9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660" w:type="dxa"/>
                  <w:vMerge w:val="restart"/>
                  <w:tcBorders>
                    <w:tl2br w:val="nil"/>
                    <w:tr2bl w:val="nil"/>
                  </w:tcBorders>
                  <w:noWrap w:val="0"/>
                  <w:vAlign w:val="center"/>
                </w:tcPr>
                <w:p w14:paraId="09F827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7822</w:t>
                  </w:r>
                </w:p>
              </w:tc>
              <w:tc>
                <w:tcPr>
                  <w:tcW w:w="697" w:type="dxa"/>
                  <w:tcBorders>
                    <w:tl2br w:val="nil"/>
                    <w:tr2bl w:val="nil"/>
                  </w:tcBorders>
                  <w:noWrap w:val="0"/>
                  <w:vAlign w:val="center"/>
                </w:tcPr>
                <w:p w14:paraId="3F22BC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w:t>
                  </w:r>
                </w:p>
              </w:tc>
              <w:tc>
                <w:tcPr>
                  <w:tcW w:w="788" w:type="dxa"/>
                  <w:tcBorders>
                    <w:tl2br w:val="nil"/>
                    <w:tr2bl w:val="nil"/>
                  </w:tcBorders>
                  <w:noWrap w:val="0"/>
                  <w:vAlign w:val="center"/>
                </w:tcPr>
                <w:p w14:paraId="7683CF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0.782</w:t>
                  </w:r>
                </w:p>
              </w:tc>
              <w:tc>
                <w:tcPr>
                  <w:tcW w:w="494" w:type="dxa"/>
                  <w:tcBorders>
                    <w:tl2br w:val="nil"/>
                    <w:tr2bl w:val="nil"/>
                  </w:tcBorders>
                  <w:noWrap w:val="0"/>
                  <w:vAlign w:val="center"/>
                </w:tcPr>
                <w:p w14:paraId="73646E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8000</w:t>
                  </w:r>
                </w:p>
              </w:tc>
            </w:tr>
            <w:tr w14:paraId="2B37A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517" w:type="dxa"/>
                  <w:vMerge w:val="continue"/>
                  <w:tcBorders>
                    <w:tl2br w:val="nil"/>
                    <w:tr2bl w:val="nil"/>
                  </w:tcBorders>
                  <w:noWrap w:val="0"/>
                  <w:vAlign w:val="center"/>
                </w:tcPr>
                <w:p w14:paraId="569CCC79">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p>
              </w:tc>
              <w:tc>
                <w:tcPr>
                  <w:tcW w:w="390" w:type="dxa"/>
                  <w:tcBorders>
                    <w:tl2br w:val="nil"/>
                    <w:tr2bl w:val="nil"/>
                  </w:tcBorders>
                  <w:noWrap w:val="0"/>
                  <w:vAlign w:val="center"/>
                </w:tcPr>
                <w:p w14:paraId="6A466C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全盐量</w:t>
                  </w:r>
                </w:p>
              </w:tc>
              <w:tc>
                <w:tcPr>
                  <w:tcW w:w="450" w:type="dxa"/>
                  <w:tcBorders>
                    <w:tl2br w:val="nil"/>
                    <w:tr2bl w:val="nil"/>
                  </w:tcBorders>
                  <w:noWrap w:val="0"/>
                  <w:vAlign w:val="center"/>
                </w:tcPr>
                <w:p w14:paraId="390F01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705" w:type="dxa"/>
                  <w:vMerge w:val="continue"/>
                  <w:tcBorders>
                    <w:tl2br w:val="nil"/>
                    <w:tr2bl w:val="nil"/>
                  </w:tcBorders>
                  <w:noWrap w:val="0"/>
                  <w:vAlign w:val="center"/>
                </w:tcPr>
                <w:p w14:paraId="6F8716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690" w:type="dxa"/>
                  <w:tcBorders>
                    <w:tl2br w:val="nil"/>
                    <w:tr2bl w:val="nil"/>
                  </w:tcBorders>
                  <w:noWrap w:val="0"/>
                  <w:vAlign w:val="center"/>
                </w:tcPr>
                <w:p w14:paraId="6EEA48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00</w:t>
                  </w:r>
                </w:p>
              </w:tc>
              <w:tc>
                <w:tcPr>
                  <w:tcW w:w="720" w:type="dxa"/>
                  <w:tcBorders>
                    <w:tl2br w:val="nil"/>
                    <w:tr2bl w:val="nil"/>
                  </w:tcBorders>
                  <w:noWrap w:val="0"/>
                  <w:vAlign w:val="center"/>
                </w:tcPr>
                <w:p w14:paraId="0F4779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2.347</w:t>
                  </w:r>
                </w:p>
              </w:tc>
              <w:tc>
                <w:tcPr>
                  <w:tcW w:w="1414" w:type="dxa"/>
                  <w:vMerge w:val="continue"/>
                  <w:tcBorders>
                    <w:tl2br w:val="nil"/>
                    <w:tr2bl w:val="nil"/>
                  </w:tcBorders>
                  <w:noWrap w:val="0"/>
                  <w:vAlign w:val="center"/>
                </w:tcPr>
                <w:p w14:paraId="04CECC05">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p>
              </w:tc>
              <w:tc>
                <w:tcPr>
                  <w:tcW w:w="431" w:type="dxa"/>
                  <w:tcBorders>
                    <w:tl2br w:val="nil"/>
                    <w:tr2bl w:val="nil"/>
                  </w:tcBorders>
                  <w:noWrap w:val="0"/>
                  <w:vAlign w:val="center"/>
                </w:tcPr>
                <w:p w14:paraId="49B604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375" w:type="dxa"/>
                  <w:tcBorders>
                    <w:tl2br w:val="nil"/>
                    <w:tr2bl w:val="nil"/>
                  </w:tcBorders>
                  <w:noWrap w:val="0"/>
                  <w:vAlign w:val="center"/>
                </w:tcPr>
                <w:p w14:paraId="1D5F9C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660" w:type="dxa"/>
                  <w:vMerge w:val="continue"/>
                  <w:tcBorders>
                    <w:tl2br w:val="nil"/>
                    <w:tr2bl w:val="nil"/>
                  </w:tcBorders>
                  <w:noWrap w:val="0"/>
                  <w:vAlign w:val="center"/>
                </w:tcPr>
                <w:p w14:paraId="5BAF3E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697" w:type="dxa"/>
                  <w:tcBorders>
                    <w:tl2br w:val="nil"/>
                    <w:tr2bl w:val="nil"/>
                  </w:tcBorders>
                  <w:noWrap w:val="0"/>
                  <w:vAlign w:val="center"/>
                </w:tcPr>
                <w:p w14:paraId="033DFCE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00</w:t>
                  </w:r>
                </w:p>
              </w:tc>
              <w:tc>
                <w:tcPr>
                  <w:tcW w:w="788" w:type="dxa"/>
                  <w:tcBorders>
                    <w:tl2br w:val="nil"/>
                    <w:tr2bl w:val="nil"/>
                  </w:tcBorders>
                  <w:noWrap w:val="0"/>
                  <w:vAlign w:val="center"/>
                </w:tcPr>
                <w:p w14:paraId="74F6A6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2.347</w:t>
                  </w:r>
                </w:p>
              </w:tc>
              <w:tc>
                <w:tcPr>
                  <w:tcW w:w="494" w:type="dxa"/>
                  <w:tcBorders>
                    <w:tl2br w:val="nil"/>
                    <w:tr2bl w:val="nil"/>
                  </w:tcBorders>
                  <w:noWrap w:val="0"/>
                  <w:vAlign w:val="center"/>
                </w:tcPr>
                <w:p w14:paraId="578289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8000</w:t>
                  </w:r>
                </w:p>
              </w:tc>
            </w:tr>
            <w:tr w14:paraId="0B304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517" w:type="dxa"/>
                  <w:vMerge w:val="restart"/>
                  <w:tcBorders>
                    <w:tl2br w:val="nil"/>
                    <w:tr2bl w:val="nil"/>
                  </w:tcBorders>
                  <w:noWrap w:val="0"/>
                  <w:vAlign w:val="center"/>
                </w:tcPr>
                <w:p w14:paraId="6ED1F5D4">
                  <w:pPr>
                    <w:keepNext w:val="0"/>
                    <w:keepLines w:val="0"/>
                    <w:suppressLineNumbers w:val="0"/>
                    <w:adjustRightInd w:val="0"/>
                    <w:spacing w:before="0" w:beforeAutospacing="0" w:after="0" w:afterAutospacing="0"/>
                    <w:ind w:right="0"/>
                    <w:jc w:val="center"/>
                    <w:textAlignment w:val="baseline"/>
                    <w:rPr>
                      <w:rFonts w:hint="eastAsia" w:ascii="Times New Roman" w:hAnsi="Times New Roman" w:eastAsia="宋体" w:cs="Times New Roman"/>
                      <w:b/>
                      <w:bCs/>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生活污水</w:t>
                  </w:r>
                </w:p>
              </w:tc>
              <w:tc>
                <w:tcPr>
                  <w:tcW w:w="390" w:type="dxa"/>
                  <w:tcBorders>
                    <w:tl2br w:val="nil"/>
                    <w:tr2bl w:val="nil"/>
                  </w:tcBorders>
                  <w:noWrap w:val="0"/>
                  <w:vAlign w:val="center"/>
                </w:tcPr>
                <w:p w14:paraId="787D8F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p>
              </w:tc>
              <w:tc>
                <w:tcPr>
                  <w:tcW w:w="450" w:type="dxa"/>
                  <w:tcBorders>
                    <w:tl2br w:val="nil"/>
                    <w:tr2bl w:val="nil"/>
                  </w:tcBorders>
                  <w:noWrap w:val="0"/>
                  <w:vAlign w:val="center"/>
                </w:tcPr>
                <w:p w14:paraId="14387DB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类比法</w:t>
                  </w:r>
                </w:p>
              </w:tc>
              <w:tc>
                <w:tcPr>
                  <w:tcW w:w="705" w:type="dxa"/>
                  <w:vMerge w:val="restart"/>
                  <w:tcBorders>
                    <w:tl2br w:val="nil"/>
                    <w:tr2bl w:val="nil"/>
                  </w:tcBorders>
                  <w:noWrap w:val="0"/>
                  <w:vAlign w:val="center"/>
                </w:tcPr>
                <w:p w14:paraId="7CDE6B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532.8</w:t>
                  </w:r>
                </w:p>
              </w:tc>
              <w:tc>
                <w:tcPr>
                  <w:tcW w:w="690" w:type="dxa"/>
                  <w:tcBorders>
                    <w:tl2br w:val="nil"/>
                    <w:tr2bl w:val="nil"/>
                  </w:tcBorders>
                  <w:noWrap w:val="0"/>
                  <w:vAlign w:val="center"/>
                </w:tcPr>
                <w:p w14:paraId="55BDB4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720" w:type="dxa"/>
                  <w:tcBorders>
                    <w:tl2br w:val="nil"/>
                    <w:tr2bl w:val="nil"/>
                  </w:tcBorders>
                  <w:noWrap w:val="0"/>
                  <w:vAlign w:val="center"/>
                </w:tcPr>
                <w:p w14:paraId="2C09D7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0.160</w:t>
                  </w:r>
                </w:p>
              </w:tc>
              <w:tc>
                <w:tcPr>
                  <w:tcW w:w="1414" w:type="dxa"/>
                  <w:vMerge w:val="restart"/>
                  <w:tcBorders>
                    <w:tl2br w:val="nil"/>
                    <w:tr2bl w:val="nil"/>
                  </w:tcBorders>
                  <w:noWrap w:val="0"/>
                  <w:vAlign w:val="center"/>
                </w:tcPr>
                <w:p w14:paraId="26539084">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eastAsia="宋体" w:cs="Times New Roman"/>
                      <w:b/>
                      <w:bCs/>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经化粪池沉淀后排入市政污水管网</w:t>
                  </w:r>
                </w:p>
              </w:tc>
              <w:tc>
                <w:tcPr>
                  <w:tcW w:w="431" w:type="dxa"/>
                  <w:tcBorders>
                    <w:tl2br w:val="nil"/>
                    <w:tr2bl w:val="nil"/>
                  </w:tcBorders>
                  <w:noWrap w:val="0"/>
                  <w:vAlign w:val="center"/>
                </w:tcPr>
                <w:p w14:paraId="4EA3511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75" w:type="dxa"/>
                  <w:tcBorders>
                    <w:tl2br w:val="nil"/>
                    <w:tr2bl w:val="nil"/>
                  </w:tcBorders>
                  <w:noWrap w:val="0"/>
                  <w:vAlign w:val="center"/>
                </w:tcPr>
                <w:p w14:paraId="4E89B7F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类比法</w:t>
                  </w:r>
                </w:p>
              </w:tc>
              <w:tc>
                <w:tcPr>
                  <w:tcW w:w="660" w:type="dxa"/>
                  <w:vMerge w:val="restart"/>
                  <w:tcBorders>
                    <w:tl2br w:val="nil"/>
                    <w:tr2bl w:val="nil"/>
                  </w:tcBorders>
                  <w:noWrap w:val="0"/>
                  <w:vAlign w:val="center"/>
                </w:tcPr>
                <w:p w14:paraId="04D2FA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532.8</w:t>
                  </w:r>
                </w:p>
              </w:tc>
              <w:tc>
                <w:tcPr>
                  <w:tcW w:w="697" w:type="dxa"/>
                  <w:tcBorders>
                    <w:tl2br w:val="nil"/>
                    <w:tr2bl w:val="nil"/>
                  </w:tcBorders>
                  <w:noWrap w:val="0"/>
                  <w:vAlign w:val="center"/>
                </w:tcPr>
                <w:p w14:paraId="27B00B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788" w:type="dxa"/>
                  <w:tcBorders>
                    <w:tl2br w:val="nil"/>
                    <w:tr2bl w:val="nil"/>
                  </w:tcBorders>
                  <w:noWrap w:val="0"/>
                  <w:vAlign w:val="center"/>
                </w:tcPr>
                <w:p w14:paraId="221A42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0.160</w:t>
                  </w:r>
                </w:p>
              </w:tc>
              <w:tc>
                <w:tcPr>
                  <w:tcW w:w="494" w:type="dxa"/>
                  <w:tcBorders>
                    <w:tl2br w:val="nil"/>
                    <w:tr2bl w:val="nil"/>
                  </w:tcBorders>
                  <w:noWrap w:val="0"/>
                  <w:vAlign w:val="center"/>
                </w:tcPr>
                <w:p w14:paraId="0E42B87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8000</w:t>
                  </w:r>
                </w:p>
              </w:tc>
            </w:tr>
            <w:tr w14:paraId="44F57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517" w:type="dxa"/>
                  <w:vMerge w:val="continue"/>
                  <w:tcBorders>
                    <w:tl2br w:val="nil"/>
                    <w:tr2bl w:val="nil"/>
                  </w:tcBorders>
                  <w:noWrap w:val="0"/>
                  <w:vAlign w:val="center"/>
                </w:tcPr>
                <w:p w14:paraId="162757E0">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p>
              </w:tc>
              <w:tc>
                <w:tcPr>
                  <w:tcW w:w="390" w:type="dxa"/>
                  <w:tcBorders>
                    <w:tl2br w:val="nil"/>
                    <w:tr2bl w:val="nil"/>
                  </w:tcBorders>
                  <w:noWrap w:val="0"/>
                  <w:vAlign w:val="center"/>
                </w:tcPr>
                <w:p w14:paraId="7B000E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p>
              </w:tc>
              <w:tc>
                <w:tcPr>
                  <w:tcW w:w="450" w:type="dxa"/>
                  <w:tcBorders>
                    <w:tl2br w:val="nil"/>
                    <w:tr2bl w:val="nil"/>
                  </w:tcBorders>
                  <w:noWrap w:val="0"/>
                  <w:vAlign w:val="center"/>
                </w:tcPr>
                <w:p w14:paraId="467783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类比法</w:t>
                  </w:r>
                </w:p>
              </w:tc>
              <w:tc>
                <w:tcPr>
                  <w:tcW w:w="705" w:type="dxa"/>
                  <w:vMerge w:val="continue"/>
                  <w:tcBorders>
                    <w:tl2br w:val="nil"/>
                    <w:tr2bl w:val="nil"/>
                  </w:tcBorders>
                  <w:noWrap w:val="0"/>
                  <w:vAlign w:val="center"/>
                </w:tcPr>
                <w:p w14:paraId="79871C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690" w:type="dxa"/>
                  <w:tcBorders>
                    <w:tl2br w:val="nil"/>
                    <w:tr2bl w:val="nil"/>
                  </w:tcBorders>
                  <w:noWrap w:val="0"/>
                  <w:vAlign w:val="center"/>
                </w:tcPr>
                <w:p w14:paraId="286B17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720" w:type="dxa"/>
                  <w:tcBorders>
                    <w:tl2br w:val="nil"/>
                    <w:tr2bl w:val="nil"/>
                  </w:tcBorders>
                  <w:noWrap w:val="0"/>
                  <w:vAlign w:val="center"/>
                </w:tcPr>
                <w:p w14:paraId="155E15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0.013</w:t>
                  </w:r>
                </w:p>
              </w:tc>
              <w:tc>
                <w:tcPr>
                  <w:tcW w:w="1414" w:type="dxa"/>
                  <w:vMerge w:val="continue"/>
                  <w:tcBorders>
                    <w:tl2br w:val="nil"/>
                    <w:tr2bl w:val="nil"/>
                  </w:tcBorders>
                  <w:noWrap w:val="0"/>
                  <w:vAlign w:val="center"/>
                </w:tcPr>
                <w:p w14:paraId="7E1366E6">
                  <w:pPr>
                    <w:keepNext w:val="0"/>
                    <w:keepLines w:val="0"/>
                    <w:suppressLineNumbers w:val="0"/>
                    <w:adjustRightInd w:val="0"/>
                    <w:spacing w:before="0" w:beforeAutospacing="0" w:after="0" w:afterAutospacing="0"/>
                    <w:ind w:right="0"/>
                    <w:jc w:val="center"/>
                    <w:textAlignment w:val="baseline"/>
                    <w:rPr>
                      <w:rFonts w:hint="default" w:ascii="Times New Roman" w:hAnsi="Times New Roman" w:cs="Times New Roman"/>
                      <w:b/>
                      <w:bCs/>
                      <w:color w:val="auto"/>
                      <w:highlight w:val="none"/>
                      <w:vertAlign w:val="baseline"/>
                    </w:rPr>
                  </w:pPr>
                </w:p>
              </w:tc>
              <w:tc>
                <w:tcPr>
                  <w:tcW w:w="431" w:type="dxa"/>
                  <w:tcBorders>
                    <w:tl2br w:val="nil"/>
                    <w:tr2bl w:val="nil"/>
                  </w:tcBorders>
                  <w:noWrap w:val="0"/>
                  <w:vAlign w:val="center"/>
                </w:tcPr>
                <w:p w14:paraId="49E0E1E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75" w:type="dxa"/>
                  <w:tcBorders>
                    <w:tl2br w:val="nil"/>
                    <w:tr2bl w:val="nil"/>
                  </w:tcBorders>
                  <w:noWrap w:val="0"/>
                  <w:vAlign w:val="center"/>
                </w:tcPr>
                <w:p w14:paraId="1CB6FC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类比法</w:t>
                  </w:r>
                </w:p>
              </w:tc>
              <w:tc>
                <w:tcPr>
                  <w:tcW w:w="660" w:type="dxa"/>
                  <w:vMerge w:val="continue"/>
                  <w:tcBorders>
                    <w:tl2br w:val="nil"/>
                    <w:tr2bl w:val="nil"/>
                  </w:tcBorders>
                  <w:noWrap w:val="0"/>
                  <w:vAlign w:val="center"/>
                </w:tcPr>
                <w:p w14:paraId="7C11114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697" w:type="dxa"/>
                  <w:tcBorders>
                    <w:tl2br w:val="nil"/>
                    <w:tr2bl w:val="nil"/>
                  </w:tcBorders>
                  <w:noWrap w:val="0"/>
                  <w:vAlign w:val="center"/>
                </w:tcPr>
                <w:p w14:paraId="41D652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788" w:type="dxa"/>
                  <w:tcBorders>
                    <w:tl2br w:val="nil"/>
                    <w:tr2bl w:val="nil"/>
                  </w:tcBorders>
                  <w:noWrap w:val="0"/>
                  <w:vAlign w:val="center"/>
                </w:tcPr>
                <w:p w14:paraId="7A318F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0.013</w:t>
                  </w:r>
                </w:p>
              </w:tc>
              <w:tc>
                <w:tcPr>
                  <w:tcW w:w="494" w:type="dxa"/>
                  <w:tcBorders>
                    <w:tl2br w:val="nil"/>
                    <w:tr2bl w:val="nil"/>
                  </w:tcBorders>
                  <w:noWrap w:val="0"/>
                  <w:vAlign w:val="center"/>
                </w:tcPr>
                <w:p w14:paraId="45E1391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8000</w:t>
                  </w:r>
                </w:p>
              </w:tc>
            </w:tr>
          </w:tbl>
          <w:p w14:paraId="0EA9B4E7">
            <w:pPr>
              <w:numPr>
                <w:ilvl w:val="0"/>
                <w:numId w:val="0"/>
              </w:numPr>
              <w:spacing w:line="360" w:lineRule="auto"/>
              <w:ind w:firstLine="480" w:firstLineChars="200"/>
              <w:rPr>
                <w:rFonts w:ascii="Times New Roman" w:hAnsi="Times New Roman" w:eastAsia="宋体" w:cs="Times New Roman"/>
                <w:b w:val="0"/>
                <w:bCs w:val="0"/>
                <w:color w:val="auto"/>
                <w:kern w:val="0"/>
                <w:sz w:val="24"/>
                <w:highlight w:val="none"/>
              </w:rPr>
            </w:pPr>
            <w:r>
              <w:rPr>
                <w:rFonts w:hint="eastAsia" w:ascii="Times New Roman" w:hAnsi="Times New Roman" w:eastAsia="宋体" w:cs="Times New Roman"/>
                <w:b w:val="0"/>
                <w:bCs w:val="0"/>
                <w:color w:val="auto"/>
                <w:kern w:val="0"/>
                <w:sz w:val="24"/>
                <w:highlight w:val="none"/>
                <w:lang w:val="en-US" w:eastAsia="zh-CN"/>
              </w:rPr>
              <w:t>2、</w:t>
            </w:r>
            <w:r>
              <w:rPr>
                <w:rFonts w:ascii="Times New Roman" w:hAnsi="Times New Roman" w:eastAsia="宋体" w:cs="Times New Roman"/>
                <w:b w:val="0"/>
                <w:bCs w:val="0"/>
                <w:color w:val="auto"/>
                <w:kern w:val="0"/>
                <w:sz w:val="24"/>
                <w:highlight w:val="none"/>
              </w:rPr>
              <w:t>污水处理厂依托可行性分析</w:t>
            </w:r>
          </w:p>
          <w:p w14:paraId="4FDB035A">
            <w:pPr>
              <w:spacing w:line="360" w:lineRule="auto"/>
              <w:ind w:firstLine="480" w:firstLineChars="200"/>
              <w:rPr>
                <w:rFonts w:hint="default"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snapToGrid w:val="0"/>
                <w:color w:val="auto"/>
                <w:sz w:val="24"/>
                <w:szCs w:val="24"/>
                <w:highlight w:val="none"/>
                <w:lang w:val="en-US" w:eastAsia="zh-CN"/>
              </w:rPr>
              <w:t>嘉荫县污水处理厂位于黑龙江省伊春市嘉荫县东南侧，污水处理工艺为EBIS工艺，设计处理能力6000m</w:t>
            </w:r>
            <w:r>
              <w:rPr>
                <w:rFonts w:hint="eastAsia" w:ascii="Times New Roman" w:hAnsi="Times New Roman" w:eastAsia="宋体" w:cs="Times New Roman"/>
                <w:snapToGrid w:val="0"/>
                <w:color w:val="auto"/>
                <w:sz w:val="24"/>
                <w:szCs w:val="24"/>
                <w:highlight w:val="none"/>
                <w:vertAlign w:val="superscript"/>
                <w:lang w:val="en-US" w:eastAsia="zh-CN"/>
              </w:rPr>
              <w:t>3</w:t>
            </w:r>
            <w:r>
              <w:rPr>
                <w:rFonts w:hint="eastAsia" w:ascii="Times New Roman" w:hAnsi="Times New Roman" w:eastAsia="宋体" w:cs="Times New Roman"/>
                <w:snapToGrid w:val="0"/>
                <w:color w:val="auto"/>
                <w:sz w:val="24"/>
                <w:szCs w:val="24"/>
                <w:highlight w:val="none"/>
                <w:lang w:val="en-US" w:eastAsia="zh-CN"/>
              </w:rPr>
              <w:t>/d，执行《城镇污水处理污染物排放标准》GB 18918-2002表1中一级A标准，</w:t>
            </w:r>
            <w:r>
              <w:rPr>
                <w:rFonts w:hint="default" w:ascii="Times New Roman" w:hAnsi="Times New Roman" w:eastAsia="宋体" w:cs="Times New Roman"/>
                <w:b w:val="0"/>
                <w:bCs w:val="0"/>
                <w:color w:val="auto"/>
                <w:sz w:val="24"/>
                <w:szCs w:val="24"/>
                <w:highlight w:val="none"/>
                <w:lang w:val="en-US" w:eastAsia="zh-CN"/>
              </w:rPr>
              <w:t>本项目污水排水量为</w:t>
            </w:r>
            <w:r>
              <w:rPr>
                <w:rFonts w:hint="eastAsia" w:cs="Times New Roman"/>
                <w:b w:val="0"/>
                <w:bCs w:val="0"/>
                <w:color w:val="auto"/>
                <w:sz w:val="24"/>
                <w:szCs w:val="24"/>
                <w:highlight w:val="none"/>
                <w:lang w:val="en-US" w:eastAsia="zh-CN"/>
              </w:rPr>
              <w:t>25.09</w:t>
            </w:r>
            <w:r>
              <w:rPr>
                <w:rFonts w:hint="default" w:ascii="Times New Roman" w:hAnsi="Times New Roman" w:eastAsia="宋体" w:cs="Times New Roman"/>
                <w:b w:val="0"/>
                <w:bCs w:val="0"/>
                <w:color w:val="auto"/>
                <w:sz w:val="24"/>
                <w:szCs w:val="24"/>
                <w:highlight w:val="none"/>
                <w:lang w:val="en-US" w:eastAsia="zh-CN"/>
              </w:rPr>
              <w:t>t/d，水质简单易于处理达标，</w:t>
            </w:r>
            <w:r>
              <w:rPr>
                <w:rFonts w:hint="eastAsia" w:ascii="Times New Roman" w:hAnsi="Times New Roman" w:eastAsia="宋体" w:cs="Times New Roman"/>
                <w:b w:val="0"/>
                <w:bCs w:val="0"/>
                <w:color w:val="auto"/>
                <w:sz w:val="24"/>
                <w:szCs w:val="24"/>
                <w:highlight w:val="none"/>
                <w:lang w:val="en-US" w:eastAsia="zh-CN"/>
              </w:rPr>
              <w:t>排放浓度满足</w:t>
            </w:r>
            <w:r>
              <w:rPr>
                <w:rFonts w:hint="eastAsia" w:ascii="Times New Roman" w:hAnsi="Times New Roman" w:eastAsia="宋体" w:cs="Times New Roman"/>
                <w:color w:val="auto"/>
                <w:kern w:val="0"/>
                <w:sz w:val="24"/>
                <w:szCs w:val="24"/>
                <w:highlight w:val="none"/>
                <w:lang w:val="en-US" w:eastAsia="zh-CN"/>
              </w:rPr>
              <w:t>《污水综合排放标准》（GB8978-1996）中的三级标准要求，</w:t>
            </w:r>
            <w:r>
              <w:rPr>
                <w:rFonts w:hint="default" w:ascii="Times New Roman" w:hAnsi="Times New Roman" w:eastAsia="宋体" w:cs="Times New Roman"/>
                <w:b w:val="0"/>
                <w:bCs w:val="0"/>
                <w:color w:val="auto"/>
                <w:sz w:val="24"/>
                <w:szCs w:val="24"/>
                <w:highlight w:val="none"/>
                <w:lang w:val="en-US" w:eastAsia="zh-CN"/>
              </w:rPr>
              <w:t>不会对污水处理厂带来较大冲击。因此，项目污水排入</w:t>
            </w:r>
            <w:r>
              <w:rPr>
                <w:rFonts w:hint="eastAsia" w:ascii="Times New Roman" w:hAnsi="Times New Roman" w:eastAsia="宋体" w:cs="Times New Roman"/>
                <w:snapToGrid w:val="0"/>
                <w:color w:val="auto"/>
                <w:sz w:val="24"/>
                <w:szCs w:val="24"/>
                <w:highlight w:val="none"/>
                <w:lang w:val="en-US" w:eastAsia="zh-CN"/>
              </w:rPr>
              <w:t>嘉荫县污水处理厂</w:t>
            </w:r>
            <w:r>
              <w:rPr>
                <w:rFonts w:hint="default" w:ascii="Times New Roman" w:hAnsi="Times New Roman" w:eastAsia="宋体" w:cs="Times New Roman"/>
                <w:b w:val="0"/>
                <w:bCs w:val="0"/>
                <w:color w:val="auto"/>
                <w:sz w:val="24"/>
                <w:szCs w:val="24"/>
                <w:highlight w:val="none"/>
                <w:lang w:val="en-US" w:eastAsia="zh-CN"/>
              </w:rPr>
              <w:t>可行。</w:t>
            </w:r>
          </w:p>
          <w:p w14:paraId="11288234">
            <w:pPr>
              <w:spacing w:line="360" w:lineRule="auto"/>
              <w:ind w:firstLine="480" w:firstLineChars="200"/>
              <w:rPr>
                <w:rFonts w:hint="default"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eastAsia="zh-CN"/>
              </w:rPr>
              <w:t>环保措施可行性分析</w:t>
            </w:r>
          </w:p>
          <w:p w14:paraId="72EE456D">
            <w:pPr>
              <w:widowControl/>
              <w:adjustRightInd w:val="0"/>
              <w:snapToGrid w:val="0"/>
              <w:spacing w:line="360" w:lineRule="auto"/>
              <w:ind w:firstLine="480" w:firstLineChars="200"/>
              <w:jc w:val="both"/>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项目锅炉排污水和软化处理废水排入厂区</w:t>
            </w:r>
            <w:r>
              <w:rPr>
                <w:rFonts w:hint="eastAsia" w:cs="Times New Roman"/>
                <w:bCs/>
                <w:color w:val="auto"/>
                <w:kern w:val="0"/>
                <w:sz w:val="24"/>
                <w:highlight w:val="none"/>
                <w:lang w:val="en-US" w:eastAsia="zh-CN"/>
              </w:rPr>
              <w:t>沉淀池</w:t>
            </w:r>
            <w:r>
              <w:rPr>
                <w:rFonts w:hint="default" w:ascii="Times New Roman" w:hAnsi="Times New Roman" w:eastAsia="宋体" w:cs="Times New Roman"/>
                <w:bCs/>
                <w:color w:val="auto"/>
                <w:kern w:val="0"/>
                <w:sz w:val="24"/>
                <w:highlight w:val="none"/>
                <w:lang w:val="en-US" w:eastAsia="zh-CN"/>
              </w:rPr>
              <w:t>，</w:t>
            </w:r>
            <w:r>
              <w:rPr>
                <w:rFonts w:hint="eastAsia" w:cs="Times New Roman"/>
                <w:bCs/>
                <w:color w:val="auto"/>
                <w:kern w:val="0"/>
                <w:sz w:val="24"/>
                <w:highlight w:val="none"/>
                <w:vertAlign w:val="baseline"/>
                <w:lang w:val="en-US" w:eastAsia="zh-CN"/>
              </w:rPr>
              <w:t>根据《排污许可证申请与核发技术规范 锅炉》（HJ953-2018）中锅炉排污水及软化水废水采用沉淀法为可行性技术，因此本项目环保措施可行</w:t>
            </w:r>
            <w:r>
              <w:rPr>
                <w:rFonts w:hint="default" w:ascii="Times New Roman" w:hAnsi="Times New Roman" w:eastAsia="宋体" w:cs="Times New Roman"/>
                <w:bCs/>
                <w:color w:val="auto"/>
                <w:kern w:val="0"/>
                <w:sz w:val="24"/>
                <w:highlight w:val="none"/>
                <w:lang w:val="en-US" w:eastAsia="zh-CN"/>
              </w:rPr>
              <w:t>。</w:t>
            </w:r>
          </w:p>
          <w:p w14:paraId="2F20B106">
            <w:pPr>
              <w:pStyle w:val="102"/>
              <w:adjustRightInd w:val="0"/>
              <w:spacing w:line="336" w:lineRule="auto"/>
              <w:ind w:firstLine="480"/>
              <w:rPr>
                <w:rFonts w:hint="default" w:ascii="Times New Roman" w:hAnsi="Times New Roman" w:eastAsia="宋体" w:cs="Times New Roman"/>
                <w:color w:val="auto"/>
                <w:sz w:val="24"/>
                <w:highlight w:val="none"/>
              </w:rPr>
            </w:pPr>
            <w:r>
              <w:rPr>
                <w:rFonts w:hint="eastAsia" w:ascii="Times New Roman" w:hAnsi="Times New Roman" w:eastAsia="宋体" w:cs="Times New Roman"/>
                <w:bCs/>
                <w:color w:val="auto"/>
                <w:kern w:val="0"/>
                <w:sz w:val="24"/>
                <w:highlight w:val="none"/>
                <w:lang w:val="en-US" w:eastAsia="zh-CN"/>
              </w:rPr>
              <w:t>4、</w:t>
            </w:r>
            <w:r>
              <w:rPr>
                <w:rFonts w:hint="default" w:ascii="Times New Roman" w:hAnsi="Times New Roman" w:eastAsia="宋体" w:cs="Times New Roman"/>
                <w:color w:val="auto"/>
                <w:sz w:val="24"/>
                <w:highlight w:val="none"/>
              </w:rPr>
              <w:t>监测计划</w:t>
            </w:r>
          </w:p>
          <w:p w14:paraId="7AC913EE">
            <w:pPr>
              <w:adjustRightInd w:val="0"/>
              <w:snapToGrid w:val="0"/>
              <w:spacing w:line="360" w:lineRule="auto"/>
              <w:ind w:firstLine="460" w:firstLineChars="200"/>
              <w:rPr>
                <w:rFonts w:hint="default" w:ascii="Times New Roman" w:hAnsi="Times New Roman" w:eastAsia="宋体" w:cs="Times New Roman"/>
                <w:color w:val="auto"/>
                <w:spacing w:val="-5"/>
                <w:sz w:val="24"/>
                <w:szCs w:val="21"/>
                <w:highlight w:val="none"/>
              </w:rPr>
            </w:pPr>
            <w:r>
              <w:rPr>
                <w:rFonts w:hint="default" w:ascii="Times New Roman" w:hAnsi="Times New Roman" w:eastAsia="宋体" w:cs="Times New Roman"/>
                <w:color w:val="auto"/>
                <w:spacing w:val="-5"/>
                <w:sz w:val="24"/>
                <w:szCs w:val="21"/>
                <w:highlight w:val="none"/>
              </w:rPr>
              <w:t>根据</w:t>
            </w:r>
            <w:r>
              <w:rPr>
                <w:rFonts w:hint="eastAsia" w:ascii="Times New Roman" w:hAnsi="Times New Roman" w:eastAsia="宋体" w:cs="Times New Roman"/>
                <w:color w:val="auto"/>
                <w:spacing w:val="-5"/>
                <w:sz w:val="24"/>
                <w:szCs w:val="21"/>
                <w:highlight w:val="none"/>
                <w:lang w:eastAsia="zh-CN"/>
              </w:rPr>
              <w:t>《</w:t>
            </w:r>
            <w:r>
              <w:rPr>
                <w:rFonts w:hint="default" w:ascii="Times New Roman" w:hAnsi="Times New Roman" w:eastAsia="宋体" w:cs="Times New Roman"/>
                <w:color w:val="auto"/>
                <w:kern w:val="0"/>
                <w:sz w:val="24"/>
                <w:highlight w:val="none"/>
              </w:rPr>
              <w:fldChar w:fldCharType="begin"/>
            </w:r>
            <w:r>
              <w:rPr>
                <w:rFonts w:hint="default" w:ascii="Times New Roman" w:hAnsi="Times New Roman" w:eastAsia="宋体" w:cs="Times New Roman"/>
                <w:color w:val="auto"/>
                <w:kern w:val="0"/>
                <w:sz w:val="24"/>
                <w:highlight w:val="none"/>
              </w:rPr>
              <w:instrText xml:space="preserve"> HYPERLINK "http://kjs.mep.gov.cn/hjbhbz/bzwb/shjbh/xgbzh/201705/W020170511332490849000.pdf" </w:instrText>
            </w:r>
            <w:r>
              <w:rPr>
                <w:rFonts w:hint="default" w:ascii="Times New Roman" w:hAnsi="Times New Roman" w:eastAsia="宋体" w:cs="Times New Roman"/>
                <w:color w:val="auto"/>
                <w:kern w:val="0"/>
                <w:sz w:val="24"/>
                <w:highlight w:val="none"/>
              </w:rPr>
              <w:fldChar w:fldCharType="separate"/>
            </w:r>
            <w:r>
              <w:rPr>
                <w:rFonts w:hint="default" w:ascii="Times New Roman" w:hAnsi="Times New Roman" w:eastAsia="宋体" w:cs="Times New Roman"/>
                <w:color w:val="auto"/>
                <w:kern w:val="0"/>
                <w:sz w:val="24"/>
                <w:highlight w:val="none"/>
              </w:rPr>
              <w:t>排污单位自行监测技术指南火力发电及锅炉》（HJ820-2017）</w:t>
            </w:r>
            <w:r>
              <w:rPr>
                <w:rFonts w:hint="default" w:ascii="Times New Roman" w:hAnsi="Times New Roman" w:eastAsia="宋体" w:cs="Times New Roman"/>
                <w:color w:val="auto"/>
                <w:kern w:val="0"/>
                <w:sz w:val="24"/>
                <w:highlight w:val="none"/>
              </w:rPr>
              <w:fldChar w:fldCharType="end"/>
            </w:r>
            <w:r>
              <w:rPr>
                <w:rFonts w:hint="default" w:ascii="Times New Roman" w:hAnsi="Times New Roman" w:eastAsia="宋体" w:cs="Times New Roman"/>
                <w:color w:val="auto"/>
                <w:spacing w:val="-5"/>
                <w:sz w:val="24"/>
                <w:szCs w:val="21"/>
                <w:highlight w:val="none"/>
              </w:rPr>
              <w:t>，并结合本项目的实际排污状况制定废</w:t>
            </w:r>
            <w:r>
              <w:rPr>
                <w:rFonts w:hint="eastAsia" w:ascii="Times New Roman" w:hAnsi="Times New Roman" w:eastAsia="宋体" w:cs="Times New Roman"/>
                <w:color w:val="auto"/>
                <w:spacing w:val="-5"/>
                <w:sz w:val="24"/>
                <w:szCs w:val="21"/>
                <w:highlight w:val="none"/>
                <w:lang w:val="en-US" w:eastAsia="zh-CN"/>
              </w:rPr>
              <w:t>水</w:t>
            </w:r>
            <w:r>
              <w:rPr>
                <w:rFonts w:hint="default" w:ascii="Times New Roman" w:hAnsi="Times New Roman" w:eastAsia="宋体" w:cs="Times New Roman"/>
                <w:color w:val="auto"/>
                <w:spacing w:val="-5"/>
                <w:sz w:val="24"/>
                <w:szCs w:val="21"/>
                <w:highlight w:val="none"/>
              </w:rPr>
              <w:t>监测计划。</w:t>
            </w:r>
          </w:p>
          <w:p w14:paraId="01A6F6A9">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本项目</w:t>
            </w:r>
            <w:r>
              <w:rPr>
                <w:rFonts w:hint="eastAsia" w:ascii="Times New Roman" w:hAnsi="Times New Roman" w:eastAsia="宋体" w:cs="Times New Roman"/>
                <w:b/>
                <w:bCs/>
                <w:color w:val="auto"/>
                <w:sz w:val="24"/>
                <w:szCs w:val="24"/>
                <w:lang w:val="en-US" w:eastAsia="zh-CN"/>
              </w:rPr>
              <w:t>废水</w:t>
            </w:r>
            <w:r>
              <w:rPr>
                <w:rFonts w:hint="default" w:ascii="Times New Roman" w:hAnsi="Times New Roman" w:eastAsia="宋体" w:cs="Times New Roman"/>
                <w:b/>
                <w:bCs/>
                <w:color w:val="auto"/>
                <w:sz w:val="24"/>
                <w:szCs w:val="24"/>
              </w:rPr>
              <w:t>监测计划</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242"/>
              <w:gridCol w:w="1345"/>
              <w:gridCol w:w="897"/>
              <w:gridCol w:w="3136"/>
            </w:tblGrid>
            <w:tr w14:paraId="394B7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065" w:type="pct"/>
                  <w:noWrap w:val="0"/>
                  <w:vAlign w:val="center"/>
                </w:tcPr>
                <w:p w14:paraId="1F199838">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排污类别</w:t>
                  </w:r>
                </w:p>
              </w:tc>
              <w:tc>
                <w:tcPr>
                  <w:tcW w:w="738" w:type="pct"/>
                  <w:noWrap w:val="0"/>
                  <w:vAlign w:val="center"/>
                </w:tcPr>
                <w:p w14:paraId="57B3338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监测点位</w:t>
                  </w:r>
                </w:p>
              </w:tc>
              <w:tc>
                <w:tcPr>
                  <w:tcW w:w="799" w:type="pct"/>
                  <w:noWrap w:val="0"/>
                  <w:vAlign w:val="center"/>
                </w:tcPr>
                <w:p w14:paraId="057171DF">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监测指标</w:t>
                  </w:r>
                </w:p>
              </w:tc>
              <w:tc>
                <w:tcPr>
                  <w:tcW w:w="533" w:type="pct"/>
                  <w:noWrap w:val="0"/>
                  <w:vAlign w:val="center"/>
                </w:tcPr>
                <w:p w14:paraId="2AF541D7">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监测频次</w:t>
                  </w:r>
                </w:p>
              </w:tc>
              <w:tc>
                <w:tcPr>
                  <w:tcW w:w="1863" w:type="pct"/>
                  <w:noWrap w:val="0"/>
                  <w:vAlign w:val="center"/>
                </w:tcPr>
                <w:p w14:paraId="25155D5A">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执行标准</w:t>
                  </w:r>
                </w:p>
              </w:tc>
            </w:tr>
            <w:tr w14:paraId="3F5B4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pct"/>
                  <w:noWrap w:val="0"/>
                  <w:vAlign w:val="center"/>
                </w:tcPr>
                <w:p w14:paraId="2CE89AE7">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w:t>
                  </w:r>
                  <w:r>
                    <w:rPr>
                      <w:rFonts w:hint="eastAsia" w:ascii="Times New Roman" w:hAnsi="Times New Roman" w:eastAsia="宋体" w:cs="Times New Roman"/>
                      <w:bCs/>
                      <w:color w:val="auto"/>
                      <w:szCs w:val="21"/>
                      <w:highlight w:val="none"/>
                      <w:lang w:val="en-US" w:eastAsia="zh-CN"/>
                    </w:rPr>
                    <w:t>水</w:t>
                  </w:r>
                </w:p>
              </w:tc>
              <w:tc>
                <w:tcPr>
                  <w:tcW w:w="738" w:type="pct"/>
                  <w:noWrap w:val="0"/>
                  <w:vAlign w:val="center"/>
                </w:tcPr>
                <w:p w14:paraId="773E0DB8">
                  <w:pPr>
                    <w:jc w:val="center"/>
                    <w:rPr>
                      <w:rFonts w:hint="default" w:ascii="Times New Roman" w:hAnsi="Times New Roman" w:eastAsia="宋体" w:cs="Times New Roman"/>
                      <w:bCs/>
                      <w:color w:val="auto"/>
                      <w:kern w:val="0"/>
                      <w:szCs w:val="21"/>
                      <w:highlight w:val="none"/>
                      <w:lang w:val="en-US"/>
                    </w:rPr>
                  </w:pPr>
                  <w:r>
                    <w:rPr>
                      <w:rFonts w:hint="eastAsia" w:ascii="Times New Roman" w:hAnsi="Times New Roman" w:eastAsia="宋体" w:cs="Times New Roman"/>
                      <w:bCs/>
                      <w:color w:val="auto"/>
                      <w:kern w:val="0"/>
                      <w:szCs w:val="21"/>
                      <w:highlight w:val="none"/>
                      <w:lang w:val="en-US" w:eastAsia="zh-CN"/>
                    </w:rPr>
                    <w:t>污水总排口</w:t>
                  </w:r>
                </w:p>
              </w:tc>
              <w:tc>
                <w:tcPr>
                  <w:tcW w:w="799" w:type="pct"/>
                  <w:noWrap w:val="0"/>
                  <w:vAlign w:val="center"/>
                </w:tcPr>
                <w:p w14:paraId="68496B45">
                  <w:pPr>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pH 值、化学需氧量、氨氮、悬浮物、总磷、溶解性总固体</w:t>
                  </w:r>
                  <w:r>
                    <w:rPr>
                      <w:rFonts w:hint="eastAsia" w:ascii="Times New Roman" w:hAnsi="Times New Roman" w:eastAsia="宋体" w:cs="Times New Roman"/>
                      <w:bCs/>
                      <w:color w:val="auto"/>
                      <w:kern w:val="0"/>
                      <w:szCs w:val="21"/>
                      <w:highlight w:val="none"/>
                      <w:lang w:eastAsia="zh-CN"/>
                    </w:rPr>
                    <w:t>（</w:t>
                  </w:r>
                  <w:r>
                    <w:rPr>
                      <w:rFonts w:hint="default" w:ascii="Times New Roman" w:hAnsi="Times New Roman" w:eastAsia="宋体" w:cs="Times New Roman"/>
                      <w:bCs/>
                      <w:color w:val="auto"/>
                      <w:kern w:val="0"/>
                      <w:szCs w:val="21"/>
                      <w:highlight w:val="none"/>
                    </w:rPr>
                    <w:t>全盐量</w:t>
                  </w:r>
                  <w:r>
                    <w:rPr>
                      <w:rFonts w:hint="eastAsia" w:ascii="Times New Roman" w:hAnsi="Times New Roman" w:eastAsia="宋体" w:cs="Times New Roman"/>
                      <w:bCs/>
                      <w:color w:val="auto"/>
                      <w:kern w:val="0"/>
                      <w:szCs w:val="21"/>
                      <w:highlight w:val="none"/>
                      <w:lang w:eastAsia="zh-CN"/>
                    </w:rPr>
                    <w:t>）</w:t>
                  </w:r>
                  <w:r>
                    <w:rPr>
                      <w:rFonts w:hint="default" w:ascii="Times New Roman" w:hAnsi="Times New Roman" w:eastAsia="宋体" w:cs="Times New Roman"/>
                      <w:bCs/>
                      <w:color w:val="auto"/>
                      <w:kern w:val="0"/>
                      <w:szCs w:val="21"/>
                      <w:highlight w:val="none"/>
                    </w:rPr>
                    <w:t>、流量</w:t>
                  </w:r>
                </w:p>
              </w:tc>
              <w:tc>
                <w:tcPr>
                  <w:tcW w:w="533" w:type="pct"/>
                  <w:noWrap w:val="0"/>
                  <w:vAlign w:val="center"/>
                </w:tcPr>
                <w:p w14:paraId="6922DE6D">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每</w:t>
                  </w:r>
                  <w:r>
                    <w:rPr>
                      <w:rFonts w:hint="eastAsia" w:ascii="Times New Roman" w:hAnsi="Times New Roman" w:eastAsia="宋体" w:cs="Times New Roman"/>
                      <w:bCs/>
                      <w:color w:val="auto"/>
                      <w:kern w:val="0"/>
                      <w:sz w:val="21"/>
                      <w:szCs w:val="21"/>
                      <w:highlight w:val="none"/>
                      <w:lang w:val="en-US" w:eastAsia="zh-CN"/>
                    </w:rPr>
                    <w:t>季度</w:t>
                  </w:r>
                  <w:r>
                    <w:rPr>
                      <w:rFonts w:hint="default" w:ascii="Times New Roman" w:hAnsi="Times New Roman" w:eastAsia="宋体" w:cs="Times New Roman"/>
                      <w:bCs/>
                      <w:color w:val="auto"/>
                      <w:kern w:val="0"/>
                      <w:sz w:val="21"/>
                      <w:szCs w:val="21"/>
                      <w:highlight w:val="none"/>
                    </w:rPr>
                    <w:t>监测1次</w:t>
                  </w:r>
                </w:p>
              </w:tc>
              <w:tc>
                <w:tcPr>
                  <w:tcW w:w="1863" w:type="pct"/>
                  <w:noWrap w:val="0"/>
                  <w:vAlign w:val="center"/>
                </w:tcPr>
                <w:p w14:paraId="2989FCBF">
                  <w:pPr>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《污水综合排放标准》（GB8978-1996）中的三级标准要求</w:t>
                  </w:r>
                </w:p>
              </w:tc>
            </w:tr>
          </w:tbl>
          <w:p w14:paraId="2788E9B0">
            <w:pPr>
              <w:pStyle w:val="2"/>
              <w:rPr>
                <w:rFonts w:hint="default"/>
                <w:color w:val="auto"/>
                <w:highlight w:val="none"/>
                <w:lang w:val="en-US" w:eastAsia="zh-CN"/>
              </w:rPr>
            </w:pPr>
          </w:p>
          <w:p w14:paraId="5AFB1716">
            <w:pPr>
              <w:spacing w:line="360" w:lineRule="auto"/>
              <w:ind w:firstLine="480" w:firstLineChars="200"/>
              <w:contextualSpacing/>
              <w:rPr>
                <w:rFonts w:hint="default" w:ascii="Times New Roman" w:hAnsi="Times New Roman" w:cs="Times New Roman"/>
                <w:b w:val="0"/>
                <w:bCs w:val="0"/>
                <w:color w:val="auto"/>
                <w:sz w:val="24"/>
                <w:szCs w:val="24"/>
                <w:highlight w:val="none"/>
              </w:rPr>
            </w:pPr>
            <w:r>
              <w:rPr>
                <w:rFonts w:hint="eastAsia" w:ascii="Times New Roman" w:hAnsi="Times New Roman"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rPr>
              <w:t>达标排放分析及废</w:t>
            </w:r>
            <w:r>
              <w:rPr>
                <w:rFonts w:hint="eastAsia" w:ascii="Times New Roman" w:hAnsi="Times New Roman" w:cs="Times New Roman"/>
                <w:b w:val="0"/>
                <w:bCs w:val="0"/>
                <w:color w:val="auto"/>
                <w:sz w:val="24"/>
                <w:szCs w:val="24"/>
                <w:highlight w:val="none"/>
                <w:lang w:val="en-US" w:eastAsia="zh-CN"/>
              </w:rPr>
              <w:t>水</w:t>
            </w:r>
            <w:r>
              <w:rPr>
                <w:rFonts w:hint="default" w:ascii="Times New Roman" w:hAnsi="Times New Roman" w:cs="Times New Roman"/>
                <w:b w:val="0"/>
                <w:bCs w:val="0"/>
                <w:color w:val="auto"/>
                <w:sz w:val="24"/>
                <w:szCs w:val="24"/>
                <w:highlight w:val="none"/>
              </w:rPr>
              <w:t>排放环境影响</w:t>
            </w:r>
          </w:p>
          <w:p w14:paraId="26FEA307">
            <w:pPr>
              <w:pStyle w:val="48"/>
              <w:spacing w:line="360" w:lineRule="auto"/>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锅炉排污水</w:t>
            </w:r>
            <w:r>
              <w:rPr>
                <w:rFonts w:hint="eastAsia" w:ascii="Times New Roman" w:hAnsi="Times New Roman" w:cs="Times New Roman"/>
                <w:color w:val="auto"/>
                <w:sz w:val="24"/>
                <w:szCs w:val="24"/>
                <w:highlight w:val="none"/>
                <w:lang w:val="en-US" w:eastAsia="zh-CN"/>
              </w:rPr>
              <w:t>废水经沉淀</w:t>
            </w:r>
            <w:r>
              <w:rPr>
                <w:rFonts w:hint="eastAsia" w:ascii="Times New Roman" w:hAnsi="Times New Roman" w:eastAsia="宋体" w:cs="Times New Roman"/>
                <w:color w:val="auto"/>
                <w:sz w:val="24"/>
                <w:highlight w:val="none"/>
                <w:lang w:val="en-US" w:eastAsia="zh-CN"/>
              </w:rPr>
              <w:t>池处理后与生活污水经化粪池处理后一同经污水管网排至嘉荫县污水处理厂</w:t>
            </w:r>
            <w:r>
              <w:rPr>
                <w:rFonts w:hint="default" w:ascii="Times New Roman" w:hAnsi="Times New Roman" w:eastAsia="宋体" w:cs="Times New Roman"/>
                <w:color w:val="auto"/>
                <w:sz w:val="24"/>
                <w:highlight w:val="none"/>
              </w:rPr>
              <w:t>。污染物排放浓度符合</w:t>
            </w:r>
            <w:r>
              <w:rPr>
                <w:rFonts w:hint="eastAsia" w:ascii="Times New Roman" w:hAnsi="Times New Roman" w:eastAsia="宋体" w:cs="Times New Roman"/>
                <w:color w:val="auto"/>
                <w:sz w:val="24"/>
                <w:highlight w:val="none"/>
                <w:lang w:val="en-US" w:eastAsia="zh-CN"/>
              </w:rPr>
              <w:t>《污水综合排放标准》（GB8978-1996）中的三级标准要求</w:t>
            </w:r>
            <w:r>
              <w:rPr>
                <w:rFonts w:hint="default" w:ascii="Times New Roman" w:hAnsi="Times New Roman" w:eastAsia="宋体" w:cs="Times New Roman"/>
                <w:color w:val="auto"/>
                <w:sz w:val="24"/>
                <w:highlight w:val="none"/>
                <w:lang w:eastAsia="zh-CN"/>
              </w:rPr>
              <w:t>。</w:t>
            </w:r>
          </w:p>
          <w:p w14:paraId="3BA801A6">
            <w:pPr>
              <w:spacing w:line="360" w:lineRule="auto"/>
              <w:ind w:firstLine="480" w:firstLineChars="200"/>
              <w:contextualSpacing/>
              <w:rPr>
                <w:rFonts w:hint="default" w:ascii="Times New Roman" w:hAnsi="Times New Roman" w:eastAsia="宋体" w:cs="Times New Roman"/>
                <w:b/>
                <w:bCs/>
                <w:color w:val="auto"/>
                <w:kern w:val="0"/>
                <w:sz w:val="24"/>
                <w:szCs w:val="24"/>
                <w:highlight w:val="none"/>
              </w:rPr>
            </w:pPr>
            <w:r>
              <w:rPr>
                <w:rFonts w:hint="default" w:ascii="Times New Roman" w:hAnsi="Times New Roman" w:cs="Times New Roman"/>
                <w:bCs/>
                <w:color w:val="auto"/>
                <w:sz w:val="24"/>
                <w:szCs w:val="24"/>
                <w:highlight w:val="none"/>
              </w:rPr>
              <w:t>综上所述，通过采取以上措施及合理布局，本项目产生的废</w:t>
            </w:r>
            <w:r>
              <w:rPr>
                <w:rFonts w:hint="eastAsia" w:ascii="Times New Roman" w:hAnsi="Times New Roman" w:cs="Times New Roman"/>
                <w:bCs/>
                <w:color w:val="auto"/>
                <w:sz w:val="24"/>
                <w:szCs w:val="24"/>
                <w:highlight w:val="none"/>
                <w:lang w:val="en-US" w:eastAsia="zh-CN"/>
              </w:rPr>
              <w:t>水</w:t>
            </w:r>
            <w:r>
              <w:rPr>
                <w:rFonts w:hint="default" w:ascii="Times New Roman" w:hAnsi="Times New Roman" w:cs="Times New Roman"/>
                <w:bCs/>
                <w:color w:val="auto"/>
                <w:sz w:val="24"/>
                <w:szCs w:val="24"/>
                <w:highlight w:val="none"/>
              </w:rPr>
              <w:t>对周边环境影响较小。</w:t>
            </w:r>
          </w:p>
          <w:p w14:paraId="075D174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cs="Times New Roman"/>
                <w:b/>
                <w:bCs w:val="0"/>
                <w:color w:val="auto"/>
                <w:spacing w:val="-10"/>
                <w:sz w:val="24"/>
                <w:szCs w:val="24"/>
                <w:lang w:val="en-US" w:eastAsia="zh-CN"/>
              </w:rPr>
              <w:t>三、</w:t>
            </w:r>
            <w:r>
              <w:rPr>
                <w:rFonts w:hint="default" w:ascii="Times New Roman" w:hAnsi="Times New Roman" w:eastAsia="宋体" w:cs="Times New Roman"/>
                <w:b/>
                <w:bCs w:val="0"/>
                <w:color w:val="auto"/>
                <w:spacing w:val="-10"/>
                <w:sz w:val="24"/>
                <w:szCs w:val="24"/>
                <w:lang w:val="en-US" w:eastAsia="zh-CN"/>
              </w:rPr>
              <w:t>噪声</w:t>
            </w:r>
          </w:p>
          <w:p w14:paraId="361589A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（1）源强分析</w:t>
            </w:r>
          </w:p>
          <w:p w14:paraId="7EA70AD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bCs/>
                <w:color w:val="auto"/>
                <w:spacing w:val="-10"/>
                <w:sz w:val="24"/>
                <w:szCs w:val="24"/>
                <w:lang w:val="en-US" w:eastAsia="zh-CN"/>
              </w:rPr>
              <w:t>本项目噪声主要来源于</w:t>
            </w:r>
            <w:r>
              <w:rPr>
                <w:rFonts w:hint="default" w:ascii="Times New Roman" w:hAnsi="Times New Roman" w:cs="Times New Roman"/>
                <w:color w:val="auto"/>
                <w:sz w:val="24"/>
                <w:szCs w:val="24"/>
                <w:lang w:val="en-US" w:eastAsia="zh-CN"/>
              </w:rPr>
              <w:t>设备</w:t>
            </w:r>
            <w:r>
              <w:rPr>
                <w:rFonts w:hint="eastAsia" w:cs="Times New Roman"/>
                <w:color w:val="auto"/>
                <w:sz w:val="24"/>
                <w:szCs w:val="24"/>
                <w:lang w:val="en-US" w:eastAsia="zh-CN"/>
              </w:rPr>
              <w:t>和风机噪声</w:t>
            </w:r>
            <w:r>
              <w:rPr>
                <w:rFonts w:hint="default" w:ascii="Times New Roman" w:hAnsi="Times New Roman" w:cs="Times New Roman"/>
                <w:color w:val="auto"/>
                <w:sz w:val="24"/>
                <w:szCs w:val="24"/>
                <w:lang w:val="en-US" w:eastAsia="zh-CN"/>
              </w:rPr>
              <w:t>，具体噪声源强详见下表。</w:t>
            </w:r>
          </w:p>
          <w:p w14:paraId="0C5FF6F4">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噪声源排放特征及噪声值情况表</w:t>
            </w:r>
          </w:p>
          <w:tbl>
            <w:tblPr>
              <w:tblStyle w:val="28"/>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893"/>
              <w:gridCol w:w="668"/>
              <w:gridCol w:w="801"/>
              <w:gridCol w:w="974"/>
              <w:gridCol w:w="1184"/>
              <w:gridCol w:w="691"/>
              <w:gridCol w:w="779"/>
              <w:gridCol w:w="917"/>
              <w:gridCol w:w="857"/>
            </w:tblGrid>
            <w:tr w14:paraId="373603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2" w:type="pct"/>
                  <w:vMerge w:val="restart"/>
                  <w:tcBorders>
                    <w:tl2br w:val="nil"/>
                    <w:tr2bl w:val="nil"/>
                  </w:tcBorders>
                  <w:noWrap w:val="0"/>
                  <w:vAlign w:val="center"/>
                </w:tcPr>
                <w:p w14:paraId="128070A8">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eastAsia="zh-CN"/>
                    </w:rPr>
                    <w:t>工序</w:t>
                  </w:r>
                  <w:r>
                    <w:rPr>
                      <w:rFonts w:hint="default" w:ascii="Times New Roman" w:hAnsi="Times New Roman" w:eastAsia="宋体" w:cs="Times New Roman"/>
                      <w:b w:val="0"/>
                      <w:bCs w:val="0"/>
                      <w:color w:val="auto"/>
                      <w:spacing w:val="0"/>
                      <w:sz w:val="21"/>
                      <w:szCs w:val="21"/>
                      <w:lang w:val="en-US" w:eastAsia="zh-CN"/>
                    </w:rPr>
                    <w:t>生产线</w:t>
                  </w:r>
                </w:p>
              </w:tc>
              <w:tc>
                <w:tcPr>
                  <w:tcW w:w="531" w:type="pct"/>
                  <w:vMerge w:val="restart"/>
                  <w:tcBorders>
                    <w:tl2br w:val="nil"/>
                    <w:tr2bl w:val="nil"/>
                  </w:tcBorders>
                  <w:noWrap w:val="0"/>
                  <w:vAlign w:val="center"/>
                </w:tcPr>
                <w:p w14:paraId="61DB3A42">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lang w:eastAsia="zh-CN"/>
                    </w:rPr>
                    <w:t>噪声源</w:t>
                  </w:r>
                </w:p>
              </w:tc>
              <w:tc>
                <w:tcPr>
                  <w:tcW w:w="397" w:type="pct"/>
                  <w:vMerge w:val="restart"/>
                  <w:tcBorders>
                    <w:tl2br w:val="nil"/>
                    <w:tr2bl w:val="nil"/>
                  </w:tcBorders>
                  <w:noWrap w:val="0"/>
                  <w:vAlign w:val="center"/>
                </w:tcPr>
                <w:p w14:paraId="26D4F269">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噪声类型</w:t>
                  </w:r>
                </w:p>
              </w:tc>
              <w:tc>
                <w:tcPr>
                  <w:tcW w:w="1055" w:type="pct"/>
                  <w:gridSpan w:val="2"/>
                  <w:tcBorders>
                    <w:tl2br w:val="nil"/>
                    <w:tr2bl w:val="nil"/>
                  </w:tcBorders>
                  <w:noWrap w:val="0"/>
                  <w:vAlign w:val="center"/>
                </w:tcPr>
                <w:p w14:paraId="564CBAA2">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噪声源强</w:t>
                  </w:r>
                </w:p>
              </w:tc>
              <w:tc>
                <w:tcPr>
                  <w:tcW w:w="1115" w:type="pct"/>
                  <w:gridSpan w:val="2"/>
                  <w:tcBorders>
                    <w:tl2br w:val="nil"/>
                    <w:tr2bl w:val="nil"/>
                  </w:tcBorders>
                  <w:noWrap w:val="0"/>
                  <w:vAlign w:val="center"/>
                </w:tcPr>
                <w:p w14:paraId="53709CC3">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降噪措施</w:t>
                  </w:r>
                </w:p>
              </w:tc>
              <w:tc>
                <w:tcPr>
                  <w:tcW w:w="1008" w:type="pct"/>
                  <w:gridSpan w:val="2"/>
                  <w:tcBorders>
                    <w:tl2br w:val="nil"/>
                    <w:tr2bl w:val="nil"/>
                  </w:tcBorders>
                  <w:noWrap w:val="0"/>
                  <w:vAlign w:val="center"/>
                </w:tcPr>
                <w:p w14:paraId="2B668259">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噪声排放值</w:t>
                  </w:r>
                </w:p>
              </w:tc>
              <w:tc>
                <w:tcPr>
                  <w:tcW w:w="509" w:type="pct"/>
                  <w:vMerge w:val="restart"/>
                  <w:tcBorders>
                    <w:tl2br w:val="nil"/>
                    <w:tr2bl w:val="nil"/>
                  </w:tcBorders>
                  <w:noWrap w:val="0"/>
                  <w:vAlign w:val="center"/>
                </w:tcPr>
                <w:p w14:paraId="65EBB6D1">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持续时间（</w:t>
                  </w:r>
                  <w:r>
                    <w:rPr>
                      <w:rFonts w:hint="default" w:ascii="Times New Roman" w:hAnsi="Times New Roman" w:eastAsia="宋体" w:cs="Times New Roman"/>
                      <w:b w:val="0"/>
                      <w:bCs w:val="0"/>
                      <w:color w:val="auto"/>
                      <w:spacing w:val="0"/>
                      <w:sz w:val="21"/>
                      <w:szCs w:val="21"/>
                      <w:lang w:val="en-US" w:eastAsia="zh-CN"/>
                    </w:rPr>
                    <w:t>h</w:t>
                  </w:r>
                  <w:r>
                    <w:rPr>
                      <w:rFonts w:hint="default" w:ascii="Times New Roman" w:hAnsi="Times New Roman" w:eastAsia="宋体" w:cs="Times New Roman"/>
                      <w:b w:val="0"/>
                      <w:bCs w:val="0"/>
                      <w:color w:val="auto"/>
                      <w:spacing w:val="0"/>
                      <w:sz w:val="21"/>
                      <w:szCs w:val="21"/>
                      <w:lang w:eastAsia="zh-CN"/>
                    </w:rPr>
                    <w:t>）</w:t>
                  </w:r>
                </w:p>
              </w:tc>
            </w:tr>
            <w:tr w14:paraId="29DA0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2" w:type="pct"/>
                  <w:vMerge w:val="continue"/>
                  <w:tcBorders>
                    <w:tl2br w:val="nil"/>
                    <w:tr2bl w:val="nil"/>
                  </w:tcBorders>
                  <w:noWrap w:val="0"/>
                  <w:vAlign w:val="center"/>
                </w:tcPr>
                <w:p w14:paraId="1D883F9A">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p>
              </w:tc>
              <w:tc>
                <w:tcPr>
                  <w:tcW w:w="531" w:type="pct"/>
                  <w:vMerge w:val="continue"/>
                  <w:tcBorders>
                    <w:tl2br w:val="nil"/>
                    <w:tr2bl w:val="nil"/>
                  </w:tcBorders>
                  <w:noWrap w:val="0"/>
                  <w:vAlign w:val="center"/>
                </w:tcPr>
                <w:p w14:paraId="5C950A72">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p>
              </w:tc>
              <w:tc>
                <w:tcPr>
                  <w:tcW w:w="397" w:type="pct"/>
                  <w:vMerge w:val="continue"/>
                  <w:tcBorders>
                    <w:tl2br w:val="nil"/>
                    <w:tr2bl w:val="nil"/>
                  </w:tcBorders>
                  <w:noWrap w:val="0"/>
                  <w:vAlign w:val="center"/>
                </w:tcPr>
                <w:p w14:paraId="696772CD">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p>
              </w:tc>
              <w:tc>
                <w:tcPr>
                  <w:tcW w:w="476" w:type="pct"/>
                  <w:tcBorders>
                    <w:tl2br w:val="nil"/>
                    <w:tr2bl w:val="nil"/>
                  </w:tcBorders>
                  <w:noWrap w:val="0"/>
                  <w:vAlign w:val="center"/>
                </w:tcPr>
                <w:p w14:paraId="4E287DF7">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核算</w:t>
                  </w:r>
                </w:p>
                <w:p w14:paraId="467B1D70">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方法</w:t>
                  </w:r>
                </w:p>
              </w:tc>
              <w:tc>
                <w:tcPr>
                  <w:tcW w:w="579" w:type="pct"/>
                  <w:tcBorders>
                    <w:tl2br w:val="nil"/>
                    <w:tr2bl w:val="nil"/>
                  </w:tcBorders>
                  <w:noWrap w:val="0"/>
                  <w:vAlign w:val="center"/>
                </w:tcPr>
                <w:p w14:paraId="5278A30F">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噪声值dB（A）</w:t>
                  </w:r>
                </w:p>
              </w:tc>
              <w:tc>
                <w:tcPr>
                  <w:tcW w:w="704" w:type="pct"/>
                  <w:tcBorders>
                    <w:tl2br w:val="nil"/>
                    <w:tr2bl w:val="nil"/>
                  </w:tcBorders>
                  <w:noWrap w:val="0"/>
                  <w:vAlign w:val="center"/>
                </w:tcPr>
                <w:p w14:paraId="1F1B3E69">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工艺</w:t>
                  </w:r>
                </w:p>
              </w:tc>
              <w:tc>
                <w:tcPr>
                  <w:tcW w:w="410" w:type="pct"/>
                  <w:tcBorders>
                    <w:tl2br w:val="nil"/>
                    <w:tr2bl w:val="nil"/>
                  </w:tcBorders>
                  <w:noWrap w:val="0"/>
                  <w:vAlign w:val="center"/>
                </w:tcPr>
                <w:p w14:paraId="7137E771">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降噪效果</w:t>
                  </w:r>
                </w:p>
              </w:tc>
              <w:tc>
                <w:tcPr>
                  <w:tcW w:w="463" w:type="pct"/>
                  <w:tcBorders>
                    <w:tl2br w:val="nil"/>
                    <w:tr2bl w:val="nil"/>
                  </w:tcBorders>
                  <w:noWrap w:val="0"/>
                  <w:vAlign w:val="center"/>
                </w:tcPr>
                <w:p w14:paraId="6488FA9E">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核算</w:t>
                  </w:r>
                </w:p>
                <w:p w14:paraId="4C61445F">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lang w:eastAsia="zh-CN"/>
                    </w:rPr>
                    <w:t>方法</w:t>
                  </w:r>
                </w:p>
              </w:tc>
              <w:tc>
                <w:tcPr>
                  <w:tcW w:w="544" w:type="pct"/>
                  <w:tcBorders>
                    <w:tl2br w:val="nil"/>
                    <w:tr2bl w:val="nil"/>
                  </w:tcBorders>
                  <w:noWrap w:val="0"/>
                  <w:vAlign w:val="center"/>
                </w:tcPr>
                <w:p w14:paraId="7B5449C5">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lang w:val="en-US" w:eastAsia="zh-CN"/>
                    </w:rPr>
                    <w:t>噪声值dB（A）</w:t>
                  </w:r>
                </w:p>
              </w:tc>
              <w:tc>
                <w:tcPr>
                  <w:tcW w:w="509" w:type="pct"/>
                  <w:vMerge w:val="continue"/>
                  <w:tcBorders>
                    <w:tl2br w:val="nil"/>
                    <w:tr2bl w:val="nil"/>
                  </w:tcBorders>
                  <w:noWrap w:val="0"/>
                  <w:vAlign w:val="center"/>
                </w:tcPr>
                <w:p w14:paraId="3CBEE884">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p>
              </w:tc>
            </w:tr>
            <w:tr w14:paraId="5A873C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2" w:type="pct"/>
                  <w:vMerge w:val="restart"/>
                  <w:tcBorders>
                    <w:tl2br w:val="nil"/>
                    <w:tr2bl w:val="nil"/>
                  </w:tcBorders>
                  <w:noWrap w:val="0"/>
                  <w:vAlign w:val="center"/>
                </w:tcPr>
                <w:p w14:paraId="4DE77453">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供热</w:t>
                  </w:r>
                </w:p>
              </w:tc>
              <w:tc>
                <w:tcPr>
                  <w:tcW w:w="531" w:type="pct"/>
                  <w:tcBorders>
                    <w:tl2br w:val="nil"/>
                    <w:tr2bl w:val="nil"/>
                  </w:tcBorders>
                  <w:noWrap w:val="0"/>
                  <w:vAlign w:val="center"/>
                </w:tcPr>
                <w:p w14:paraId="5030F2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气化炉鼓风机</w:t>
                  </w:r>
                </w:p>
              </w:tc>
              <w:tc>
                <w:tcPr>
                  <w:tcW w:w="397" w:type="pct"/>
                  <w:tcBorders>
                    <w:tl2br w:val="nil"/>
                    <w:tr2bl w:val="nil"/>
                  </w:tcBorders>
                  <w:noWrap w:val="0"/>
                  <w:vAlign w:val="center"/>
                </w:tcPr>
                <w:p w14:paraId="631CB841">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476" w:type="pct"/>
                  <w:vMerge w:val="restart"/>
                  <w:tcBorders>
                    <w:tl2br w:val="nil"/>
                    <w:tr2bl w:val="nil"/>
                  </w:tcBorders>
                  <w:noWrap w:val="0"/>
                  <w:vAlign w:val="center"/>
                </w:tcPr>
                <w:p w14:paraId="2C864359">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类比法</w:t>
                  </w:r>
                </w:p>
              </w:tc>
              <w:tc>
                <w:tcPr>
                  <w:tcW w:w="579" w:type="pct"/>
                  <w:tcBorders>
                    <w:tl2br w:val="nil"/>
                    <w:tr2bl w:val="nil"/>
                  </w:tcBorders>
                  <w:noWrap w:val="0"/>
                  <w:vAlign w:val="center"/>
                </w:tcPr>
                <w:p w14:paraId="0160844C">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spacing w:val="0"/>
                      <w:kern w:val="0"/>
                      <w:sz w:val="21"/>
                      <w:szCs w:val="21"/>
                      <w:lang w:val="en-US" w:eastAsia="zh-CN" w:bidi="ar-SA"/>
                    </w:rPr>
                    <w:t>7</w:t>
                  </w:r>
                  <w:r>
                    <w:rPr>
                      <w:rFonts w:hint="default" w:ascii="Times New Roman" w:hAnsi="Times New Roman" w:eastAsia="宋体" w:cs="Times New Roman"/>
                      <w:color w:val="auto"/>
                      <w:spacing w:val="0"/>
                      <w:kern w:val="0"/>
                      <w:sz w:val="21"/>
                      <w:szCs w:val="21"/>
                      <w:lang w:val="en-US" w:eastAsia="zh-CN" w:bidi="ar-SA"/>
                    </w:rPr>
                    <w:t>5</w:t>
                  </w:r>
                </w:p>
              </w:tc>
              <w:tc>
                <w:tcPr>
                  <w:tcW w:w="1220" w:type="dxa"/>
                  <w:tcBorders>
                    <w:tl2br w:val="nil"/>
                    <w:tr2bl w:val="nil"/>
                  </w:tcBorders>
                  <w:noWrap w:val="0"/>
                  <w:vAlign w:val="center"/>
                </w:tcPr>
                <w:p w14:paraId="1A0E53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风口消音</w:t>
                  </w:r>
                  <w:r>
                    <w:rPr>
                      <w:rFonts w:hint="default" w:ascii="Times New Roman" w:hAnsi="Times New Roman" w:eastAsia="宋体" w:cs="Times New Roman"/>
                      <w:color w:val="auto"/>
                      <w:spacing w:val="0"/>
                      <w:sz w:val="21"/>
                      <w:szCs w:val="21"/>
                      <w:lang w:eastAsia="zh-CN"/>
                    </w:rPr>
                    <w:t>，厂房隔声</w:t>
                  </w:r>
                </w:p>
              </w:tc>
              <w:tc>
                <w:tcPr>
                  <w:tcW w:w="410" w:type="pct"/>
                  <w:tcBorders>
                    <w:tl2br w:val="nil"/>
                    <w:tr2bl w:val="nil"/>
                  </w:tcBorders>
                  <w:noWrap w:val="0"/>
                  <w:vAlign w:val="center"/>
                </w:tcPr>
                <w:p w14:paraId="649B8D74">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eastAsia="zh-CN"/>
                    </w:rPr>
                  </w:pPr>
                  <w:r>
                    <w:rPr>
                      <w:rFonts w:hint="default" w:ascii="Times New Roman" w:hAnsi="Times New Roman" w:cs="Times New Roman"/>
                      <w:b w:val="0"/>
                      <w:bCs w:val="0"/>
                      <w:color w:val="auto"/>
                      <w:spacing w:val="0"/>
                      <w:sz w:val="21"/>
                      <w:szCs w:val="21"/>
                      <w:lang w:val="en-US" w:eastAsia="zh-CN"/>
                    </w:rPr>
                    <w:t>20</w:t>
                  </w:r>
                </w:p>
              </w:tc>
              <w:tc>
                <w:tcPr>
                  <w:tcW w:w="463" w:type="pct"/>
                  <w:vMerge w:val="restart"/>
                  <w:tcBorders>
                    <w:tl2br w:val="nil"/>
                    <w:tr2bl w:val="nil"/>
                  </w:tcBorders>
                  <w:noWrap w:val="0"/>
                  <w:vAlign w:val="center"/>
                </w:tcPr>
                <w:p w14:paraId="0FABC99F">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cs="Times New Roman"/>
                      <w:color w:val="auto"/>
                      <w:spacing w:val="0"/>
                      <w:sz w:val="21"/>
                      <w:szCs w:val="21"/>
                      <w:lang w:val="en-US" w:eastAsia="zh-CN"/>
                    </w:rPr>
                    <w:t>类比法</w:t>
                  </w:r>
                </w:p>
              </w:tc>
              <w:tc>
                <w:tcPr>
                  <w:tcW w:w="544" w:type="pct"/>
                  <w:tcBorders>
                    <w:tl2br w:val="nil"/>
                    <w:tr2bl w:val="nil"/>
                  </w:tcBorders>
                  <w:noWrap w:val="0"/>
                  <w:vAlign w:val="center"/>
                </w:tcPr>
                <w:p w14:paraId="7DF944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55</w:t>
                  </w:r>
                </w:p>
              </w:tc>
              <w:tc>
                <w:tcPr>
                  <w:tcW w:w="509" w:type="pct"/>
                  <w:vMerge w:val="restart"/>
                  <w:tcBorders>
                    <w:tl2br w:val="nil"/>
                    <w:tr2bl w:val="nil"/>
                  </w:tcBorders>
                  <w:noWrap w:val="0"/>
                  <w:vAlign w:val="center"/>
                </w:tcPr>
                <w:p w14:paraId="0BFDE9F4">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8000</w:t>
                  </w:r>
                </w:p>
              </w:tc>
            </w:tr>
            <w:tr w14:paraId="0836C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382" w:type="pct"/>
                  <w:vMerge w:val="continue"/>
                  <w:tcBorders>
                    <w:tl2br w:val="nil"/>
                    <w:tr2bl w:val="nil"/>
                  </w:tcBorders>
                  <w:noWrap w:val="0"/>
                  <w:vAlign w:val="center"/>
                </w:tcPr>
                <w:p w14:paraId="049717B6">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0"/>
                      <w:sz w:val="21"/>
                      <w:szCs w:val="21"/>
                      <w:lang w:val="en-US" w:eastAsia="zh-CN"/>
                    </w:rPr>
                  </w:pPr>
                </w:p>
              </w:tc>
              <w:tc>
                <w:tcPr>
                  <w:tcW w:w="531" w:type="pct"/>
                  <w:tcBorders>
                    <w:tl2br w:val="nil"/>
                    <w:tr2bl w:val="nil"/>
                  </w:tcBorders>
                  <w:noWrap w:val="0"/>
                  <w:vAlign w:val="center"/>
                </w:tcPr>
                <w:p w14:paraId="22260747">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输送机</w:t>
                  </w:r>
                </w:p>
              </w:tc>
              <w:tc>
                <w:tcPr>
                  <w:tcW w:w="397" w:type="pct"/>
                  <w:tcBorders>
                    <w:tl2br w:val="nil"/>
                    <w:tr2bl w:val="nil"/>
                  </w:tcBorders>
                  <w:noWrap w:val="0"/>
                  <w:vAlign w:val="center"/>
                </w:tcPr>
                <w:p w14:paraId="49DACB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476" w:type="pct"/>
                  <w:vMerge w:val="continue"/>
                  <w:tcBorders>
                    <w:tl2br w:val="nil"/>
                    <w:tr2bl w:val="nil"/>
                  </w:tcBorders>
                  <w:noWrap w:val="0"/>
                  <w:vAlign w:val="center"/>
                </w:tcPr>
                <w:p w14:paraId="329ED202">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c>
                <w:tcPr>
                  <w:tcW w:w="579" w:type="pct"/>
                  <w:tcBorders>
                    <w:tl2br w:val="nil"/>
                    <w:tr2bl w:val="nil"/>
                  </w:tcBorders>
                  <w:noWrap w:val="0"/>
                  <w:vAlign w:val="center"/>
                </w:tcPr>
                <w:p w14:paraId="20326021">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7</w:t>
                  </w:r>
                  <w:r>
                    <w:rPr>
                      <w:rFonts w:hint="default" w:ascii="Times New Roman" w:hAnsi="Times New Roman" w:eastAsia="宋体" w:cs="Times New Roman"/>
                      <w:color w:val="auto"/>
                      <w:spacing w:val="0"/>
                      <w:sz w:val="21"/>
                      <w:szCs w:val="21"/>
                      <w:lang w:val="en-US" w:eastAsia="zh-CN"/>
                    </w:rPr>
                    <w:t>0</w:t>
                  </w:r>
                </w:p>
              </w:tc>
              <w:tc>
                <w:tcPr>
                  <w:tcW w:w="704" w:type="pct"/>
                  <w:tcBorders>
                    <w:tl2br w:val="nil"/>
                    <w:tr2bl w:val="nil"/>
                  </w:tcBorders>
                  <w:noWrap w:val="0"/>
                  <w:vAlign w:val="center"/>
                </w:tcPr>
                <w:p w14:paraId="1056C2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基础减振</w:t>
                  </w:r>
                  <w:r>
                    <w:rPr>
                      <w:rFonts w:hint="default" w:ascii="Times New Roman" w:hAnsi="Times New Roman" w:eastAsia="宋体" w:cs="Times New Roman"/>
                      <w:color w:val="auto"/>
                      <w:spacing w:val="0"/>
                      <w:sz w:val="21"/>
                      <w:szCs w:val="21"/>
                      <w:lang w:eastAsia="zh-CN"/>
                    </w:rPr>
                    <w:t>，厂房隔声</w:t>
                  </w:r>
                </w:p>
              </w:tc>
              <w:tc>
                <w:tcPr>
                  <w:tcW w:w="410" w:type="pct"/>
                  <w:tcBorders>
                    <w:tl2br w:val="nil"/>
                    <w:tr2bl w:val="nil"/>
                  </w:tcBorders>
                  <w:noWrap w:val="0"/>
                  <w:vAlign w:val="center"/>
                </w:tcPr>
                <w:p w14:paraId="6393CA39">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c>
                <w:tcPr>
                  <w:tcW w:w="463" w:type="pct"/>
                  <w:vMerge w:val="continue"/>
                  <w:tcBorders>
                    <w:tl2br w:val="nil"/>
                    <w:tr2bl w:val="nil"/>
                  </w:tcBorders>
                  <w:noWrap w:val="0"/>
                  <w:vAlign w:val="center"/>
                </w:tcPr>
                <w:p w14:paraId="0C272FEA">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p>
              </w:tc>
              <w:tc>
                <w:tcPr>
                  <w:tcW w:w="544" w:type="pct"/>
                  <w:tcBorders>
                    <w:tl2br w:val="nil"/>
                    <w:tr2bl w:val="nil"/>
                  </w:tcBorders>
                  <w:noWrap w:val="0"/>
                  <w:vAlign w:val="center"/>
                </w:tcPr>
                <w:p w14:paraId="3D64491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50</w:t>
                  </w:r>
                </w:p>
              </w:tc>
              <w:tc>
                <w:tcPr>
                  <w:tcW w:w="509" w:type="pct"/>
                  <w:vMerge w:val="continue"/>
                  <w:tcBorders>
                    <w:tl2br w:val="nil"/>
                    <w:tr2bl w:val="nil"/>
                  </w:tcBorders>
                  <w:noWrap w:val="0"/>
                  <w:vAlign w:val="center"/>
                </w:tcPr>
                <w:p w14:paraId="57B78890">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r>
            <w:tr w14:paraId="7B2224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2" w:type="pct"/>
                  <w:vMerge w:val="continue"/>
                  <w:tcBorders>
                    <w:tl2br w:val="nil"/>
                    <w:tr2bl w:val="nil"/>
                  </w:tcBorders>
                  <w:noWrap w:val="0"/>
                  <w:vAlign w:val="center"/>
                </w:tcPr>
                <w:p w14:paraId="620C6EED">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0"/>
                      <w:sz w:val="21"/>
                      <w:szCs w:val="21"/>
                      <w:lang w:val="en-US" w:eastAsia="zh-CN"/>
                    </w:rPr>
                  </w:pPr>
                </w:p>
              </w:tc>
              <w:tc>
                <w:tcPr>
                  <w:tcW w:w="531" w:type="pct"/>
                  <w:tcBorders>
                    <w:tl2br w:val="nil"/>
                    <w:tr2bl w:val="nil"/>
                  </w:tcBorders>
                  <w:noWrap w:val="0"/>
                  <w:vAlign w:val="center"/>
                </w:tcPr>
                <w:p w14:paraId="500906B8">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烟气引</w:t>
                  </w:r>
                  <w:r>
                    <w:rPr>
                      <w:rFonts w:hint="default" w:ascii="Times New Roman" w:hAnsi="Times New Roman" w:eastAsia="宋体" w:cs="Times New Roman"/>
                      <w:color w:val="auto"/>
                      <w:lang w:val="en-US" w:eastAsia="zh-CN"/>
                    </w:rPr>
                    <w:t>风机</w:t>
                  </w:r>
                </w:p>
              </w:tc>
              <w:tc>
                <w:tcPr>
                  <w:tcW w:w="397" w:type="pct"/>
                  <w:tcBorders>
                    <w:tl2br w:val="nil"/>
                    <w:tr2bl w:val="nil"/>
                  </w:tcBorders>
                  <w:noWrap w:val="0"/>
                  <w:vAlign w:val="center"/>
                </w:tcPr>
                <w:p w14:paraId="1F5F519F">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476" w:type="pct"/>
                  <w:vMerge w:val="continue"/>
                  <w:tcBorders>
                    <w:tl2br w:val="nil"/>
                    <w:tr2bl w:val="nil"/>
                  </w:tcBorders>
                  <w:noWrap w:val="0"/>
                  <w:vAlign w:val="center"/>
                </w:tcPr>
                <w:p w14:paraId="02E20830">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c>
                <w:tcPr>
                  <w:tcW w:w="579" w:type="pct"/>
                  <w:tcBorders>
                    <w:tl2br w:val="nil"/>
                    <w:tr2bl w:val="nil"/>
                  </w:tcBorders>
                  <w:noWrap w:val="0"/>
                  <w:vAlign w:val="center"/>
                </w:tcPr>
                <w:p w14:paraId="0979C50E">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7</w:t>
                  </w:r>
                  <w:r>
                    <w:rPr>
                      <w:rFonts w:hint="default" w:ascii="Times New Roman" w:hAnsi="Times New Roman" w:eastAsia="宋体" w:cs="Times New Roman"/>
                      <w:color w:val="auto"/>
                      <w:spacing w:val="0"/>
                      <w:sz w:val="21"/>
                      <w:szCs w:val="21"/>
                      <w:lang w:val="en-US" w:eastAsia="zh-CN"/>
                    </w:rPr>
                    <w:t>5</w:t>
                  </w:r>
                </w:p>
              </w:tc>
              <w:tc>
                <w:tcPr>
                  <w:tcW w:w="704" w:type="pct"/>
                  <w:tcBorders>
                    <w:tl2br w:val="nil"/>
                    <w:tr2bl w:val="nil"/>
                  </w:tcBorders>
                  <w:noWrap w:val="0"/>
                  <w:vAlign w:val="center"/>
                </w:tcPr>
                <w:p w14:paraId="43142B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风口消音</w:t>
                  </w:r>
                  <w:r>
                    <w:rPr>
                      <w:rFonts w:hint="default" w:ascii="Times New Roman" w:hAnsi="Times New Roman" w:eastAsia="宋体" w:cs="Times New Roman"/>
                      <w:color w:val="auto"/>
                      <w:spacing w:val="0"/>
                      <w:sz w:val="21"/>
                      <w:szCs w:val="21"/>
                      <w:lang w:eastAsia="zh-CN"/>
                    </w:rPr>
                    <w:t>，厂房隔声</w:t>
                  </w:r>
                </w:p>
              </w:tc>
              <w:tc>
                <w:tcPr>
                  <w:tcW w:w="410" w:type="pct"/>
                  <w:tcBorders>
                    <w:tl2br w:val="nil"/>
                    <w:tr2bl w:val="nil"/>
                  </w:tcBorders>
                  <w:noWrap w:val="0"/>
                  <w:vAlign w:val="center"/>
                </w:tcPr>
                <w:p w14:paraId="232F7A9B">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b w:val="0"/>
                      <w:bCs w:val="0"/>
                      <w:color w:val="auto"/>
                      <w:spacing w:val="0"/>
                      <w:sz w:val="21"/>
                      <w:szCs w:val="21"/>
                      <w:lang w:val="en-US" w:eastAsia="zh-CN"/>
                    </w:rPr>
                    <w:t>20</w:t>
                  </w:r>
                </w:p>
              </w:tc>
              <w:tc>
                <w:tcPr>
                  <w:tcW w:w="463" w:type="pct"/>
                  <w:vMerge w:val="continue"/>
                  <w:tcBorders>
                    <w:tl2br w:val="nil"/>
                    <w:tr2bl w:val="nil"/>
                  </w:tcBorders>
                  <w:noWrap w:val="0"/>
                  <w:vAlign w:val="center"/>
                </w:tcPr>
                <w:p w14:paraId="2CB91427">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p>
              </w:tc>
              <w:tc>
                <w:tcPr>
                  <w:tcW w:w="544" w:type="pct"/>
                  <w:tcBorders>
                    <w:tl2br w:val="nil"/>
                    <w:tr2bl w:val="nil"/>
                  </w:tcBorders>
                  <w:noWrap w:val="0"/>
                  <w:vAlign w:val="center"/>
                </w:tcPr>
                <w:p w14:paraId="37E26C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55</w:t>
                  </w:r>
                </w:p>
              </w:tc>
              <w:tc>
                <w:tcPr>
                  <w:tcW w:w="509" w:type="pct"/>
                  <w:vMerge w:val="continue"/>
                  <w:tcBorders>
                    <w:tl2br w:val="nil"/>
                    <w:tr2bl w:val="nil"/>
                  </w:tcBorders>
                  <w:noWrap w:val="0"/>
                  <w:vAlign w:val="center"/>
                </w:tcPr>
                <w:p w14:paraId="3DF62798">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r>
            <w:tr w14:paraId="2C965A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82" w:type="pct"/>
                  <w:vMerge w:val="continue"/>
                  <w:tcBorders>
                    <w:tl2br w:val="nil"/>
                    <w:tr2bl w:val="nil"/>
                  </w:tcBorders>
                  <w:noWrap w:val="0"/>
                  <w:vAlign w:val="center"/>
                </w:tcPr>
                <w:p w14:paraId="79085559">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0"/>
                      <w:sz w:val="21"/>
                      <w:szCs w:val="21"/>
                      <w:lang w:val="en-US" w:eastAsia="zh-CN"/>
                    </w:rPr>
                  </w:pPr>
                </w:p>
              </w:tc>
              <w:tc>
                <w:tcPr>
                  <w:tcW w:w="531" w:type="pct"/>
                  <w:tcBorders>
                    <w:tl2br w:val="nil"/>
                    <w:tr2bl w:val="nil"/>
                  </w:tcBorders>
                  <w:noWrap w:val="0"/>
                  <w:vAlign w:val="center"/>
                </w:tcPr>
                <w:p w14:paraId="22FC4CD9">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锅炉</w:t>
                  </w:r>
                </w:p>
              </w:tc>
              <w:tc>
                <w:tcPr>
                  <w:tcW w:w="397" w:type="pct"/>
                  <w:tcBorders>
                    <w:tl2br w:val="nil"/>
                    <w:tr2bl w:val="nil"/>
                  </w:tcBorders>
                  <w:noWrap w:val="0"/>
                  <w:vAlign w:val="center"/>
                </w:tcPr>
                <w:p w14:paraId="0CE874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中低</w:t>
                  </w:r>
                  <w:r>
                    <w:rPr>
                      <w:rFonts w:hint="default" w:ascii="Times New Roman" w:hAnsi="Times New Roman" w:eastAsia="宋体" w:cs="Times New Roman"/>
                      <w:color w:val="auto"/>
                      <w:spacing w:val="0"/>
                      <w:sz w:val="21"/>
                      <w:szCs w:val="21"/>
                      <w:lang w:eastAsia="zh-CN"/>
                    </w:rPr>
                    <w:t>频</w:t>
                  </w:r>
                </w:p>
              </w:tc>
              <w:tc>
                <w:tcPr>
                  <w:tcW w:w="476" w:type="pct"/>
                  <w:vMerge w:val="continue"/>
                  <w:tcBorders>
                    <w:tl2br w:val="nil"/>
                    <w:tr2bl w:val="nil"/>
                  </w:tcBorders>
                  <w:noWrap w:val="0"/>
                  <w:vAlign w:val="center"/>
                </w:tcPr>
                <w:p w14:paraId="1E1E00C1">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c>
                <w:tcPr>
                  <w:tcW w:w="579" w:type="pct"/>
                  <w:tcBorders>
                    <w:tl2br w:val="nil"/>
                    <w:tr2bl w:val="nil"/>
                  </w:tcBorders>
                  <w:noWrap w:val="0"/>
                  <w:vAlign w:val="center"/>
                </w:tcPr>
                <w:p w14:paraId="14737E5E">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7</w:t>
                  </w:r>
                  <w:r>
                    <w:rPr>
                      <w:rFonts w:hint="default" w:ascii="Times New Roman" w:hAnsi="Times New Roman" w:eastAsia="宋体" w:cs="Times New Roman"/>
                      <w:color w:val="auto"/>
                      <w:spacing w:val="0"/>
                      <w:sz w:val="21"/>
                      <w:szCs w:val="21"/>
                      <w:lang w:val="en-US" w:eastAsia="zh-CN"/>
                    </w:rPr>
                    <w:t>5</w:t>
                  </w:r>
                </w:p>
              </w:tc>
              <w:tc>
                <w:tcPr>
                  <w:tcW w:w="704" w:type="pct"/>
                  <w:tcBorders>
                    <w:tl2br w:val="nil"/>
                    <w:tr2bl w:val="nil"/>
                  </w:tcBorders>
                  <w:noWrap w:val="0"/>
                  <w:vAlign w:val="center"/>
                </w:tcPr>
                <w:p w14:paraId="3D40D3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cs="Times New Roman"/>
                      <w:color w:val="auto"/>
                      <w:spacing w:val="0"/>
                      <w:sz w:val="21"/>
                      <w:szCs w:val="21"/>
                      <w:lang w:val="en-US" w:eastAsia="zh-CN"/>
                    </w:rPr>
                    <w:t>基础减振</w:t>
                  </w:r>
                  <w:r>
                    <w:rPr>
                      <w:rFonts w:hint="default" w:ascii="Times New Roman" w:hAnsi="Times New Roman" w:eastAsia="宋体" w:cs="Times New Roman"/>
                      <w:color w:val="auto"/>
                      <w:spacing w:val="0"/>
                      <w:sz w:val="21"/>
                      <w:szCs w:val="21"/>
                      <w:lang w:eastAsia="zh-CN"/>
                    </w:rPr>
                    <w:t>，厂房隔声</w:t>
                  </w:r>
                </w:p>
              </w:tc>
              <w:tc>
                <w:tcPr>
                  <w:tcW w:w="410" w:type="pct"/>
                  <w:tcBorders>
                    <w:tl2br w:val="nil"/>
                    <w:tr2bl w:val="nil"/>
                  </w:tcBorders>
                  <w:noWrap w:val="0"/>
                  <w:vAlign w:val="center"/>
                </w:tcPr>
                <w:p w14:paraId="5E16280B">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c>
                <w:tcPr>
                  <w:tcW w:w="463" w:type="pct"/>
                  <w:vMerge w:val="continue"/>
                  <w:tcBorders>
                    <w:tl2br w:val="nil"/>
                    <w:tr2bl w:val="nil"/>
                  </w:tcBorders>
                  <w:noWrap w:val="0"/>
                  <w:vAlign w:val="center"/>
                </w:tcPr>
                <w:p w14:paraId="2C60315E">
                  <w:pPr>
                    <w:pStyle w:val="8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pacing w:val="0"/>
                      <w:sz w:val="21"/>
                      <w:szCs w:val="21"/>
                      <w:lang w:val="en-US" w:eastAsia="zh-CN"/>
                    </w:rPr>
                  </w:pPr>
                </w:p>
              </w:tc>
              <w:tc>
                <w:tcPr>
                  <w:tcW w:w="544" w:type="pct"/>
                  <w:tcBorders>
                    <w:tl2br w:val="nil"/>
                    <w:tr2bl w:val="nil"/>
                  </w:tcBorders>
                  <w:noWrap w:val="0"/>
                  <w:vAlign w:val="center"/>
                </w:tcPr>
                <w:p w14:paraId="04FA8C0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55</w:t>
                  </w:r>
                </w:p>
              </w:tc>
              <w:tc>
                <w:tcPr>
                  <w:tcW w:w="509" w:type="pct"/>
                  <w:vMerge w:val="continue"/>
                  <w:tcBorders>
                    <w:tl2br w:val="nil"/>
                    <w:tr2bl w:val="nil"/>
                  </w:tcBorders>
                  <w:noWrap w:val="0"/>
                  <w:vAlign w:val="center"/>
                </w:tcPr>
                <w:p w14:paraId="452BC4D1">
                  <w:pPr>
                    <w:pStyle w:val="68"/>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21"/>
                      <w:szCs w:val="21"/>
                      <w:lang w:val="en-US" w:eastAsia="zh-CN"/>
                    </w:rPr>
                  </w:pPr>
                </w:p>
              </w:tc>
            </w:tr>
          </w:tbl>
          <w:p w14:paraId="2DC8B59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（2）达标情况分析</w:t>
            </w:r>
          </w:p>
          <w:p w14:paraId="3FC8F28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本项目选用低噪声设备，设备装设减振垫，风机进、出风口装设</w:t>
            </w:r>
            <w:r>
              <w:rPr>
                <w:rFonts w:hint="eastAsia" w:cs="Times New Roman"/>
                <w:bCs/>
                <w:color w:val="auto"/>
                <w:spacing w:val="-10"/>
                <w:sz w:val="24"/>
                <w:szCs w:val="24"/>
                <w:lang w:val="en-US" w:eastAsia="zh-CN"/>
              </w:rPr>
              <w:t>消声器</w:t>
            </w:r>
            <w:r>
              <w:rPr>
                <w:rFonts w:hint="default" w:ascii="Times New Roman" w:hAnsi="Times New Roman" w:eastAsia="宋体" w:cs="Times New Roman"/>
                <w:bCs/>
                <w:color w:val="auto"/>
                <w:spacing w:val="-10"/>
                <w:sz w:val="24"/>
                <w:szCs w:val="24"/>
                <w:lang w:val="en-US" w:eastAsia="zh-CN"/>
              </w:rPr>
              <w:t>，再通过厂房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厂界噪声排放可控制在60dB（A）以下，</w:t>
            </w:r>
            <w:r>
              <w:rPr>
                <w:rFonts w:hint="default" w:ascii="Times New Roman" w:hAnsi="Times New Roman" w:cs="Times New Roman"/>
                <w:color w:val="auto"/>
                <w:kern w:val="0"/>
                <w:sz w:val="24"/>
                <w:szCs w:val="24"/>
                <w:lang w:val="en-US" w:eastAsia="zh-CN"/>
              </w:rPr>
              <w:t>满足《工业企业厂界噪声排放标准》（GB12348-2008）中</w:t>
            </w:r>
            <w:r>
              <w:rPr>
                <w:rFonts w:hint="eastAsia" w:cs="Times New Roman"/>
                <w:color w:val="auto"/>
                <w:kern w:val="0"/>
                <w:sz w:val="24"/>
                <w:szCs w:val="24"/>
                <w:lang w:val="en-US" w:eastAsia="zh-CN"/>
              </w:rPr>
              <w:t>3</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w:t>
            </w:r>
          </w:p>
          <w:p w14:paraId="27E99A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（3）环境噪声监测要求</w:t>
            </w:r>
          </w:p>
          <w:p w14:paraId="7BF83790">
            <w:pPr>
              <w:pStyle w:val="80"/>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 xml:space="preserve">  噪声监测计划一览表</w:t>
            </w:r>
          </w:p>
          <w:tbl>
            <w:tblPr>
              <w:tblStyle w:val="28"/>
              <w:tblW w:w="865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14:paraId="24F0BA2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4" w:hRule="atLeast"/>
                <w:jc w:val="center"/>
              </w:trPr>
              <w:tc>
                <w:tcPr>
                  <w:tcW w:w="717" w:type="dxa"/>
                  <w:noWrap w:val="0"/>
                  <w:vAlign w:val="center"/>
                </w:tcPr>
                <w:p w14:paraId="6D64AA6E">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14:paraId="1E16CC31">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14:paraId="504A4C0E">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14:paraId="7F3A1B7D">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14:paraId="77736F12">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14:paraId="3E0B8D0B">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14:paraId="3FD5FBE3">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14:paraId="344C12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5" w:hRule="atLeast"/>
                <w:jc w:val="center"/>
              </w:trPr>
              <w:tc>
                <w:tcPr>
                  <w:tcW w:w="717" w:type="dxa"/>
                  <w:noWrap w:val="0"/>
                  <w:vAlign w:val="center"/>
                </w:tcPr>
                <w:p w14:paraId="103C6F18">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14:paraId="18BB4E31">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14:paraId="61D5F6C3">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厂界四周外1m布设4个点</w:t>
                  </w:r>
                </w:p>
              </w:tc>
              <w:tc>
                <w:tcPr>
                  <w:tcW w:w="818" w:type="dxa"/>
                  <w:noWrap w:val="0"/>
                  <w:vAlign w:val="center"/>
                </w:tcPr>
                <w:p w14:paraId="33C3A25B">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噪声</w:t>
                  </w:r>
                </w:p>
              </w:tc>
              <w:tc>
                <w:tcPr>
                  <w:tcW w:w="1800" w:type="dxa"/>
                  <w:noWrap w:val="0"/>
                  <w:vAlign w:val="center"/>
                </w:tcPr>
                <w:p w14:paraId="3A4C0E67">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1次/季度</w:t>
                  </w:r>
                </w:p>
              </w:tc>
              <w:tc>
                <w:tcPr>
                  <w:tcW w:w="2793" w:type="dxa"/>
                  <w:noWrap w:val="0"/>
                  <w:vAlign w:val="center"/>
                </w:tcPr>
                <w:p w14:paraId="23B2EBCE">
                  <w:pPr>
                    <w:jc w:val="center"/>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《工业企业厂界环境噪声排放标准》（GB12348-2008）中的</w:t>
                  </w:r>
                  <w:r>
                    <w:rPr>
                      <w:rFonts w:hint="eastAsia" w:cs="Times New Roman"/>
                      <w:bCs/>
                      <w:color w:val="auto"/>
                      <w:kern w:val="0"/>
                      <w:szCs w:val="21"/>
                      <w:highlight w:val="none"/>
                      <w:lang w:val="en-US" w:eastAsia="zh-CN"/>
                    </w:rPr>
                    <w:t>3</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bl>
          <w:p w14:paraId="0A49AA8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cs="Times New Roman"/>
                <w:b/>
                <w:bCs w:val="0"/>
                <w:color w:val="auto"/>
                <w:spacing w:val="-10"/>
                <w:sz w:val="24"/>
                <w:szCs w:val="24"/>
                <w:lang w:val="en-US" w:eastAsia="zh-CN"/>
              </w:rPr>
              <w:t>四、</w:t>
            </w:r>
            <w:r>
              <w:rPr>
                <w:rFonts w:hint="default" w:ascii="Times New Roman" w:hAnsi="Times New Roman" w:eastAsia="宋体" w:cs="Times New Roman"/>
                <w:b/>
                <w:bCs w:val="0"/>
                <w:color w:val="auto"/>
                <w:spacing w:val="-10"/>
                <w:sz w:val="24"/>
                <w:szCs w:val="24"/>
                <w:lang w:val="en-US" w:eastAsia="zh-CN"/>
              </w:rPr>
              <w:t>固体废物</w:t>
            </w:r>
          </w:p>
          <w:p w14:paraId="64C8A2B7">
            <w:pPr>
              <w:keepNext w:val="0"/>
              <w:keepLines w:val="0"/>
              <w:pageBreakBefore w:val="0"/>
              <w:widowControl w:val="0"/>
              <w:kinsoku/>
              <w:wordWrap/>
              <w:overflowPunct w:val="0"/>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本项目运营期产生的固体废物，主要包括</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炉渣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eastAsia" w:cs="Times New Roman"/>
                <w:color w:val="auto"/>
                <w:sz w:val="24"/>
                <w:szCs w:val="24"/>
                <w:highlight w:val="none"/>
                <w:lang w:val="en-US" w:eastAsia="zh-CN"/>
              </w:rPr>
              <w:t>、废离子交换树脂</w:t>
            </w:r>
            <w:r>
              <w:rPr>
                <w:rFonts w:hint="default" w:ascii="Times New Roman" w:hAnsi="Times New Roman" w:cs="Times New Roman"/>
                <w:color w:val="auto"/>
                <w:sz w:val="24"/>
                <w:szCs w:val="24"/>
                <w:highlight w:val="none"/>
              </w:rPr>
              <w:t>。</w:t>
            </w:r>
          </w:p>
          <w:p w14:paraId="6EEBC8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cs="Times New Roman"/>
                <w:bCs/>
                <w:color w:val="auto"/>
                <w:spacing w:val="-10"/>
                <w:sz w:val="24"/>
                <w:szCs w:val="24"/>
                <w:highlight w:val="none"/>
                <w:lang w:val="en-US" w:eastAsia="zh-CN"/>
              </w:rPr>
              <w:t>除尘灰</w:t>
            </w:r>
            <w:r>
              <w:rPr>
                <w:rFonts w:hint="default" w:ascii="Times New Roman" w:hAnsi="Times New Roman" w:eastAsia="宋体" w:cs="Times New Roman"/>
                <w:bCs/>
                <w:color w:val="auto"/>
                <w:spacing w:val="-10"/>
                <w:sz w:val="24"/>
                <w:szCs w:val="24"/>
                <w:highlight w:val="none"/>
                <w:lang w:val="en-US" w:eastAsia="zh-CN"/>
              </w:rPr>
              <w:t>：年产生量约</w:t>
            </w:r>
            <w:r>
              <w:rPr>
                <w:rFonts w:hint="eastAsia" w:cs="Times New Roman"/>
                <w:bCs/>
                <w:color w:val="auto"/>
                <w:spacing w:val="-10"/>
                <w:sz w:val="24"/>
                <w:szCs w:val="24"/>
                <w:highlight w:val="none"/>
                <w:lang w:val="en-US" w:eastAsia="zh-CN"/>
              </w:rPr>
              <w:t>9.125</w:t>
            </w:r>
            <w:r>
              <w:rPr>
                <w:rFonts w:hint="default" w:ascii="Times New Roman" w:hAnsi="Times New Roman" w:eastAsia="宋体" w:cs="Times New Roman"/>
                <w:bCs/>
                <w:color w:val="auto"/>
                <w:spacing w:val="-10"/>
                <w:sz w:val="24"/>
                <w:szCs w:val="24"/>
                <w:highlight w:val="none"/>
                <w:lang w:val="en-US" w:eastAsia="zh-CN"/>
              </w:rPr>
              <w:t>t/a，</w:t>
            </w:r>
            <w:r>
              <w:rPr>
                <w:rFonts w:hint="eastAsia" w:cs="Times New Roman"/>
                <w:bCs/>
                <w:color w:val="auto"/>
                <w:spacing w:val="-10"/>
                <w:sz w:val="24"/>
                <w:szCs w:val="24"/>
                <w:highlight w:val="none"/>
                <w:lang w:val="en-US" w:eastAsia="zh-CN"/>
              </w:rPr>
              <w:t>收集后外售综合利用，固废代码为</w:t>
            </w:r>
            <w:r>
              <w:rPr>
                <w:rFonts w:hint="eastAsia"/>
                <w:color w:val="auto"/>
                <w:sz w:val="24"/>
                <w:szCs w:val="24"/>
              </w:rPr>
              <w:t>900-001-S02</w:t>
            </w:r>
            <w:r>
              <w:rPr>
                <w:rFonts w:hint="default" w:ascii="Times New Roman" w:hAnsi="Times New Roman" w:eastAsia="宋体" w:cs="Times New Roman"/>
                <w:color w:val="auto"/>
                <w:sz w:val="24"/>
                <w:szCs w:val="24"/>
                <w:highlight w:val="none"/>
                <w:lang w:eastAsia="zh-CN"/>
              </w:rPr>
              <w:t>。</w:t>
            </w:r>
          </w:p>
          <w:p w14:paraId="23BDCDE1">
            <w:pPr>
              <w:pStyle w:val="16"/>
              <w:keepNext w:val="0"/>
              <w:keepLines w:val="0"/>
              <w:pageBreakBefore w:val="0"/>
              <w:kinsoku/>
              <w:wordWrap/>
              <w:overflowPunct/>
              <w:topLinePunct w:val="0"/>
              <w:autoSpaceDE/>
              <w:autoSpaceDN/>
              <w:bidi w:val="0"/>
              <w:spacing w:after="0" w:afterLines="0" w:line="360" w:lineRule="auto"/>
              <w:ind w:left="0" w:leftChars="0" w:right="0" w:rightChars="0" w:firstLine="440" w:firstLineChars="200"/>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（2）灰渣</w:t>
            </w:r>
            <w:r>
              <w:rPr>
                <w:rFonts w:hint="eastAsia" w:cs="Times New Roman"/>
                <w:bCs/>
                <w:color w:val="auto"/>
                <w:spacing w:val="-10"/>
                <w:sz w:val="24"/>
                <w:szCs w:val="24"/>
                <w:highlight w:val="none"/>
                <w:lang w:val="en-US" w:eastAsia="zh-CN"/>
              </w:rPr>
              <w:t>：生物质中灰分含量约16.33%，</w:t>
            </w:r>
            <w:r>
              <w:rPr>
                <w:rFonts w:hint="eastAsia" w:ascii="Times New Roman" w:hAnsi="Times New Roman" w:eastAsia="宋体" w:cs="Times New Roman"/>
                <w:color w:val="auto"/>
                <w:sz w:val="24"/>
                <w:szCs w:val="24"/>
                <w:highlight w:val="none"/>
              </w:rPr>
              <w:t>炉底定期清理，灰渣合计</w:t>
            </w:r>
            <w:r>
              <w:rPr>
                <w:rFonts w:hint="eastAsia" w:cs="Times New Roman"/>
                <w:color w:val="auto"/>
                <w:sz w:val="24"/>
                <w:szCs w:val="24"/>
                <w:highlight w:val="none"/>
                <w:lang w:val="en-US" w:eastAsia="zh-CN"/>
              </w:rPr>
              <w:t>2612.8</w:t>
            </w:r>
            <w:r>
              <w:rPr>
                <w:rFonts w:hint="eastAsia" w:ascii="Times New Roman" w:hAnsi="Times New Roman" w:eastAsia="宋体" w:cs="Times New Roman"/>
                <w:color w:val="auto"/>
                <w:sz w:val="24"/>
                <w:szCs w:val="24"/>
                <w:highlight w:val="none"/>
              </w:rPr>
              <w:t>t/a，清理后直接装袋，</w:t>
            </w:r>
            <w:r>
              <w:rPr>
                <w:rFonts w:hint="default" w:ascii="Times New Roman" w:hAnsi="Times New Roman" w:eastAsia="宋体" w:cs="Times New Roman"/>
                <w:bCs/>
                <w:color w:val="auto"/>
                <w:spacing w:val="-10"/>
                <w:sz w:val="24"/>
                <w:szCs w:val="24"/>
                <w:highlight w:val="none"/>
                <w:lang w:val="en-US" w:eastAsia="zh-CN"/>
              </w:rPr>
              <w:t>外售综合利用。</w:t>
            </w:r>
            <w:r>
              <w:rPr>
                <w:rFonts w:hint="eastAsia" w:cs="Times New Roman"/>
                <w:bCs/>
                <w:color w:val="auto"/>
                <w:spacing w:val="-10"/>
                <w:sz w:val="24"/>
                <w:szCs w:val="24"/>
                <w:highlight w:val="none"/>
                <w:lang w:val="en-US" w:eastAsia="zh-CN"/>
              </w:rPr>
              <w:t>固体废物</w:t>
            </w:r>
            <w:r>
              <w:rPr>
                <w:rFonts w:hint="default" w:ascii="Times New Roman" w:hAnsi="Times New Roman" w:eastAsia="宋体" w:cs="Times New Roman"/>
                <w:color w:val="auto"/>
                <w:sz w:val="24"/>
                <w:szCs w:val="24"/>
                <w:highlight w:val="none"/>
                <w:lang w:eastAsia="zh-CN"/>
              </w:rPr>
              <w:t>代码为</w:t>
            </w:r>
            <w:r>
              <w:rPr>
                <w:rFonts w:hint="default" w:ascii="Times New Roman" w:hAnsi="Times New Roman" w:eastAsia="宋体" w:cs="Times New Roman"/>
                <w:color w:val="auto"/>
                <w:sz w:val="24"/>
                <w:szCs w:val="24"/>
                <w:highlight w:val="none"/>
                <w:lang w:val="en-US" w:eastAsia="zh-CN"/>
              </w:rPr>
              <w:t>900-002-S02</w:t>
            </w:r>
            <w:r>
              <w:rPr>
                <w:rFonts w:hint="default" w:ascii="Times New Roman" w:hAnsi="Times New Roman" w:eastAsia="宋体" w:cs="Times New Roman"/>
                <w:color w:val="auto"/>
                <w:sz w:val="24"/>
                <w:szCs w:val="24"/>
                <w:highlight w:val="none"/>
                <w:lang w:eastAsia="zh-CN"/>
              </w:rPr>
              <w:t>。</w:t>
            </w:r>
          </w:p>
          <w:p w14:paraId="5B10A5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25</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4.1625</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p>
          <w:p w14:paraId="27325967">
            <w:pPr>
              <w:keepNext w:val="0"/>
              <w:keepLines w:val="0"/>
              <w:pageBreakBefore w:val="0"/>
              <w:widowControl w:val="0"/>
              <w:kinsoku/>
              <w:wordWrap/>
              <w:overflowPunct/>
              <w:topLinePunct w:val="0"/>
              <w:autoSpaceDE/>
              <w:autoSpaceDN/>
              <w:bidi w:val="0"/>
              <w:adjustRightInd w:val="0"/>
              <w:snapToGrid w:val="0"/>
              <w:spacing w:line="360" w:lineRule="auto"/>
              <w:ind w:left="0" w:firstLine="44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ascii="Times New Roman" w:hAnsi="Times New Roman" w:eastAsia="宋体"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废离子交换树脂由厂家回收处置，产生量为1t/a</w:t>
            </w: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固体废物</w:t>
            </w:r>
            <w:r>
              <w:rPr>
                <w:rFonts w:hint="default" w:ascii="Times New Roman" w:hAnsi="Times New Roman" w:eastAsia="宋体" w:cs="Times New Roman"/>
                <w:color w:val="auto"/>
                <w:sz w:val="24"/>
                <w:szCs w:val="24"/>
                <w:highlight w:val="none"/>
                <w:lang w:eastAsia="zh-CN"/>
              </w:rPr>
              <w:t>代码为</w:t>
            </w:r>
            <w:r>
              <w:rPr>
                <w:rFonts w:hint="default" w:ascii="Times New Roman" w:hAnsi="Times New Roman" w:eastAsia="宋体" w:cs="Times New Roman"/>
                <w:color w:val="auto"/>
                <w:sz w:val="24"/>
                <w:szCs w:val="24"/>
                <w:highlight w:val="none"/>
                <w:lang w:val="en-US" w:eastAsia="zh-CN"/>
              </w:rPr>
              <w:t>900-008-S59</w:t>
            </w:r>
            <w:r>
              <w:rPr>
                <w:rFonts w:hint="default" w:ascii="Times New Roman" w:hAnsi="Times New Roman" w:eastAsia="宋体" w:cs="Times New Roman"/>
                <w:color w:val="auto"/>
                <w:sz w:val="24"/>
                <w:szCs w:val="24"/>
                <w:highlight w:val="none"/>
                <w:lang w:eastAsia="zh-CN"/>
              </w:rPr>
              <w:t>。</w:t>
            </w:r>
          </w:p>
          <w:p w14:paraId="226CE475">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）废布袋</w:t>
            </w:r>
          </w:p>
          <w:p w14:paraId="0AC63EB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固体废物</w:t>
            </w:r>
            <w:r>
              <w:rPr>
                <w:rFonts w:hint="eastAsia" w:ascii="Times New Roman" w:hAnsi="Times New Roman" w:eastAsia="宋体" w:cs="Times New Roman"/>
                <w:color w:val="auto"/>
                <w:kern w:val="2"/>
                <w:sz w:val="24"/>
                <w:szCs w:val="24"/>
                <w:highlight w:val="none"/>
                <w:lang w:val="en-US" w:eastAsia="zh-CN" w:bidi="ar-SA"/>
              </w:rPr>
              <w:t>代码900-009-S59，由厂家检修后直接带走。</w:t>
            </w:r>
          </w:p>
          <w:p w14:paraId="2A515A7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default" w:ascii="Times New Roman" w:hAnsi="Times New Roman" w:eastAsia="宋体" w:cs="Times New Roman"/>
                <w:bCs/>
                <w:color w:val="auto"/>
                <w:spacing w:val="-10"/>
                <w:kern w:val="2"/>
                <w:sz w:val="24"/>
                <w:szCs w:val="24"/>
                <w:highlight w:val="none"/>
                <w:lang w:val="en-US" w:eastAsia="zh-CN" w:bidi="ar-SA"/>
              </w:rPr>
              <w:t>本项目固体废物处置率100%，对外环境影响较小。</w:t>
            </w:r>
          </w:p>
          <w:p w14:paraId="6E3252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p>
          <w:p w14:paraId="2A13EF81">
            <w:pPr>
              <w:pStyle w:val="80"/>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lang w:val="en-US" w:eastAsia="zh-CN"/>
              </w:rPr>
              <w:t xml:space="preserve"> 固体废物污染源源强核算结果及相关参数一览表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417"/>
              <w:gridCol w:w="1176"/>
              <w:gridCol w:w="1341"/>
              <w:gridCol w:w="1381"/>
              <w:gridCol w:w="1847"/>
            </w:tblGrid>
            <w:tr w14:paraId="201BC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pct"/>
                  <w:vMerge w:val="restart"/>
                  <w:tcBorders>
                    <w:tl2br w:val="nil"/>
                    <w:tr2bl w:val="nil"/>
                  </w:tcBorders>
                  <w:noWrap w:val="0"/>
                  <w:vAlign w:val="center"/>
                </w:tcPr>
                <w:p w14:paraId="17F25962">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842" w:type="pct"/>
                  <w:vMerge w:val="restart"/>
                  <w:tcBorders>
                    <w:tl2br w:val="nil"/>
                    <w:tr2bl w:val="nil"/>
                  </w:tcBorders>
                  <w:noWrap w:val="0"/>
                  <w:vAlign w:val="center"/>
                </w:tcPr>
                <w:p w14:paraId="26E4F0E7">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1496" w:type="pct"/>
                  <w:gridSpan w:val="2"/>
                  <w:tcBorders>
                    <w:tl2br w:val="nil"/>
                    <w:tr2bl w:val="nil"/>
                  </w:tcBorders>
                  <w:noWrap w:val="0"/>
                  <w:vAlign w:val="center"/>
                </w:tcPr>
                <w:p w14:paraId="0011ACF1">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1919" w:type="pct"/>
                  <w:gridSpan w:val="2"/>
                  <w:tcBorders>
                    <w:tl2br w:val="nil"/>
                    <w:tr2bl w:val="nil"/>
                  </w:tcBorders>
                  <w:noWrap w:val="0"/>
                  <w:vAlign w:val="center"/>
                </w:tcPr>
                <w:p w14:paraId="1E6923AC">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14:paraId="321C9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1" w:type="pct"/>
                  <w:vMerge w:val="continue"/>
                  <w:tcBorders>
                    <w:tl2br w:val="nil"/>
                    <w:tr2bl w:val="nil"/>
                  </w:tcBorders>
                  <w:noWrap w:val="0"/>
                  <w:vAlign w:val="center"/>
                </w:tcPr>
                <w:p w14:paraId="3B1DBECB">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842" w:type="pct"/>
                  <w:vMerge w:val="continue"/>
                  <w:tcBorders>
                    <w:tl2br w:val="nil"/>
                    <w:tr2bl w:val="nil"/>
                  </w:tcBorders>
                  <w:noWrap w:val="0"/>
                  <w:vAlign w:val="center"/>
                </w:tcPr>
                <w:p w14:paraId="2BDB0910">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699" w:type="pct"/>
                  <w:tcBorders>
                    <w:tl2br w:val="nil"/>
                    <w:tr2bl w:val="nil"/>
                  </w:tcBorders>
                  <w:noWrap w:val="0"/>
                  <w:vAlign w:val="center"/>
                </w:tcPr>
                <w:p w14:paraId="1E37AA82">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797" w:type="pct"/>
                  <w:tcBorders>
                    <w:tl2br w:val="nil"/>
                    <w:tr2bl w:val="nil"/>
                  </w:tcBorders>
                  <w:noWrap w:val="0"/>
                  <w:vAlign w:val="center"/>
                </w:tcPr>
                <w:p w14:paraId="00A9F115">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821" w:type="pct"/>
                  <w:tcBorders>
                    <w:tl2br w:val="nil"/>
                    <w:tr2bl w:val="nil"/>
                  </w:tcBorders>
                  <w:noWrap w:val="0"/>
                  <w:vAlign w:val="center"/>
                </w:tcPr>
                <w:p w14:paraId="450FD2D1">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098" w:type="pct"/>
                  <w:tcBorders>
                    <w:tl2br w:val="nil"/>
                    <w:tr2bl w:val="nil"/>
                  </w:tcBorders>
                  <w:noWrap w:val="0"/>
                  <w:vAlign w:val="center"/>
                </w:tcPr>
                <w:p w14:paraId="4C0295AE">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14:paraId="6AF3D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41" w:type="pct"/>
                  <w:tcBorders>
                    <w:tl2br w:val="nil"/>
                    <w:tr2bl w:val="nil"/>
                  </w:tcBorders>
                  <w:noWrap w:val="0"/>
                  <w:vAlign w:val="center"/>
                </w:tcPr>
                <w:p w14:paraId="2240CF70">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842" w:type="pct"/>
                  <w:tcBorders>
                    <w:tl2br w:val="nil"/>
                    <w:tr2bl w:val="nil"/>
                  </w:tcBorders>
                  <w:noWrap w:val="0"/>
                  <w:vAlign w:val="center"/>
                </w:tcPr>
                <w:p w14:paraId="75B1C6F4">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699" w:type="pct"/>
                  <w:tcBorders>
                    <w:tl2br w:val="nil"/>
                    <w:tr2bl w:val="nil"/>
                  </w:tcBorders>
                  <w:noWrap w:val="0"/>
                  <w:vAlign w:val="center"/>
                </w:tcPr>
                <w:p w14:paraId="6D55F95E">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797" w:type="pct"/>
                  <w:tcBorders>
                    <w:tl2br w:val="nil"/>
                    <w:tr2bl w:val="nil"/>
                  </w:tcBorders>
                  <w:noWrap w:val="0"/>
                  <w:vAlign w:val="center"/>
                </w:tcPr>
                <w:p w14:paraId="74A6FE8A">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4.1625</w:t>
                  </w:r>
                </w:p>
              </w:tc>
              <w:tc>
                <w:tcPr>
                  <w:tcW w:w="821" w:type="pct"/>
                  <w:tcBorders>
                    <w:tl2br w:val="nil"/>
                    <w:tr2bl w:val="nil"/>
                  </w:tcBorders>
                  <w:noWrap w:val="0"/>
                  <w:vAlign w:val="center"/>
                </w:tcPr>
                <w:p w14:paraId="12B5E989">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4.1625</w:t>
                  </w:r>
                </w:p>
              </w:tc>
              <w:tc>
                <w:tcPr>
                  <w:tcW w:w="1098" w:type="pct"/>
                  <w:tcBorders>
                    <w:tl2br w:val="nil"/>
                    <w:tr2bl w:val="nil"/>
                  </w:tcBorders>
                  <w:noWrap w:val="0"/>
                  <w:vAlign w:val="center"/>
                </w:tcPr>
                <w:p w14:paraId="28410548">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14:paraId="4EB58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41" w:type="pct"/>
                  <w:vMerge w:val="restart"/>
                  <w:tcBorders>
                    <w:tl2br w:val="nil"/>
                    <w:tr2bl w:val="nil"/>
                  </w:tcBorders>
                  <w:noWrap w:val="0"/>
                  <w:vAlign w:val="center"/>
                </w:tcPr>
                <w:p w14:paraId="11326AAF">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842" w:type="pct"/>
                  <w:tcBorders>
                    <w:tl2br w:val="nil"/>
                    <w:tr2bl w:val="nil"/>
                  </w:tcBorders>
                  <w:noWrap w:val="0"/>
                  <w:vAlign w:val="center"/>
                </w:tcPr>
                <w:p w14:paraId="6F306961">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除尘灰</w:t>
                  </w:r>
                </w:p>
              </w:tc>
              <w:tc>
                <w:tcPr>
                  <w:tcW w:w="699" w:type="pct"/>
                  <w:tcBorders>
                    <w:tl2br w:val="nil"/>
                    <w:tr2bl w:val="nil"/>
                  </w:tcBorders>
                  <w:noWrap w:val="0"/>
                  <w:vAlign w:val="center"/>
                </w:tcPr>
                <w:p w14:paraId="33AE30A6">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797" w:type="pct"/>
                  <w:tcBorders>
                    <w:tl2br w:val="nil"/>
                    <w:tr2bl w:val="nil"/>
                  </w:tcBorders>
                  <w:noWrap w:val="0"/>
                  <w:vAlign w:val="center"/>
                </w:tcPr>
                <w:p w14:paraId="38FFCADE">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9.125</w:t>
                  </w:r>
                </w:p>
              </w:tc>
              <w:tc>
                <w:tcPr>
                  <w:tcW w:w="821" w:type="pct"/>
                  <w:tcBorders>
                    <w:tl2br w:val="nil"/>
                    <w:tr2bl w:val="nil"/>
                  </w:tcBorders>
                  <w:noWrap w:val="0"/>
                  <w:vAlign w:val="center"/>
                </w:tcPr>
                <w:p w14:paraId="4CCB4F11">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9.125</w:t>
                  </w:r>
                </w:p>
              </w:tc>
              <w:tc>
                <w:tcPr>
                  <w:tcW w:w="1098" w:type="pct"/>
                  <w:tcBorders>
                    <w:tl2br w:val="nil"/>
                    <w:tr2bl w:val="nil"/>
                  </w:tcBorders>
                  <w:noWrap w:val="0"/>
                  <w:vAlign w:val="center"/>
                </w:tcPr>
                <w:p w14:paraId="0918EB1F">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14:paraId="4B7FD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41" w:type="pct"/>
                  <w:vMerge w:val="continue"/>
                  <w:tcBorders>
                    <w:tl2br w:val="nil"/>
                    <w:tr2bl w:val="nil"/>
                  </w:tcBorders>
                  <w:noWrap w:val="0"/>
                  <w:vAlign w:val="center"/>
                </w:tcPr>
                <w:p w14:paraId="3DD32AEE">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42" w:type="pct"/>
                  <w:tcBorders>
                    <w:tl2br w:val="nil"/>
                    <w:tr2bl w:val="nil"/>
                  </w:tcBorders>
                  <w:noWrap w:val="0"/>
                  <w:vAlign w:val="center"/>
                </w:tcPr>
                <w:p w14:paraId="1F70A11C">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699" w:type="pct"/>
                  <w:tcBorders>
                    <w:tl2br w:val="nil"/>
                    <w:tr2bl w:val="nil"/>
                  </w:tcBorders>
                  <w:noWrap w:val="0"/>
                  <w:vAlign w:val="center"/>
                </w:tcPr>
                <w:p w14:paraId="57E452A3">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797" w:type="pct"/>
                  <w:tcBorders>
                    <w:tl2br w:val="nil"/>
                    <w:tr2bl w:val="nil"/>
                  </w:tcBorders>
                  <w:noWrap w:val="0"/>
                  <w:vAlign w:val="center"/>
                </w:tcPr>
                <w:p w14:paraId="05F9A257">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2612.8</w:t>
                  </w:r>
                </w:p>
              </w:tc>
              <w:tc>
                <w:tcPr>
                  <w:tcW w:w="821" w:type="pct"/>
                  <w:tcBorders>
                    <w:tl2br w:val="nil"/>
                    <w:tr2bl w:val="nil"/>
                  </w:tcBorders>
                  <w:noWrap w:val="0"/>
                  <w:vAlign w:val="center"/>
                </w:tcPr>
                <w:p w14:paraId="3CAD01C3">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2612.8</w:t>
                  </w:r>
                </w:p>
              </w:tc>
              <w:tc>
                <w:tcPr>
                  <w:tcW w:w="1098" w:type="pct"/>
                  <w:tcBorders>
                    <w:tl2br w:val="nil"/>
                    <w:tr2bl w:val="nil"/>
                  </w:tcBorders>
                  <w:noWrap w:val="0"/>
                  <w:vAlign w:val="center"/>
                </w:tcPr>
                <w:p w14:paraId="0A92B483">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14:paraId="1F502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41" w:type="pct"/>
                  <w:vMerge w:val="continue"/>
                  <w:tcBorders>
                    <w:tl2br w:val="nil"/>
                    <w:tr2bl w:val="nil"/>
                  </w:tcBorders>
                  <w:noWrap w:val="0"/>
                  <w:vAlign w:val="center"/>
                </w:tcPr>
                <w:p w14:paraId="0EA3D7AA">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42" w:type="pct"/>
                  <w:tcBorders>
                    <w:tl2br w:val="nil"/>
                    <w:tr2bl w:val="nil"/>
                  </w:tcBorders>
                  <w:noWrap w:val="0"/>
                  <w:vAlign w:val="center"/>
                </w:tcPr>
                <w:p w14:paraId="2C827CEE">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699" w:type="pct"/>
                  <w:tcBorders>
                    <w:tl2br w:val="nil"/>
                    <w:tr2bl w:val="nil"/>
                  </w:tcBorders>
                  <w:noWrap w:val="0"/>
                  <w:vAlign w:val="center"/>
                </w:tcPr>
                <w:p w14:paraId="3D8C12D3">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797" w:type="pct"/>
                  <w:tcBorders>
                    <w:tl2br w:val="nil"/>
                    <w:tr2bl w:val="nil"/>
                  </w:tcBorders>
                  <w:noWrap w:val="0"/>
                  <w:vAlign w:val="center"/>
                </w:tcPr>
                <w:p w14:paraId="55D98820">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821" w:type="pct"/>
                  <w:tcBorders>
                    <w:tl2br w:val="nil"/>
                    <w:tr2bl w:val="nil"/>
                  </w:tcBorders>
                  <w:noWrap w:val="0"/>
                  <w:vAlign w:val="center"/>
                </w:tcPr>
                <w:p w14:paraId="0B8877A9">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098" w:type="pct"/>
                  <w:tcBorders>
                    <w:tl2br w:val="nil"/>
                    <w:tr2bl w:val="nil"/>
                  </w:tcBorders>
                  <w:noWrap w:val="0"/>
                  <w:vAlign w:val="center"/>
                </w:tcPr>
                <w:p w14:paraId="50E75A8E">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14:paraId="7F3EB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41" w:type="pct"/>
                  <w:vMerge w:val="continue"/>
                  <w:tcBorders>
                    <w:tl2br w:val="nil"/>
                    <w:tr2bl w:val="nil"/>
                  </w:tcBorders>
                  <w:noWrap w:val="0"/>
                  <w:vAlign w:val="center"/>
                </w:tcPr>
                <w:p w14:paraId="148F6302">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42" w:type="pct"/>
                  <w:tcBorders>
                    <w:tl2br w:val="nil"/>
                    <w:tr2bl w:val="nil"/>
                  </w:tcBorders>
                  <w:noWrap w:val="0"/>
                  <w:vAlign w:val="center"/>
                </w:tcPr>
                <w:p w14:paraId="12B37466">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离子交换树脂</w:t>
                  </w:r>
                </w:p>
              </w:tc>
              <w:tc>
                <w:tcPr>
                  <w:tcW w:w="699" w:type="pct"/>
                  <w:tcBorders>
                    <w:tl2br w:val="nil"/>
                    <w:tr2bl w:val="nil"/>
                  </w:tcBorders>
                  <w:noWrap w:val="0"/>
                  <w:vAlign w:val="center"/>
                </w:tcPr>
                <w:p w14:paraId="33BC2AF3">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797" w:type="pct"/>
                  <w:tcBorders>
                    <w:tl2br w:val="nil"/>
                    <w:tr2bl w:val="nil"/>
                  </w:tcBorders>
                  <w:noWrap w:val="0"/>
                  <w:vAlign w:val="center"/>
                </w:tcPr>
                <w:p w14:paraId="40C056C1">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21" w:type="pct"/>
                  <w:tcBorders>
                    <w:tl2br w:val="nil"/>
                    <w:tr2bl w:val="nil"/>
                  </w:tcBorders>
                  <w:noWrap w:val="0"/>
                  <w:vAlign w:val="center"/>
                </w:tcPr>
                <w:p w14:paraId="1CD83065">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98" w:type="pct"/>
                  <w:tcBorders>
                    <w:tl2br w:val="nil"/>
                    <w:tr2bl w:val="nil"/>
                  </w:tcBorders>
                  <w:noWrap w:val="0"/>
                  <w:vAlign w:val="center"/>
                </w:tcPr>
                <w:p w14:paraId="2B171857">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bl>
          <w:p w14:paraId="4C74991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综上所述，本项目产生的所有固废均得到了妥善的处理和应用，对固体废物全部按国家要求进行了处理处置，固体废物处理处置率达到100%，因此，对外环境影响较小。</w:t>
            </w:r>
          </w:p>
          <w:p w14:paraId="05A6C3E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lang w:val="en-US" w:eastAsia="zh-CN"/>
              </w:rPr>
            </w:pPr>
          </w:p>
        </w:tc>
      </w:tr>
    </w:tbl>
    <w:p w14:paraId="5901CCA8">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953895C">
      <w:pPr>
        <w:pStyle w:val="23"/>
        <w:jc w:val="center"/>
        <w:outlineLvl w:val="0"/>
        <w:rPr>
          <w:rFonts w:hint="default" w:ascii="Times New Roman" w:hAnsi="Times New Roman" w:eastAsia="黑体" w:cs="Times New Roman"/>
          <w:snapToGrid w:val="0"/>
          <w:color w:val="auto"/>
          <w:sz w:val="30"/>
          <w:szCs w:val="30"/>
        </w:rPr>
      </w:pPr>
      <w:bookmarkStart w:id="23" w:name="_Toc16264"/>
      <w:bookmarkStart w:id="24" w:name="_Toc12807"/>
      <w:r>
        <w:rPr>
          <w:rFonts w:hint="default" w:ascii="Times New Roman" w:hAnsi="Times New Roman" w:eastAsia="黑体" w:cs="Times New Roman"/>
          <w:snapToGrid w:val="0"/>
          <w:color w:val="auto"/>
          <w:sz w:val="30"/>
          <w:szCs w:val="30"/>
        </w:rPr>
        <w:t>五、</w:t>
      </w:r>
      <w:bookmarkStart w:id="25" w:name="_Hlk54167917"/>
      <w:r>
        <w:rPr>
          <w:rFonts w:hint="default" w:ascii="Times New Roman" w:hAnsi="Times New Roman" w:eastAsia="黑体" w:cs="Times New Roman"/>
          <w:snapToGrid w:val="0"/>
          <w:color w:val="auto"/>
          <w:sz w:val="30"/>
          <w:szCs w:val="30"/>
        </w:rPr>
        <w:t>环境保护措施监督检查清单</w:t>
      </w:r>
      <w:bookmarkEnd w:id="23"/>
      <w:bookmarkEnd w:id="24"/>
      <w:bookmarkEnd w:id="25"/>
    </w:p>
    <w:tbl>
      <w:tblPr>
        <w:tblStyle w:val="28"/>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811"/>
        <w:gridCol w:w="1527"/>
        <w:gridCol w:w="2682"/>
        <w:gridCol w:w="1925"/>
      </w:tblGrid>
      <w:tr w14:paraId="51145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3" w:type="dxa"/>
            <w:tcBorders>
              <w:tl2br w:val="single" w:color="auto" w:sz="4" w:space="0"/>
            </w:tcBorders>
            <w:noWrap w:val="0"/>
            <w:vAlign w:val="top"/>
          </w:tcPr>
          <w:p w14:paraId="7A306250">
            <w:pPr>
              <w:adjustRightInd w:val="0"/>
              <w:snapToGrid w:val="0"/>
              <w:ind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14:paraId="19E9C813">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811" w:type="dxa"/>
            <w:noWrap w:val="0"/>
            <w:vAlign w:val="center"/>
          </w:tcPr>
          <w:p w14:paraId="1615FDDA">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w:t>
            </w:r>
            <w:r>
              <w:rPr>
                <w:rFonts w:hint="eastAsia" w:cs="Times New Roman"/>
                <w:color w:val="auto"/>
                <w:sz w:val="24"/>
                <w:szCs w:val="24"/>
                <w:lang w:eastAsia="zh-CN"/>
              </w:rPr>
              <w:t>（</w:t>
            </w:r>
            <w:r>
              <w:rPr>
                <w:rFonts w:hint="default" w:ascii="Times New Roman" w:hAnsi="Times New Roman" w:cs="Times New Roman"/>
                <w:color w:val="auto"/>
                <w:sz w:val="24"/>
                <w:szCs w:val="24"/>
              </w:rPr>
              <w:t>编号、</w:t>
            </w:r>
          </w:p>
          <w:p w14:paraId="041C018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w:t>
            </w:r>
            <w:r>
              <w:rPr>
                <w:rFonts w:hint="eastAsia" w:cs="Times New Roman"/>
                <w:color w:val="auto"/>
                <w:sz w:val="24"/>
                <w:szCs w:val="24"/>
                <w:lang w:eastAsia="zh-CN"/>
              </w:rPr>
              <w:t>）</w:t>
            </w:r>
            <w:r>
              <w:rPr>
                <w:rFonts w:hint="default" w:ascii="Times New Roman" w:hAnsi="Times New Roman" w:cs="Times New Roman"/>
                <w:color w:val="auto"/>
                <w:sz w:val="24"/>
                <w:szCs w:val="24"/>
              </w:rPr>
              <w:t>/污染源</w:t>
            </w:r>
          </w:p>
        </w:tc>
        <w:tc>
          <w:tcPr>
            <w:tcW w:w="1527" w:type="dxa"/>
            <w:noWrap w:val="0"/>
            <w:vAlign w:val="center"/>
          </w:tcPr>
          <w:p w14:paraId="03615BB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2682" w:type="dxa"/>
            <w:noWrap w:val="0"/>
            <w:vAlign w:val="center"/>
          </w:tcPr>
          <w:p w14:paraId="03BF9C4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1925" w:type="dxa"/>
            <w:noWrap w:val="0"/>
            <w:vAlign w:val="center"/>
          </w:tcPr>
          <w:p w14:paraId="62AD122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14:paraId="5B298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693" w:type="dxa"/>
            <w:vMerge w:val="restart"/>
            <w:noWrap w:val="0"/>
            <w:vAlign w:val="center"/>
          </w:tcPr>
          <w:p w14:paraId="0923B691">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1811" w:type="dxa"/>
            <w:noWrap w:val="0"/>
            <w:vAlign w:val="center"/>
          </w:tcPr>
          <w:p w14:paraId="2E8BCCAF">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厂界</w:t>
            </w:r>
          </w:p>
        </w:tc>
        <w:tc>
          <w:tcPr>
            <w:tcW w:w="1527" w:type="dxa"/>
            <w:noWrap w:val="0"/>
            <w:vAlign w:val="center"/>
          </w:tcPr>
          <w:p w14:paraId="314641D7">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颗粒物</w:t>
            </w:r>
          </w:p>
        </w:tc>
        <w:tc>
          <w:tcPr>
            <w:tcW w:w="2682" w:type="dxa"/>
            <w:noWrap w:val="0"/>
            <w:vAlign w:val="center"/>
          </w:tcPr>
          <w:p w14:paraId="47E673B4">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密闭设备进行上料</w:t>
            </w:r>
          </w:p>
        </w:tc>
        <w:tc>
          <w:tcPr>
            <w:tcW w:w="1925" w:type="dxa"/>
            <w:noWrap w:val="0"/>
            <w:vAlign w:val="center"/>
          </w:tcPr>
          <w:p w14:paraId="68AA2D2F">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《大气污染物综合排放标准》（GB16297-1996）表2中无组织排放浓度监控限值要求</w:t>
            </w:r>
          </w:p>
        </w:tc>
      </w:tr>
      <w:tr w14:paraId="43CBB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93" w:type="dxa"/>
            <w:vMerge w:val="continue"/>
            <w:noWrap w:val="0"/>
            <w:vAlign w:val="center"/>
          </w:tcPr>
          <w:p w14:paraId="77F786A9">
            <w:pPr>
              <w:adjustRightInd w:val="0"/>
              <w:snapToGrid w:val="0"/>
              <w:jc w:val="center"/>
              <w:rPr>
                <w:rFonts w:hint="default" w:ascii="Times New Roman" w:hAnsi="Times New Roman" w:cs="Times New Roman"/>
                <w:color w:val="auto"/>
                <w:sz w:val="24"/>
                <w:szCs w:val="24"/>
              </w:rPr>
            </w:pPr>
          </w:p>
        </w:tc>
        <w:tc>
          <w:tcPr>
            <w:tcW w:w="1811" w:type="dxa"/>
            <w:vMerge w:val="restart"/>
            <w:noWrap w:val="0"/>
            <w:vAlign w:val="center"/>
          </w:tcPr>
          <w:p w14:paraId="0EE99659">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w:t>
            </w:r>
          </w:p>
          <w:p w14:paraId="318A6694">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（有组织）</w:t>
            </w:r>
          </w:p>
        </w:tc>
        <w:tc>
          <w:tcPr>
            <w:tcW w:w="1527" w:type="dxa"/>
            <w:noWrap w:val="0"/>
            <w:vAlign w:val="center"/>
          </w:tcPr>
          <w:p w14:paraId="1686162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颗粒物</w:t>
            </w:r>
          </w:p>
        </w:tc>
        <w:tc>
          <w:tcPr>
            <w:tcW w:w="2682" w:type="dxa"/>
            <w:vMerge w:val="restart"/>
            <w:noWrap w:val="0"/>
            <w:vAlign w:val="center"/>
          </w:tcPr>
          <w:p w14:paraId="66157AD0">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多管+</w:t>
            </w:r>
            <w:r>
              <w:rPr>
                <w:rFonts w:hint="default" w:ascii="Times New Roman" w:hAnsi="Times New Roman" w:cs="Times New Roman"/>
                <w:color w:val="auto"/>
                <w:sz w:val="24"/>
                <w:szCs w:val="24"/>
                <w:lang w:val="en-US" w:eastAsia="zh-CN"/>
              </w:rPr>
              <w:t>布袋除尘器（除尘效率99</w:t>
            </w:r>
            <w:r>
              <w:rPr>
                <w:rFonts w:hint="eastAsia" w:cs="Times New Roman"/>
                <w:color w:val="auto"/>
                <w:sz w:val="24"/>
                <w:szCs w:val="24"/>
                <w:lang w:val="en-US" w:eastAsia="zh-CN"/>
              </w:rPr>
              <w:t>.7</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+低氮燃烧器+</w:t>
            </w:r>
            <w:r>
              <w:rPr>
                <w:rFonts w:hint="default" w:ascii="Times New Roman" w:hAnsi="Times New Roman" w:cs="Times New Roman"/>
                <w:color w:val="auto"/>
                <w:sz w:val="24"/>
                <w:szCs w:val="24"/>
                <w:lang w:val="en-US" w:eastAsia="zh-CN"/>
              </w:rPr>
              <w:t>15m高烟囱</w:t>
            </w:r>
          </w:p>
        </w:tc>
        <w:tc>
          <w:tcPr>
            <w:tcW w:w="1925" w:type="dxa"/>
            <w:vMerge w:val="restart"/>
            <w:noWrap w:val="0"/>
            <w:vAlign w:val="center"/>
          </w:tcPr>
          <w:p w14:paraId="18A8B566">
            <w:pPr>
              <w:pStyle w:val="52"/>
              <w:ind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kern w:val="0"/>
                <w:sz w:val="24"/>
                <w:szCs w:val="24"/>
                <w:highlight w:val="none"/>
              </w:rPr>
              <w:t>《锅炉大气污染物排放标准》（GB13271-2014）表</w:t>
            </w:r>
            <w:r>
              <w:rPr>
                <w:rFonts w:hint="eastAsia" w:ascii="Times New Roman" w:hAnsi="Times New Roman" w:eastAsia="宋体" w:cs="Times New Roman"/>
                <w:bCs/>
                <w:color w:val="auto"/>
                <w:kern w:val="0"/>
                <w:sz w:val="24"/>
                <w:szCs w:val="24"/>
                <w:highlight w:val="none"/>
                <w:lang w:val="en-US" w:eastAsia="zh-CN"/>
              </w:rPr>
              <w:t>2</w:t>
            </w:r>
            <w:r>
              <w:rPr>
                <w:rFonts w:hint="default" w:ascii="Times New Roman" w:hAnsi="Times New Roman" w:eastAsia="宋体" w:cs="Times New Roman"/>
                <w:bCs/>
                <w:color w:val="auto"/>
                <w:kern w:val="0"/>
                <w:sz w:val="24"/>
                <w:szCs w:val="24"/>
                <w:highlight w:val="none"/>
              </w:rPr>
              <w:t>中燃气锅炉大气污染物排放浓度限值</w:t>
            </w:r>
          </w:p>
        </w:tc>
      </w:tr>
      <w:tr w14:paraId="61593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693" w:type="dxa"/>
            <w:vMerge w:val="continue"/>
            <w:noWrap w:val="0"/>
            <w:vAlign w:val="center"/>
          </w:tcPr>
          <w:p w14:paraId="5CCB262E">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14:paraId="3C3D3D1E">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14:paraId="4D92C441">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二氧化硫</w:t>
            </w:r>
          </w:p>
        </w:tc>
        <w:tc>
          <w:tcPr>
            <w:tcW w:w="2682" w:type="dxa"/>
            <w:vMerge w:val="continue"/>
            <w:noWrap w:val="0"/>
            <w:vAlign w:val="center"/>
          </w:tcPr>
          <w:p w14:paraId="15A936BB">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14:paraId="20BB4A51">
            <w:pPr>
              <w:adjustRightInd w:val="0"/>
              <w:snapToGrid w:val="0"/>
              <w:jc w:val="center"/>
              <w:rPr>
                <w:rFonts w:hint="default" w:ascii="Times New Roman" w:hAnsi="Times New Roman" w:eastAsia="宋体" w:cs="Times New Roman"/>
                <w:color w:val="auto"/>
                <w:sz w:val="24"/>
                <w:szCs w:val="24"/>
                <w:lang w:val="en-US" w:eastAsia="zh-CN"/>
              </w:rPr>
            </w:pPr>
          </w:p>
        </w:tc>
      </w:tr>
      <w:tr w14:paraId="6BBFD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93" w:type="dxa"/>
            <w:vMerge w:val="continue"/>
            <w:noWrap w:val="0"/>
            <w:vAlign w:val="center"/>
          </w:tcPr>
          <w:p w14:paraId="4581CB38">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14:paraId="627B2DEB">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14:paraId="25D3914E">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烟气黑度</w:t>
            </w:r>
          </w:p>
        </w:tc>
        <w:tc>
          <w:tcPr>
            <w:tcW w:w="2682" w:type="dxa"/>
            <w:vMerge w:val="continue"/>
            <w:noWrap w:val="0"/>
            <w:vAlign w:val="center"/>
          </w:tcPr>
          <w:p w14:paraId="5442C83F">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14:paraId="1369C0C6">
            <w:pPr>
              <w:adjustRightInd w:val="0"/>
              <w:snapToGrid w:val="0"/>
              <w:jc w:val="center"/>
              <w:rPr>
                <w:rFonts w:hint="default" w:ascii="Times New Roman" w:hAnsi="Times New Roman" w:eastAsia="宋体" w:cs="Times New Roman"/>
                <w:color w:val="auto"/>
                <w:sz w:val="24"/>
                <w:szCs w:val="24"/>
                <w:lang w:val="en-US" w:eastAsia="zh-CN"/>
              </w:rPr>
            </w:pPr>
          </w:p>
        </w:tc>
      </w:tr>
      <w:tr w14:paraId="23497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693" w:type="dxa"/>
            <w:vMerge w:val="continue"/>
            <w:noWrap w:val="0"/>
            <w:vAlign w:val="center"/>
          </w:tcPr>
          <w:p w14:paraId="663DBB1B">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14:paraId="39D263A2">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14:paraId="66EE90C2">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氮氧化物</w:t>
            </w:r>
          </w:p>
        </w:tc>
        <w:tc>
          <w:tcPr>
            <w:tcW w:w="2682" w:type="dxa"/>
            <w:vMerge w:val="continue"/>
            <w:noWrap w:val="0"/>
            <w:vAlign w:val="center"/>
          </w:tcPr>
          <w:p w14:paraId="2B200C96">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14:paraId="0C1E915F">
            <w:pPr>
              <w:adjustRightInd w:val="0"/>
              <w:snapToGrid w:val="0"/>
              <w:jc w:val="center"/>
              <w:rPr>
                <w:rFonts w:hint="default" w:ascii="Times New Roman" w:hAnsi="Times New Roman" w:eastAsia="宋体" w:cs="Times New Roman"/>
                <w:color w:val="auto"/>
                <w:sz w:val="24"/>
                <w:szCs w:val="24"/>
                <w:lang w:val="en-US" w:eastAsia="zh-CN"/>
              </w:rPr>
            </w:pPr>
          </w:p>
        </w:tc>
      </w:tr>
      <w:tr w14:paraId="5CF56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6" w:hRule="atLeast"/>
          <w:jc w:val="center"/>
        </w:trPr>
        <w:tc>
          <w:tcPr>
            <w:tcW w:w="1693" w:type="dxa"/>
            <w:noWrap w:val="0"/>
            <w:vAlign w:val="center"/>
          </w:tcPr>
          <w:p w14:paraId="1665DCE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811" w:type="dxa"/>
            <w:noWrap w:val="0"/>
            <w:vAlign w:val="center"/>
          </w:tcPr>
          <w:p w14:paraId="2B25A797">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污水总排口DW001</w:t>
            </w:r>
          </w:p>
        </w:tc>
        <w:tc>
          <w:tcPr>
            <w:tcW w:w="1527" w:type="dxa"/>
            <w:noWrap w:val="0"/>
            <w:vAlign w:val="center"/>
          </w:tcPr>
          <w:p w14:paraId="65B66FB1">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全盐量、</w:t>
            </w:r>
            <w:r>
              <w:rPr>
                <w:rFonts w:hint="default" w:ascii="Times New Roman" w:hAnsi="Times New Roman" w:eastAsia="宋体" w:cs="Times New Roman"/>
                <w:color w:val="auto"/>
                <w:sz w:val="24"/>
                <w:szCs w:val="24"/>
                <w:lang w:val="en-US" w:eastAsia="zh-CN"/>
              </w:rPr>
              <w:t>氨氮</w:t>
            </w:r>
          </w:p>
        </w:tc>
        <w:tc>
          <w:tcPr>
            <w:tcW w:w="2682" w:type="dxa"/>
            <w:noWrap w:val="0"/>
            <w:vAlign w:val="center"/>
          </w:tcPr>
          <w:p w14:paraId="1815BE22">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锅炉排水及软化水处理废水经沉淀池沉淀后与</w:t>
            </w:r>
            <w:r>
              <w:rPr>
                <w:rFonts w:hint="eastAsia" w:ascii="Times New Roman" w:hAnsi="Times New Roman" w:cs="Times New Roman"/>
                <w:color w:val="auto"/>
                <w:sz w:val="24"/>
                <w:szCs w:val="24"/>
                <w:lang w:val="en-US" w:eastAsia="zh-CN"/>
              </w:rPr>
              <w:t>生活污水</w:t>
            </w:r>
            <w:r>
              <w:rPr>
                <w:rFonts w:hint="eastAsia" w:cs="Times New Roman"/>
                <w:color w:val="auto"/>
                <w:sz w:val="24"/>
                <w:szCs w:val="24"/>
                <w:lang w:val="en-US" w:eastAsia="zh-CN"/>
              </w:rPr>
              <w:t>经</w:t>
            </w:r>
            <w:r>
              <w:rPr>
                <w:rFonts w:hint="default" w:ascii="Times New Roman" w:hAnsi="Times New Roman" w:cs="Times New Roman"/>
                <w:color w:val="auto"/>
                <w:sz w:val="24"/>
                <w:szCs w:val="24"/>
                <w:lang w:val="en-US" w:eastAsia="zh-CN"/>
              </w:rPr>
              <w:t>厂内</w:t>
            </w:r>
            <w:r>
              <w:rPr>
                <w:rFonts w:hint="eastAsia" w:cs="Times New Roman"/>
                <w:color w:val="auto"/>
                <w:sz w:val="24"/>
                <w:szCs w:val="24"/>
                <w:lang w:val="en-US" w:eastAsia="zh-CN"/>
              </w:rPr>
              <w:t>化粪池沉淀后一同进入市政污水管网</w:t>
            </w:r>
          </w:p>
        </w:tc>
        <w:tc>
          <w:tcPr>
            <w:tcW w:w="1925" w:type="dxa"/>
            <w:noWrap w:val="0"/>
            <w:vAlign w:val="center"/>
          </w:tcPr>
          <w:p w14:paraId="3F3FA6EA">
            <w:pPr>
              <w:adjustRightInd w:val="0"/>
              <w:snapToGrid w:val="0"/>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snapToGrid w:val="0"/>
                <w:color w:val="auto"/>
                <w:sz w:val="24"/>
                <w:szCs w:val="24"/>
                <w:highlight w:val="none"/>
                <w:lang w:val="en-US" w:eastAsia="zh-CN"/>
              </w:rPr>
              <w:t>《污水综合排放标准》（GB8978-1996）中的三级标准</w:t>
            </w:r>
          </w:p>
        </w:tc>
      </w:tr>
      <w:tr w14:paraId="5646B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693" w:type="dxa"/>
            <w:noWrap w:val="0"/>
            <w:vAlign w:val="center"/>
          </w:tcPr>
          <w:p w14:paraId="66DA7BF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811" w:type="dxa"/>
            <w:noWrap w:val="0"/>
            <w:vAlign w:val="center"/>
          </w:tcPr>
          <w:p w14:paraId="48D613B7">
            <w:pPr>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设备</w:t>
            </w:r>
          </w:p>
        </w:tc>
        <w:tc>
          <w:tcPr>
            <w:tcW w:w="1527" w:type="dxa"/>
            <w:noWrap w:val="0"/>
            <w:vAlign w:val="center"/>
          </w:tcPr>
          <w:p w14:paraId="17651A92">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机械噪声</w:t>
            </w:r>
          </w:p>
        </w:tc>
        <w:tc>
          <w:tcPr>
            <w:tcW w:w="2682" w:type="dxa"/>
            <w:noWrap w:val="0"/>
            <w:vAlign w:val="center"/>
          </w:tcPr>
          <w:p w14:paraId="17BE8E6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选用低噪声设备，噪声设备装设减振垫，风机进风口装设</w:t>
            </w:r>
            <w:r>
              <w:rPr>
                <w:rFonts w:hint="eastAsia" w:cs="Times New Roman"/>
                <w:color w:val="auto"/>
                <w:sz w:val="24"/>
                <w:szCs w:val="24"/>
                <w:lang w:eastAsia="zh-CN"/>
              </w:rPr>
              <w:t>消声器</w:t>
            </w:r>
            <w:r>
              <w:rPr>
                <w:rFonts w:hint="default" w:ascii="Times New Roman" w:hAnsi="Times New Roman" w:cs="Times New Roman"/>
                <w:color w:val="auto"/>
                <w:sz w:val="24"/>
                <w:szCs w:val="24"/>
              </w:rPr>
              <w:t>，再通过厂房隔声等措施</w:t>
            </w:r>
          </w:p>
        </w:tc>
        <w:tc>
          <w:tcPr>
            <w:tcW w:w="1925" w:type="dxa"/>
            <w:noWrap w:val="0"/>
            <w:vAlign w:val="center"/>
          </w:tcPr>
          <w:p w14:paraId="430E4381">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《工业企业厂界环境噪声排放标准》（GB12348-2008）表1中</w:t>
            </w:r>
            <w:r>
              <w:rPr>
                <w:rFonts w:hint="eastAsia" w:cs="Times New Roman"/>
                <w:color w:val="auto"/>
                <w:sz w:val="24"/>
                <w:szCs w:val="24"/>
                <w:lang w:val="en-US" w:eastAsia="zh-CN"/>
              </w:rPr>
              <w:t>3</w:t>
            </w:r>
            <w:r>
              <w:rPr>
                <w:rFonts w:hint="default" w:ascii="Times New Roman" w:hAnsi="Times New Roman" w:cs="Times New Roman"/>
                <w:color w:val="auto"/>
                <w:sz w:val="24"/>
                <w:szCs w:val="24"/>
              </w:rPr>
              <w:t>类标准的要求</w:t>
            </w:r>
          </w:p>
        </w:tc>
      </w:tr>
      <w:tr w14:paraId="75CA0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3" w:type="dxa"/>
            <w:noWrap w:val="0"/>
            <w:vAlign w:val="center"/>
          </w:tcPr>
          <w:p w14:paraId="430E8B8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1811" w:type="dxa"/>
            <w:noWrap w:val="0"/>
            <w:vAlign w:val="center"/>
          </w:tcPr>
          <w:p w14:paraId="7D334B4C">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27" w:type="dxa"/>
            <w:noWrap w:val="0"/>
            <w:vAlign w:val="center"/>
          </w:tcPr>
          <w:p w14:paraId="60E4A6BE">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682" w:type="dxa"/>
            <w:noWrap w:val="0"/>
            <w:vAlign w:val="center"/>
          </w:tcPr>
          <w:p w14:paraId="4030825B">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925" w:type="dxa"/>
            <w:noWrap w:val="0"/>
            <w:vAlign w:val="center"/>
          </w:tcPr>
          <w:p w14:paraId="505657F2">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35DAA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3" w:type="dxa"/>
            <w:noWrap w:val="0"/>
            <w:vAlign w:val="center"/>
          </w:tcPr>
          <w:p w14:paraId="5E4904E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7945" w:type="dxa"/>
            <w:gridSpan w:val="4"/>
            <w:noWrap w:val="0"/>
            <w:vAlign w:val="center"/>
          </w:tcPr>
          <w:p w14:paraId="2C08DD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highlight w:val="none"/>
                <w:lang w:val="en-US" w:eastAsia="zh-CN"/>
              </w:rPr>
              <w:t>生活垃圾依托当地环卫部门统一收集处理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pacing w:val="-10"/>
                <w:sz w:val="24"/>
                <w:szCs w:val="24"/>
                <w:highlight w:val="none"/>
                <w:lang w:val="en-US" w:eastAsia="zh-CN"/>
              </w:rPr>
              <w:t>炉渣、除尘灰集中收集，外售综合利用。</w:t>
            </w:r>
            <w:r>
              <w:rPr>
                <w:rFonts w:hint="eastAsia" w:cs="Times New Roman"/>
                <w:bCs/>
                <w:color w:val="auto"/>
                <w:spacing w:val="-10"/>
                <w:sz w:val="24"/>
                <w:szCs w:val="24"/>
                <w:highlight w:val="none"/>
                <w:lang w:val="en-US" w:eastAsia="zh-CN"/>
              </w:rPr>
              <w:t>废布袋由厂家回收处置，废离子交换树脂由厂家回收处置。</w:t>
            </w:r>
          </w:p>
        </w:tc>
      </w:tr>
      <w:tr w14:paraId="1F27B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693" w:type="dxa"/>
            <w:noWrap w:val="0"/>
            <w:vAlign w:val="center"/>
          </w:tcPr>
          <w:p w14:paraId="14A2B40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14:paraId="5DF5C8DA">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7945" w:type="dxa"/>
            <w:gridSpan w:val="4"/>
            <w:noWrap w:val="0"/>
            <w:vAlign w:val="center"/>
          </w:tcPr>
          <w:p w14:paraId="0F2BB101">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14:paraId="16F9E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93" w:type="dxa"/>
            <w:noWrap w:val="0"/>
            <w:vAlign w:val="center"/>
          </w:tcPr>
          <w:p w14:paraId="56D2346D">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7945" w:type="dxa"/>
            <w:gridSpan w:val="4"/>
            <w:noWrap w:val="0"/>
            <w:vAlign w:val="center"/>
          </w:tcPr>
          <w:p w14:paraId="56FC60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无</w:t>
            </w:r>
          </w:p>
        </w:tc>
      </w:tr>
      <w:tr w14:paraId="7986E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693" w:type="dxa"/>
            <w:noWrap w:val="0"/>
            <w:vAlign w:val="center"/>
          </w:tcPr>
          <w:p w14:paraId="567FA100">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w:t>
            </w:r>
          </w:p>
          <w:p w14:paraId="7909E0F1">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防范措施</w:t>
            </w:r>
          </w:p>
        </w:tc>
        <w:tc>
          <w:tcPr>
            <w:tcW w:w="7945" w:type="dxa"/>
            <w:gridSpan w:val="4"/>
            <w:noWrap w:val="0"/>
            <w:vAlign w:val="center"/>
          </w:tcPr>
          <w:p w14:paraId="421B3A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eastAsia"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加强操作人员的岗位培训，严格遵守规程。对事故易发处按规定时间巡检，发现问题及早解决。</w:t>
            </w:r>
          </w:p>
        </w:tc>
      </w:tr>
      <w:tr w14:paraId="78F20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693" w:type="dxa"/>
            <w:noWrap w:val="0"/>
            <w:vAlign w:val="center"/>
          </w:tcPr>
          <w:p w14:paraId="4CB30F6B">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w:t>
            </w:r>
          </w:p>
          <w:p w14:paraId="6F9D14A6">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管理要求</w:t>
            </w:r>
          </w:p>
        </w:tc>
        <w:tc>
          <w:tcPr>
            <w:tcW w:w="7945" w:type="dxa"/>
            <w:gridSpan w:val="4"/>
            <w:noWrap w:val="0"/>
            <w:vAlign w:val="center"/>
          </w:tcPr>
          <w:p w14:paraId="2B109951">
            <w:pPr>
              <w:adjustRightInd w:val="0"/>
              <w:snapToGrid w:val="0"/>
              <w:jc w:val="center"/>
              <w:rPr>
                <w:rFonts w:hint="default" w:ascii="Times New Roman" w:hAnsi="Times New Roman" w:eastAsia="宋体" w:cs="Times New Roman"/>
                <w:color w:val="auto"/>
                <w:sz w:val="32"/>
                <w:szCs w:val="32"/>
              </w:rPr>
            </w:pPr>
            <w:r>
              <w:rPr>
                <w:rFonts w:hint="default" w:ascii="Times New Roman" w:hAnsi="Times New Roman" w:cs="Times New Roman"/>
                <w:color w:val="auto"/>
                <w:sz w:val="24"/>
                <w:szCs w:val="32"/>
                <w:highlight w:val="none"/>
              </w:rPr>
              <w:t>根据《固定污染源排污许可分类管理名录》（2019年版），本项目属于“</w:t>
            </w:r>
            <w:r>
              <w:rPr>
                <w:rFonts w:hint="default" w:ascii="Times New Roman" w:hAnsi="Times New Roman" w:cs="Times New Roman"/>
                <w:color w:val="auto"/>
                <w:sz w:val="24"/>
                <w:szCs w:val="32"/>
                <w:highlight w:val="none"/>
                <w:lang w:val="en-US" w:eastAsia="zh-CN"/>
              </w:rPr>
              <w:t>五十一、通用工序，109.锅炉：除纳入重点排污单位名录的，单台且合计出力20吨/小时（14兆瓦）以下的锅炉（不含电热锅炉）</w:t>
            </w:r>
            <w:r>
              <w:rPr>
                <w:rFonts w:hint="default" w:ascii="Times New Roman" w:hAnsi="Times New Roman" w:cs="Times New Roman"/>
                <w:color w:val="auto"/>
                <w:sz w:val="24"/>
                <w:szCs w:val="32"/>
                <w:highlight w:val="none"/>
              </w:rPr>
              <w:t>”，需要进行排污许可证</w:t>
            </w:r>
            <w:r>
              <w:rPr>
                <w:rFonts w:hint="default" w:ascii="Times New Roman" w:hAnsi="Times New Roman" w:cs="Times New Roman"/>
                <w:color w:val="auto"/>
                <w:sz w:val="24"/>
                <w:szCs w:val="32"/>
                <w:highlight w:val="none"/>
                <w:lang w:val="en-US" w:eastAsia="zh-CN"/>
              </w:rPr>
              <w:t>登记</w:t>
            </w:r>
            <w:r>
              <w:rPr>
                <w:rFonts w:hint="default" w:ascii="Times New Roman" w:hAnsi="Times New Roman" w:cs="Times New Roman"/>
                <w:color w:val="auto"/>
                <w:sz w:val="24"/>
                <w:szCs w:val="32"/>
                <w:highlight w:val="none"/>
              </w:rPr>
              <w:t>管理。</w:t>
            </w:r>
          </w:p>
        </w:tc>
      </w:tr>
    </w:tbl>
    <w:p w14:paraId="4B9BFCAD">
      <w:pPr>
        <w:pStyle w:val="23"/>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26" w:name="_Toc3526"/>
      <w:bookmarkStart w:id="27" w:name="_Toc30963"/>
      <w:r>
        <w:rPr>
          <w:rFonts w:hint="default" w:ascii="Times New Roman" w:hAnsi="Times New Roman" w:eastAsia="黑体" w:cs="Times New Roman"/>
          <w:snapToGrid w:val="0"/>
          <w:color w:val="auto"/>
          <w:sz w:val="30"/>
          <w:szCs w:val="30"/>
        </w:rPr>
        <w:t>六、结论</w:t>
      </w:r>
      <w:bookmarkEnd w:id="26"/>
      <w:bookmarkEnd w:id="27"/>
    </w:p>
    <w:tbl>
      <w:tblPr>
        <w:tblStyle w:val="28"/>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14:paraId="0AD8A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016F8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4"/>
                <w:szCs w:val="24"/>
                <w:highlight w:val="none"/>
                <w:lang w:eastAsia="zh-CN"/>
              </w:rPr>
              <w:t>本项目运营中将会对评价范围的地表水环境、环境空气、声环境产生一定的不利影响，本项目在确保严格落实本报告表提出的污染物防治措施的前提下，对地表水环境、环境空气、声环境等的影响较小，可以被周围环境所接受，能够做到社会效益、经济效益和环境效益的统一。因此，本项目的建设从环境保护的角度而言是可行的。</w:t>
            </w:r>
          </w:p>
        </w:tc>
      </w:tr>
    </w:tbl>
    <w:p w14:paraId="19180E39">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B98BAC0">
      <w:pPr>
        <w:pStyle w:val="23"/>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28"/>
          <w:szCs w:val="28"/>
        </w:rPr>
      </w:pPr>
      <w:bookmarkStart w:id="28" w:name="_Toc4565"/>
      <w:bookmarkStart w:id="29" w:name="_Toc1423"/>
      <w:r>
        <w:rPr>
          <w:rFonts w:hint="default" w:ascii="Times New Roman" w:hAnsi="Times New Roman" w:eastAsia="黑体" w:cs="Times New Roman"/>
          <w:snapToGrid w:val="0"/>
          <w:color w:val="auto"/>
          <w:sz w:val="32"/>
          <w:szCs w:val="32"/>
        </w:rPr>
        <w:t>附表</w:t>
      </w:r>
      <w:bookmarkEnd w:id="28"/>
      <w:bookmarkEnd w:id="29"/>
    </w:p>
    <w:p w14:paraId="3746FD20">
      <w:pPr>
        <w:bidi w:val="0"/>
        <w:jc w:val="center"/>
        <w:outlineLvl w:val="0"/>
        <w:rPr>
          <w:rFonts w:hint="default" w:ascii="Times New Roman" w:hAnsi="Times New Roman" w:cs="Times New Roman"/>
          <w:color w:val="auto"/>
          <w:sz w:val="28"/>
          <w:szCs w:val="28"/>
          <w:lang w:val="en-US" w:eastAsia="zh-CN"/>
        </w:rPr>
      </w:pPr>
      <w:bookmarkStart w:id="30" w:name="_Toc6734"/>
      <w:bookmarkStart w:id="31" w:name="_Toc19737"/>
      <w:bookmarkStart w:id="32" w:name="_Toc15726"/>
      <w:bookmarkStart w:id="33" w:name="_Toc3439"/>
      <w:bookmarkStart w:id="34" w:name="_Toc27572"/>
      <w:r>
        <w:rPr>
          <w:rFonts w:hint="default" w:ascii="Times New Roman" w:hAnsi="Times New Roman" w:cs="Times New Roman"/>
          <w:color w:val="auto"/>
          <w:sz w:val="28"/>
          <w:szCs w:val="28"/>
        </w:rPr>
        <w:t>建设项目污染物排放量汇总表</w:t>
      </w:r>
      <w:bookmarkEnd w:id="30"/>
      <w:bookmarkEnd w:id="31"/>
      <w:bookmarkEnd w:id="32"/>
      <w:bookmarkEnd w:id="33"/>
      <w:bookmarkEnd w:id="34"/>
    </w:p>
    <w:p w14:paraId="56E99583">
      <w:pPr>
        <w:bidi w:val="0"/>
        <w:jc w:val="righ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w:t>
      </w:r>
      <w:r>
        <w:rPr>
          <w:rFonts w:hint="eastAsia" w:cs="Times New Roman"/>
          <w:color w:val="auto"/>
          <w:lang w:val="en-US" w:eastAsia="zh-CN"/>
        </w:rPr>
        <w:t>：</w:t>
      </w:r>
      <w:r>
        <w:rPr>
          <w:rFonts w:hint="default" w:ascii="Times New Roman" w:hAnsi="Times New Roman" w:cs="Times New Roman"/>
          <w:color w:val="auto"/>
          <w:lang w:val="en-US" w:eastAsia="zh-CN"/>
        </w:rPr>
        <w:t xml:space="preserve"> t/a</w:t>
      </w:r>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573"/>
        <w:gridCol w:w="1701"/>
        <w:gridCol w:w="1276"/>
        <w:gridCol w:w="1701"/>
        <w:gridCol w:w="1559"/>
        <w:gridCol w:w="1761"/>
        <w:gridCol w:w="1766"/>
        <w:gridCol w:w="1019"/>
      </w:tblGrid>
      <w:tr w14:paraId="2DC70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tcBorders>
              <w:tl2br w:val="single" w:color="auto" w:sz="4" w:space="0"/>
            </w:tcBorders>
            <w:noWrap w:val="0"/>
            <w:tcMar>
              <w:left w:w="28" w:type="dxa"/>
              <w:right w:w="28" w:type="dxa"/>
            </w:tcMar>
            <w:vAlign w:val="center"/>
          </w:tcPr>
          <w:p w14:paraId="73E4A086">
            <w:pPr>
              <w:pStyle w:val="57"/>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2142AF17">
            <w:pPr>
              <w:pStyle w:val="57"/>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73" w:type="dxa"/>
            <w:noWrap w:val="0"/>
            <w:tcMar>
              <w:left w:w="28" w:type="dxa"/>
              <w:right w:w="28" w:type="dxa"/>
            </w:tcMar>
            <w:vAlign w:val="center"/>
          </w:tcPr>
          <w:p w14:paraId="7629F2E5">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noWrap w:val="0"/>
            <w:tcMar>
              <w:left w:w="28" w:type="dxa"/>
              <w:right w:w="28" w:type="dxa"/>
            </w:tcMar>
            <w:vAlign w:val="center"/>
          </w:tcPr>
          <w:p w14:paraId="38281531">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159F3320">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14:paraId="6E01D471">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1A3DE855">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16E468FB">
            <w:pPr>
              <w:pStyle w:val="57"/>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14:paraId="0DC5BA7C">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7634DD4E">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14:paraId="70995C15">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22B20074">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noWrap w:val="0"/>
            <w:tcMar>
              <w:left w:w="28" w:type="dxa"/>
              <w:right w:w="28" w:type="dxa"/>
            </w:tcMar>
            <w:vAlign w:val="center"/>
          </w:tcPr>
          <w:p w14:paraId="265DE624">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6116D262">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766" w:type="dxa"/>
            <w:noWrap w:val="0"/>
            <w:tcMar>
              <w:left w:w="28" w:type="dxa"/>
              <w:right w:w="28" w:type="dxa"/>
            </w:tcMar>
            <w:vAlign w:val="center"/>
          </w:tcPr>
          <w:p w14:paraId="29FC5F9B">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09FF7E3E">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19" w:type="dxa"/>
            <w:noWrap w:val="0"/>
            <w:tcMar>
              <w:left w:w="28" w:type="dxa"/>
              <w:right w:w="28" w:type="dxa"/>
            </w:tcMar>
            <w:vAlign w:val="center"/>
          </w:tcPr>
          <w:p w14:paraId="6CF56237">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5F9260FA">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1B00F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restart"/>
            <w:noWrap w:val="0"/>
            <w:vAlign w:val="center"/>
          </w:tcPr>
          <w:p w14:paraId="29783D5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废气</w:t>
            </w:r>
          </w:p>
        </w:tc>
        <w:tc>
          <w:tcPr>
            <w:tcW w:w="1573" w:type="dxa"/>
            <w:noWrap w:val="0"/>
            <w:vAlign w:val="center"/>
          </w:tcPr>
          <w:p w14:paraId="7189EA2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颗粒物</w:t>
            </w:r>
          </w:p>
        </w:tc>
        <w:tc>
          <w:tcPr>
            <w:tcW w:w="1701" w:type="dxa"/>
            <w:noWrap w:val="0"/>
            <w:vAlign w:val="center"/>
          </w:tcPr>
          <w:p w14:paraId="632C1E8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76" w:type="dxa"/>
            <w:noWrap w:val="0"/>
            <w:vAlign w:val="center"/>
          </w:tcPr>
          <w:p w14:paraId="3E4F7A0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701" w:type="dxa"/>
            <w:noWrap w:val="0"/>
            <w:vAlign w:val="center"/>
          </w:tcPr>
          <w:p w14:paraId="4D19F3A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59" w:type="dxa"/>
            <w:noWrap w:val="0"/>
            <w:vAlign w:val="center"/>
          </w:tcPr>
          <w:p w14:paraId="3A49787F">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0.187</w:t>
            </w:r>
          </w:p>
        </w:tc>
        <w:tc>
          <w:tcPr>
            <w:tcW w:w="1761" w:type="dxa"/>
            <w:noWrap w:val="0"/>
            <w:vAlign w:val="center"/>
          </w:tcPr>
          <w:p w14:paraId="14B7DA5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14:paraId="40D73F1D">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0.187</w:t>
            </w:r>
          </w:p>
        </w:tc>
        <w:tc>
          <w:tcPr>
            <w:tcW w:w="1019" w:type="dxa"/>
            <w:noWrap w:val="0"/>
            <w:vAlign w:val="center"/>
          </w:tcPr>
          <w:p w14:paraId="5D365277">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0.187</w:t>
            </w:r>
          </w:p>
        </w:tc>
      </w:tr>
      <w:tr w14:paraId="25E27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continue"/>
            <w:noWrap w:val="0"/>
            <w:vAlign w:val="center"/>
          </w:tcPr>
          <w:p w14:paraId="4CEB353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14:paraId="442C78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二氧化硫</w:t>
            </w:r>
          </w:p>
        </w:tc>
        <w:tc>
          <w:tcPr>
            <w:tcW w:w="1701" w:type="dxa"/>
            <w:noWrap w:val="0"/>
            <w:vAlign w:val="center"/>
          </w:tcPr>
          <w:p w14:paraId="4E7145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14:paraId="74E6E86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14:paraId="39F98D0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14:paraId="08DAE5D9">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6.4</w:t>
            </w:r>
          </w:p>
        </w:tc>
        <w:tc>
          <w:tcPr>
            <w:tcW w:w="1761" w:type="dxa"/>
            <w:noWrap w:val="0"/>
            <w:vAlign w:val="center"/>
          </w:tcPr>
          <w:p w14:paraId="0880C3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14:paraId="615B6238">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6.4</w:t>
            </w:r>
          </w:p>
        </w:tc>
        <w:tc>
          <w:tcPr>
            <w:tcW w:w="1019" w:type="dxa"/>
            <w:noWrap w:val="0"/>
            <w:vAlign w:val="center"/>
          </w:tcPr>
          <w:p w14:paraId="78D86487">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6.4</w:t>
            </w:r>
          </w:p>
        </w:tc>
      </w:tr>
      <w:tr w14:paraId="73032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continue"/>
            <w:noWrap w:val="0"/>
            <w:vAlign w:val="center"/>
          </w:tcPr>
          <w:p w14:paraId="384F055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14:paraId="7ABE9BC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氮氧化物</w:t>
            </w:r>
          </w:p>
        </w:tc>
        <w:tc>
          <w:tcPr>
            <w:tcW w:w="1701" w:type="dxa"/>
            <w:noWrap w:val="0"/>
            <w:vAlign w:val="center"/>
          </w:tcPr>
          <w:p w14:paraId="296F391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14:paraId="21C3FB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14:paraId="7486FA2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14:paraId="0CBD425C">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13.76</w:t>
            </w:r>
          </w:p>
        </w:tc>
        <w:tc>
          <w:tcPr>
            <w:tcW w:w="1761" w:type="dxa"/>
            <w:noWrap w:val="0"/>
            <w:vAlign w:val="center"/>
          </w:tcPr>
          <w:p w14:paraId="231F62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14:paraId="03C21ED9">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13.76</w:t>
            </w:r>
          </w:p>
        </w:tc>
        <w:tc>
          <w:tcPr>
            <w:tcW w:w="1019" w:type="dxa"/>
            <w:noWrap w:val="0"/>
            <w:vAlign w:val="center"/>
          </w:tcPr>
          <w:p w14:paraId="7951E6D7">
            <w:pPr>
              <w:spacing w:line="240" w:lineRule="auto"/>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13.76</w:t>
            </w:r>
          </w:p>
        </w:tc>
      </w:tr>
      <w:tr w14:paraId="392E3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restart"/>
            <w:noWrap w:val="0"/>
            <w:vAlign w:val="center"/>
          </w:tcPr>
          <w:p w14:paraId="13AF4F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废水</w:t>
            </w:r>
          </w:p>
        </w:tc>
        <w:tc>
          <w:tcPr>
            <w:tcW w:w="1573" w:type="dxa"/>
            <w:noWrap w:val="0"/>
            <w:vAlign w:val="center"/>
          </w:tcPr>
          <w:p w14:paraId="30C965A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COD</w:t>
            </w:r>
          </w:p>
        </w:tc>
        <w:tc>
          <w:tcPr>
            <w:tcW w:w="1701" w:type="dxa"/>
            <w:noWrap w:val="0"/>
            <w:vAlign w:val="center"/>
          </w:tcPr>
          <w:p w14:paraId="547FC80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276" w:type="dxa"/>
            <w:noWrap w:val="0"/>
            <w:vAlign w:val="center"/>
          </w:tcPr>
          <w:p w14:paraId="2A3917D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701" w:type="dxa"/>
            <w:noWrap w:val="0"/>
            <w:vAlign w:val="center"/>
          </w:tcPr>
          <w:p w14:paraId="122504F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559" w:type="dxa"/>
            <w:noWrap w:val="0"/>
            <w:vAlign w:val="center"/>
          </w:tcPr>
          <w:p w14:paraId="45118960">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0.942</w:t>
            </w:r>
          </w:p>
        </w:tc>
        <w:tc>
          <w:tcPr>
            <w:tcW w:w="1761" w:type="dxa"/>
            <w:noWrap w:val="0"/>
            <w:vAlign w:val="center"/>
          </w:tcPr>
          <w:p w14:paraId="23DA77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766" w:type="dxa"/>
            <w:noWrap w:val="0"/>
            <w:vAlign w:val="center"/>
          </w:tcPr>
          <w:p w14:paraId="766FC580">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0.942</w:t>
            </w:r>
          </w:p>
        </w:tc>
        <w:tc>
          <w:tcPr>
            <w:tcW w:w="1019" w:type="dxa"/>
            <w:noWrap w:val="0"/>
            <w:vAlign w:val="center"/>
          </w:tcPr>
          <w:p w14:paraId="0600F9AC">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0.942</w:t>
            </w:r>
          </w:p>
        </w:tc>
      </w:tr>
      <w:tr w14:paraId="5E7AC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continue"/>
            <w:noWrap w:val="0"/>
            <w:vAlign w:val="center"/>
          </w:tcPr>
          <w:p w14:paraId="5D8F6B5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14:paraId="607D249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氨氮</w:t>
            </w:r>
          </w:p>
        </w:tc>
        <w:tc>
          <w:tcPr>
            <w:tcW w:w="1701" w:type="dxa"/>
            <w:noWrap w:val="0"/>
            <w:vAlign w:val="center"/>
          </w:tcPr>
          <w:p w14:paraId="782B3F9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276" w:type="dxa"/>
            <w:noWrap w:val="0"/>
            <w:vAlign w:val="center"/>
          </w:tcPr>
          <w:p w14:paraId="026887B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701" w:type="dxa"/>
            <w:noWrap w:val="0"/>
            <w:vAlign w:val="center"/>
          </w:tcPr>
          <w:p w14:paraId="2396E25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559" w:type="dxa"/>
            <w:noWrap w:val="0"/>
            <w:vAlign w:val="center"/>
          </w:tcPr>
          <w:p w14:paraId="6D4229A1">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761" w:type="dxa"/>
            <w:noWrap w:val="0"/>
            <w:vAlign w:val="center"/>
          </w:tcPr>
          <w:p w14:paraId="256317A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766" w:type="dxa"/>
            <w:noWrap w:val="0"/>
            <w:vAlign w:val="center"/>
          </w:tcPr>
          <w:p w14:paraId="58C4C7B7">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019" w:type="dxa"/>
            <w:noWrap w:val="0"/>
            <w:vAlign w:val="center"/>
          </w:tcPr>
          <w:p w14:paraId="627FEA79">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r>
      <w:tr w14:paraId="42581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restart"/>
            <w:noWrap w:val="0"/>
            <w:vAlign w:val="center"/>
          </w:tcPr>
          <w:p w14:paraId="0ECD780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一般工业</w:t>
            </w:r>
          </w:p>
          <w:p w14:paraId="30C577F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固体废物</w:t>
            </w:r>
          </w:p>
        </w:tc>
        <w:tc>
          <w:tcPr>
            <w:tcW w:w="1573" w:type="dxa"/>
            <w:noWrap w:val="0"/>
            <w:vAlign w:val="center"/>
          </w:tcPr>
          <w:p w14:paraId="15F27E79">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bidi="ar-SA"/>
              </w:rPr>
              <w:t>除尘灰</w:t>
            </w:r>
          </w:p>
        </w:tc>
        <w:tc>
          <w:tcPr>
            <w:tcW w:w="1701" w:type="dxa"/>
            <w:noWrap w:val="0"/>
            <w:vAlign w:val="center"/>
          </w:tcPr>
          <w:p w14:paraId="7E9A977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14:paraId="20F63E6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14:paraId="2015A06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14:paraId="6816C545">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9.125</w:t>
            </w:r>
          </w:p>
        </w:tc>
        <w:tc>
          <w:tcPr>
            <w:tcW w:w="1761" w:type="dxa"/>
            <w:noWrap w:val="0"/>
            <w:vAlign w:val="center"/>
          </w:tcPr>
          <w:p w14:paraId="653FA0F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14:paraId="3CD7BB89">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9.125</w:t>
            </w:r>
          </w:p>
        </w:tc>
        <w:tc>
          <w:tcPr>
            <w:tcW w:w="1019" w:type="dxa"/>
            <w:noWrap w:val="0"/>
            <w:vAlign w:val="center"/>
          </w:tcPr>
          <w:p w14:paraId="06EC8340">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9.125</w:t>
            </w:r>
          </w:p>
        </w:tc>
      </w:tr>
      <w:tr w14:paraId="7301C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continue"/>
            <w:noWrap w:val="0"/>
            <w:vAlign w:val="center"/>
          </w:tcPr>
          <w:p w14:paraId="6C27C21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14:paraId="780B6C46">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灰渣</w:t>
            </w:r>
          </w:p>
        </w:tc>
        <w:tc>
          <w:tcPr>
            <w:tcW w:w="1701" w:type="dxa"/>
            <w:noWrap w:val="0"/>
            <w:vAlign w:val="center"/>
          </w:tcPr>
          <w:p w14:paraId="0A9C70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14:paraId="14D267B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14:paraId="2D95A05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14:paraId="61184543">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2612.8</w:t>
            </w:r>
          </w:p>
        </w:tc>
        <w:tc>
          <w:tcPr>
            <w:tcW w:w="1761" w:type="dxa"/>
            <w:noWrap w:val="0"/>
            <w:vAlign w:val="center"/>
          </w:tcPr>
          <w:p w14:paraId="7E1D546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14:paraId="1888FE4B">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2612.8</w:t>
            </w:r>
          </w:p>
        </w:tc>
        <w:tc>
          <w:tcPr>
            <w:tcW w:w="1019" w:type="dxa"/>
            <w:noWrap w:val="0"/>
            <w:vAlign w:val="center"/>
          </w:tcPr>
          <w:p w14:paraId="0A659B69">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2612.8</w:t>
            </w:r>
          </w:p>
        </w:tc>
      </w:tr>
      <w:tr w14:paraId="612C7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continue"/>
            <w:noWrap w:val="0"/>
            <w:vAlign w:val="center"/>
          </w:tcPr>
          <w:p w14:paraId="703A7EA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14:paraId="050C6A9F">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eastAsia="宋体" w:cs="Times New Roman"/>
                <w:color w:val="auto"/>
                <w:sz w:val="21"/>
                <w:szCs w:val="21"/>
                <w:highlight w:val="none"/>
                <w:lang w:val="en-US" w:eastAsia="zh-CN"/>
              </w:rPr>
              <w:t>废布袋</w:t>
            </w:r>
          </w:p>
        </w:tc>
        <w:tc>
          <w:tcPr>
            <w:tcW w:w="1701" w:type="dxa"/>
            <w:noWrap w:val="0"/>
            <w:vAlign w:val="center"/>
          </w:tcPr>
          <w:p w14:paraId="48229B3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14:paraId="7A924C5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14:paraId="0F34784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14:paraId="09499121">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0.01</w:t>
            </w:r>
          </w:p>
        </w:tc>
        <w:tc>
          <w:tcPr>
            <w:tcW w:w="1761" w:type="dxa"/>
            <w:noWrap w:val="0"/>
            <w:vAlign w:val="center"/>
          </w:tcPr>
          <w:p w14:paraId="7C1EDA2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14:paraId="6B4A5F44">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0.01</w:t>
            </w:r>
          </w:p>
        </w:tc>
        <w:tc>
          <w:tcPr>
            <w:tcW w:w="1019" w:type="dxa"/>
            <w:noWrap w:val="0"/>
            <w:vAlign w:val="center"/>
          </w:tcPr>
          <w:p w14:paraId="5B77CED3">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0.01</w:t>
            </w:r>
          </w:p>
        </w:tc>
      </w:tr>
      <w:tr w14:paraId="0991B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vMerge w:val="continue"/>
            <w:noWrap w:val="0"/>
            <w:vAlign w:val="center"/>
          </w:tcPr>
          <w:p w14:paraId="218426F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14:paraId="1735D857">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废离子交换树脂</w:t>
            </w:r>
          </w:p>
        </w:tc>
        <w:tc>
          <w:tcPr>
            <w:tcW w:w="1701" w:type="dxa"/>
            <w:noWrap w:val="0"/>
            <w:vAlign w:val="center"/>
          </w:tcPr>
          <w:p w14:paraId="4ABBBD5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14:paraId="3C64D46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14:paraId="11F1681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14:paraId="0D7FACD3">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1</w:t>
            </w:r>
          </w:p>
        </w:tc>
        <w:tc>
          <w:tcPr>
            <w:tcW w:w="1761" w:type="dxa"/>
            <w:noWrap w:val="0"/>
            <w:vAlign w:val="center"/>
          </w:tcPr>
          <w:p w14:paraId="7A8C744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14:paraId="0C796F6A">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w:t>
            </w:r>
          </w:p>
        </w:tc>
        <w:tc>
          <w:tcPr>
            <w:tcW w:w="1019" w:type="dxa"/>
            <w:noWrap w:val="0"/>
            <w:vAlign w:val="center"/>
          </w:tcPr>
          <w:p w14:paraId="5A5CE890">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w:t>
            </w:r>
          </w:p>
        </w:tc>
      </w:tr>
      <w:tr w14:paraId="450C0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2" w:type="dxa"/>
            <w:noWrap w:val="0"/>
            <w:vAlign w:val="center"/>
          </w:tcPr>
          <w:p w14:paraId="7389E23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生活垃圾</w:t>
            </w:r>
          </w:p>
        </w:tc>
        <w:tc>
          <w:tcPr>
            <w:tcW w:w="1573" w:type="dxa"/>
            <w:noWrap w:val="0"/>
            <w:vAlign w:val="center"/>
          </w:tcPr>
          <w:p w14:paraId="4DEF4F05">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生活垃圾</w:t>
            </w:r>
          </w:p>
        </w:tc>
        <w:tc>
          <w:tcPr>
            <w:tcW w:w="1701" w:type="dxa"/>
            <w:noWrap w:val="0"/>
            <w:vAlign w:val="center"/>
          </w:tcPr>
          <w:p w14:paraId="6CE6D18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14:paraId="6BA39C1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14:paraId="466147E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14:paraId="66D284B1">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4.1625</w:t>
            </w:r>
          </w:p>
        </w:tc>
        <w:tc>
          <w:tcPr>
            <w:tcW w:w="1761" w:type="dxa"/>
            <w:noWrap w:val="0"/>
            <w:vAlign w:val="center"/>
          </w:tcPr>
          <w:p w14:paraId="5EEF77E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14:paraId="0CAE7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4.1625</w:t>
            </w:r>
          </w:p>
        </w:tc>
        <w:tc>
          <w:tcPr>
            <w:tcW w:w="1019" w:type="dxa"/>
            <w:noWrap w:val="0"/>
            <w:vAlign w:val="center"/>
          </w:tcPr>
          <w:p w14:paraId="5EED4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4.1625</w:t>
            </w:r>
          </w:p>
        </w:tc>
      </w:tr>
    </w:tbl>
    <w:p w14:paraId="5F4833EA">
      <w:pPr>
        <w:pStyle w:val="57"/>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14:paraId="15D67664">
      <w:pPr>
        <w:rPr>
          <w:rFonts w:hint="default" w:ascii="Times New Roman" w:hAnsi="Times New Roman" w:eastAsia="黑体" w:cs="Times New Roman"/>
          <w:color w:val="auto"/>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52E2DBCE">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14:paraId="53B89BDE">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color w:val="auto"/>
        </w:rPr>
        <w:drawing>
          <wp:anchor distT="0" distB="0" distL="114300" distR="114300" simplePos="0" relativeHeight="251665408" behindDoc="0" locked="0" layoutInCell="1" allowOverlap="1">
            <wp:simplePos x="0" y="0"/>
            <wp:positionH relativeFrom="column">
              <wp:posOffset>7610475</wp:posOffset>
            </wp:positionH>
            <wp:positionV relativeFrom="paragraph">
              <wp:posOffset>29210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2"/>
                    <a:stretch>
                      <a:fillRect/>
                    </a:stretch>
                  </pic:blipFill>
                  <pic:spPr>
                    <a:xfrm>
                      <a:off x="0" y="0"/>
                      <a:ext cx="855345" cy="829945"/>
                    </a:xfrm>
                    <a:prstGeom prst="rect">
                      <a:avLst/>
                    </a:prstGeom>
                    <a:noFill/>
                    <a:ln>
                      <a:noFill/>
                    </a:ln>
                  </pic:spPr>
                </pic:pic>
              </a:graphicData>
            </a:graphic>
          </wp:anchor>
        </w:drawing>
      </w: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4608830</wp:posOffset>
                </wp:positionH>
                <wp:positionV relativeFrom="paragraph">
                  <wp:posOffset>2675255</wp:posOffset>
                </wp:positionV>
                <wp:extent cx="995045" cy="285750"/>
                <wp:effectExtent l="165100" t="5080" r="20955" b="147320"/>
                <wp:wrapNone/>
                <wp:docPr id="7"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62884"/>
                            <a:gd name="adj2" fmla="val 91111"/>
                          </a:avLst>
                        </a:prstGeom>
                        <a:noFill/>
                        <a:ln w="6350" cap="flat" cmpd="sng">
                          <a:solidFill>
                            <a:srgbClr val="FF0000"/>
                          </a:solidFill>
                          <a:prstDash val="solid"/>
                          <a:miter/>
                          <a:headEnd type="none" w="med" len="med"/>
                          <a:tailEnd type="none" w="med" len="med"/>
                        </a:ln>
                      </wps:spPr>
                      <wps:txbx>
                        <w:txbxContent>
                          <w:p w14:paraId="20086D93">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362.9pt;margin-top:210.65pt;height:22.5pt;width:78.35pt;z-index:251663360;mso-width-relative:page;mso-height-relative:page;" filled="f" stroked="t" coordsize="21600,21600" o:gfxdata="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KxEGDc&#10;AAAACwEAAA8AAAAAAAAAAQAgAAAAIgAAAGRycy9kb3ducmV2LnhtbFBLAQIUABQAAAAIAIdO4kDk&#10;SL3pVQIAAJgEAAAOAAAAAAAAAAEAIAAAACsBAABkcnMvZTJvRG9jLnhtbFBLBQYAAAAABgAGAFkB&#10;AADyBQAAAAA=&#10;" adj="-2783,30480">
                <v:fill on="f" focussize="0,0"/>
                <v:stroke weight="0.5pt" color="#FF0000" joinstyle="miter"/>
                <v:imagedata o:title=""/>
                <o:lock v:ext="edit" aspectratio="f"/>
                <v:textbox>
                  <w:txbxContent>
                    <w:p w14:paraId="20086D93">
                      <w:pPr>
                        <w:rPr>
                          <w:rFonts w:hint="eastAsia" w:eastAsia="宋体"/>
                          <w:color w:val="FF0000"/>
                          <w:lang w:eastAsia="zh-CN"/>
                        </w:rPr>
                      </w:pPr>
                      <w:r>
                        <w:rPr>
                          <w:rFonts w:hint="eastAsia"/>
                          <w:color w:val="FF0000"/>
                          <w:lang w:eastAsia="zh-CN"/>
                        </w:rPr>
                        <w:t>项目所在地</w:t>
                      </w:r>
                    </w:p>
                  </w:txbxContent>
                </v:textbox>
              </v:shape>
            </w:pict>
          </mc:Fallback>
        </mc:AlternateContent>
      </w:r>
      <w:r>
        <w:drawing>
          <wp:inline distT="0" distB="0" distL="114300" distR="114300">
            <wp:extent cx="7167880" cy="5709285"/>
            <wp:effectExtent l="0" t="0" r="1397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7167880" cy="5709285"/>
                    </a:xfrm>
                    <a:prstGeom prst="rect">
                      <a:avLst/>
                    </a:prstGeom>
                    <a:noFill/>
                    <a:ln>
                      <a:noFill/>
                    </a:ln>
                  </pic:spPr>
                </pic:pic>
              </a:graphicData>
            </a:graphic>
          </wp:inline>
        </w:drawing>
      </w:r>
    </w:p>
    <w:p w14:paraId="4D25B3AE">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0" w:firstLineChars="200"/>
        <w:jc w:val="center"/>
        <w:textAlignment w:val="auto"/>
        <w:outlineLvl w:val="0"/>
        <w:rPr>
          <w:rFonts w:hint="default" w:ascii="Times New Roman" w:hAnsi="Times New Roman" w:eastAsia="黑体" w:cs="Times New Roman"/>
          <w:snapToGrid w:val="0"/>
          <w:color w:val="auto"/>
          <w:sz w:val="32"/>
          <w:szCs w:val="32"/>
          <w:lang w:val="en-US" w:eastAsia="zh-CN"/>
        </w:rPr>
      </w:pPr>
      <w:bookmarkStart w:id="35" w:name="_Toc9845"/>
      <w:bookmarkStart w:id="36" w:name="_Toc23128"/>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lang w:eastAsia="zh-CN"/>
        </w:rPr>
        <w:t>图</w:t>
      </w:r>
      <w:r>
        <w:rPr>
          <w:rFonts w:hint="default" w:ascii="Times New Roman" w:hAnsi="Times New Roman" w:eastAsia="黑体" w:cs="Times New Roman"/>
          <w:snapToGrid w:val="0"/>
          <w:color w:val="auto"/>
          <w:sz w:val="32"/>
          <w:szCs w:val="32"/>
          <w:lang w:val="en-US" w:eastAsia="zh-CN"/>
        </w:rPr>
        <w:t>1 本项目地理位置图</w:t>
      </w:r>
      <w:bookmarkEnd w:id="35"/>
      <w:bookmarkEnd w:id="36"/>
    </w:p>
    <w:p w14:paraId="62D66AAA">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14:paraId="683A273B">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footerReference r:id="rId6"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14:paraId="6D1B6285">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37" w:name="_Toc23849"/>
      <w:r>
        <w:rPr>
          <w:color w:val="auto"/>
        </w:rPr>
        <w:drawing>
          <wp:anchor distT="0" distB="0" distL="114300" distR="114300" simplePos="0" relativeHeight="251668480" behindDoc="0" locked="0" layoutInCell="1" allowOverlap="1">
            <wp:simplePos x="0" y="0"/>
            <wp:positionH relativeFrom="column">
              <wp:posOffset>4920615</wp:posOffset>
            </wp:positionH>
            <wp:positionV relativeFrom="paragraph">
              <wp:posOffset>189865</wp:posOffset>
            </wp:positionV>
            <wp:extent cx="1129030" cy="1096010"/>
            <wp:effectExtent l="0" t="0" r="13970" b="8890"/>
            <wp:wrapNone/>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12"/>
                    <a:stretch>
                      <a:fillRect/>
                    </a:stretch>
                  </pic:blipFill>
                  <pic:spPr>
                    <a:xfrm>
                      <a:off x="0" y="0"/>
                      <a:ext cx="1129030" cy="1096010"/>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6071870</wp:posOffset>
                </wp:positionH>
                <wp:positionV relativeFrom="paragraph">
                  <wp:posOffset>4683760</wp:posOffset>
                </wp:positionV>
                <wp:extent cx="238125" cy="219075"/>
                <wp:effectExtent l="12700" t="12700" r="15875" b="15875"/>
                <wp:wrapNone/>
                <wp:docPr id="62" name="同心圆 62"/>
                <wp:cNvGraphicFramePr/>
                <a:graphic xmlns:a="http://schemas.openxmlformats.org/drawingml/2006/main">
                  <a:graphicData uri="http://schemas.microsoft.com/office/word/2010/wordprocessingShape">
                    <wps:wsp>
                      <wps:cNvSpPr/>
                      <wps:spPr>
                        <a:xfrm>
                          <a:off x="0" y="0"/>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78.1pt;margin-top:368.8pt;height:17.25pt;width:18.75pt;z-index:251667456;v-text-anchor:middle;mso-width-relative:page;mso-height-relative:page;" fillcolor="#92D050" filled="t" stroked="t" coordsize="21600,21600" o:gfxdata="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xIuldwAAAALAQAADwAAAAAAAAABACAAAAAiAAAAZHJzL2Rvd25yZXYu&#10;eG1sUEsBAhQAFAAAAAgAh07iQEJR8k9pAgAA4gQAAA4AAAAAAAAAAQAgAAAAKwEAAGRycy9lMm9E&#10;b2MueG1sUEsFBgAAAAAGAAYAWQEAAAYGAAAAAA==&#10;" adj="4968">
                <v:fill on="t" focussize="0,0"/>
                <v:stroke weight="2pt" color="#92D050 [2404]" joinstyle="round"/>
                <v:imagedata o:title=""/>
                <o:lock v:ext="edit" aspectratio="f"/>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5500370</wp:posOffset>
                </wp:positionH>
                <wp:positionV relativeFrom="paragraph">
                  <wp:posOffset>4483735</wp:posOffset>
                </wp:positionV>
                <wp:extent cx="885825" cy="572135"/>
                <wp:effectExtent l="5080" t="5080" r="4445" b="13335"/>
                <wp:wrapNone/>
                <wp:docPr id="61" name="文本框 61"/>
                <wp:cNvGraphicFramePr/>
                <a:graphic xmlns:a="http://schemas.openxmlformats.org/drawingml/2006/main">
                  <a:graphicData uri="http://schemas.microsoft.com/office/word/2010/wordprocessingShape">
                    <wps:wsp>
                      <wps:cNvSpPr txBox="1"/>
                      <wps:spPr>
                        <a:xfrm>
                          <a:off x="6186170" y="5398135"/>
                          <a:ext cx="885825" cy="572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573BC1">
                            <w:pPr>
                              <w:rPr>
                                <w:rFonts w:hint="eastAsia"/>
                                <w:lang w:val="en-US" w:eastAsia="zh-CN"/>
                              </w:rPr>
                            </w:pPr>
                            <w:r>
                              <w:rPr>
                                <w:rFonts w:hint="eastAsia"/>
                                <w:lang w:val="en-US" w:eastAsia="zh-CN"/>
                              </w:rPr>
                              <w:t>图      例</w:t>
                            </w:r>
                          </w:p>
                          <w:p w14:paraId="76095CB3">
                            <w:pPr>
                              <w:rPr>
                                <w:rFonts w:hint="eastAsia"/>
                                <w:lang w:val="en-US" w:eastAsia="zh-CN"/>
                              </w:rPr>
                            </w:pPr>
                            <w:r>
                              <w:rPr>
                                <w:rFonts w:hint="eastAsia"/>
                                <w:lang w:val="en-US" w:eastAsia="zh-CN"/>
                              </w:rPr>
                              <w:t>排气筒</w:t>
                            </w:r>
                          </w:p>
                          <w:p w14:paraId="70809C04">
                            <w:pPr>
                              <w:rPr>
                                <w:rFonts w:hint="eastAsia"/>
                                <w:lang w:val="en-US" w:eastAsia="zh-CN"/>
                              </w:rPr>
                            </w:pPr>
                          </w:p>
                          <w:p w14:paraId="5624C87E">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1pt;margin-top:353.05pt;height:45.05pt;width:69.75pt;z-index:251666432;mso-width-relative:page;mso-height-relative:page;" fillcolor="#FFFFFF [3201]" filled="t" stroked="t" coordsize="21600,21600" o:gfxdata="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7+/CD1wAAAAwBAAAPAAAAAAAAAAEAIAAAACIAAABkcnMvZG93bnJldi54bWxQSwECFAAU&#10;AAAACACHTuJAaPD+xmQCAADEBAAADgAAAAAAAAABACAAAAAmAQAAZHJzL2Uyb0RvYy54bWxQSwUG&#10;AAAAAAYABgBZAQAA/AUAAAAA&#10;">
                <v:fill on="t" focussize="0,0"/>
                <v:stroke weight="0.5pt" color="#000000 [3204]" joinstyle="round"/>
                <v:imagedata o:title=""/>
                <o:lock v:ext="edit" aspectratio="f"/>
                <v:textbox>
                  <w:txbxContent>
                    <w:p w14:paraId="0F573BC1">
                      <w:pPr>
                        <w:rPr>
                          <w:rFonts w:hint="eastAsia"/>
                          <w:lang w:val="en-US" w:eastAsia="zh-CN"/>
                        </w:rPr>
                      </w:pPr>
                      <w:r>
                        <w:rPr>
                          <w:rFonts w:hint="eastAsia"/>
                          <w:lang w:val="en-US" w:eastAsia="zh-CN"/>
                        </w:rPr>
                        <w:t>图      例</w:t>
                      </w:r>
                    </w:p>
                    <w:p w14:paraId="76095CB3">
                      <w:pPr>
                        <w:rPr>
                          <w:rFonts w:hint="eastAsia"/>
                          <w:lang w:val="en-US" w:eastAsia="zh-CN"/>
                        </w:rPr>
                      </w:pPr>
                      <w:r>
                        <w:rPr>
                          <w:rFonts w:hint="eastAsia"/>
                          <w:lang w:val="en-US" w:eastAsia="zh-CN"/>
                        </w:rPr>
                        <w:t>排气筒</w:t>
                      </w:r>
                    </w:p>
                    <w:p w14:paraId="70809C04">
                      <w:pPr>
                        <w:rPr>
                          <w:rFonts w:hint="eastAsia"/>
                          <w:lang w:val="en-US" w:eastAsia="zh-CN"/>
                        </w:rPr>
                      </w:pPr>
                    </w:p>
                    <w:p w14:paraId="5624C87E">
                      <w:pPr>
                        <w:rPr>
                          <w:rFonts w:hint="default"/>
                          <w:lang w:val="en-US" w:eastAsia="zh-CN"/>
                        </w:rPr>
                      </w:pPr>
                    </w:p>
                  </w:txbxContent>
                </v:textbox>
              </v:shape>
            </w:pict>
          </mc:Fallback>
        </mc:AlternateContent>
      </w:r>
    </w:p>
    <w:p w14:paraId="5D4ACAF3">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2"/>
          <w:szCs w:val="32"/>
          <w:highlight w:val="none"/>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8" w:name="_Toc5220"/>
      <w:r>
        <w:rPr>
          <w:color w:val="auto"/>
          <w:sz w:val="24"/>
        </w:rPr>
        <mc:AlternateContent>
          <mc:Choice Requires="wps">
            <w:drawing>
              <wp:anchor distT="0" distB="0" distL="114300" distR="114300" simplePos="0" relativeHeight="251669504" behindDoc="0" locked="0" layoutInCell="1" allowOverlap="1">
                <wp:simplePos x="0" y="0"/>
                <wp:positionH relativeFrom="column">
                  <wp:posOffset>4090670</wp:posOffset>
                </wp:positionH>
                <wp:positionV relativeFrom="paragraph">
                  <wp:posOffset>2907665</wp:posOffset>
                </wp:positionV>
                <wp:extent cx="238125" cy="219075"/>
                <wp:effectExtent l="12700" t="12700" r="15875" b="15875"/>
                <wp:wrapNone/>
                <wp:docPr id="6" name="同心圆 6"/>
                <wp:cNvGraphicFramePr/>
                <a:graphic xmlns:a="http://schemas.openxmlformats.org/drawingml/2006/main">
                  <a:graphicData uri="http://schemas.microsoft.com/office/word/2010/wordprocessingShape">
                    <wps:wsp>
                      <wps:cNvSpPr/>
                      <wps:spPr>
                        <a:xfrm>
                          <a:off x="0" y="0"/>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22.1pt;margin-top:228.95pt;height:17.25pt;width:18.75pt;z-index:251669504;v-text-anchor:middle;mso-width-relative:page;mso-height-relative:page;" fillcolor="#92D050" filled="t" stroked="t" coordsize="21600,21600" o:gfxdata="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65VDt0AAAALAQAADwAAAAAAAAABACAAAAAiAAAAZHJzL2Rvd25yZXYu&#10;eG1sUEsBAhQAFAAAAAgAh07iQL5KVjdoAgAA4AQAAA4AAAAAAAAAAQAgAAAALAEAAGRycy9lMm9E&#10;b2MueG1sUEsFBgAAAAAGAAYAWQEAAAYGAAAAAA==&#10;" adj="4968">
                <v:fill on="t" focussize="0,0"/>
                <v:stroke weight="2pt" color="#92D050 [2404]" joinstyle="round"/>
                <v:imagedata o:title=""/>
                <o:lock v:ext="edit" aspectratio="f"/>
              </v:shape>
            </w:pict>
          </mc:Fallback>
        </mc:AlternateContent>
      </w:r>
      <w:r>
        <w:drawing>
          <wp:inline distT="0" distB="0" distL="114300" distR="114300">
            <wp:extent cx="6183630" cy="6605905"/>
            <wp:effectExtent l="0" t="0" r="762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6183630" cy="6605905"/>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highlight w:val="none"/>
          <w:lang w:eastAsia="zh-CN"/>
        </w:rPr>
        <w:t>图</w:t>
      </w:r>
      <w:r>
        <w:rPr>
          <w:rFonts w:hint="default" w:ascii="Times New Roman" w:hAnsi="Times New Roman" w:eastAsia="黑体" w:cs="Times New Roman"/>
          <w:snapToGrid w:val="0"/>
          <w:color w:val="auto"/>
          <w:sz w:val="32"/>
          <w:szCs w:val="32"/>
          <w:highlight w:val="none"/>
          <w:lang w:val="en-US" w:eastAsia="zh-CN"/>
        </w:rPr>
        <w:t>2 厂区总平面布置图</w:t>
      </w:r>
      <w:bookmarkEnd w:id="37"/>
      <w:bookmarkEnd w:id="38"/>
    </w:p>
    <w:p w14:paraId="5968C2E5">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2"/>
          <w:szCs w:val="32"/>
          <w:highlight w:val="none"/>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9" w:name="_Toc32448"/>
      <w:r>
        <w:rPr>
          <w:sz w:val="32"/>
        </w:rPr>
        <mc:AlternateContent>
          <mc:Choice Requires="wps">
            <w:drawing>
              <wp:anchor distT="0" distB="0" distL="114300" distR="114300" simplePos="0" relativeHeight="251672576" behindDoc="0" locked="0" layoutInCell="1" allowOverlap="1">
                <wp:simplePos x="0" y="0"/>
                <wp:positionH relativeFrom="column">
                  <wp:posOffset>2557145</wp:posOffset>
                </wp:positionH>
                <wp:positionV relativeFrom="paragraph">
                  <wp:posOffset>4984750</wp:posOffset>
                </wp:positionV>
                <wp:extent cx="95250" cy="104775"/>
                <wp:effectExtent l="12700" t="12700" r="25400" b="15875"/>
                <wp:wrapNone/>
                <wp:docPr id="25" name="六角星 25"/>
                <wp:cNvGraphicFramePr/>
                <a:graphic xmlns:a="http://schemas.openxmlformats.org/drawingml/2006/main">
                  <a:graphicData uri="http://schemas.microsoft.com/office/word/2010/wordprocessingShape">
                    <wps:wsp>
                      <wps:cNvSpPr/>
                      <wps:spPr>
                        <a:xfrm>
                          <a:off x="3242945" y="5899150"/>
                          <a:ext cx="95250" cy="104775"/>
                        </a:xfrm>
                        <a:prstGeom prst="star6">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1.35pt;margin-top:392.5pt;height:8.25pt;width:7.5pt;z-index:251672576;v-text-anchor:middle;mso-width-relative:page;mso-height-relative:page;" fillcolor="#FF0000" filled="t" stroked="t" coordsize="95250,104775" o:gfxdata="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2BWCdkAAAALAQAADwAAAAAAAAABACAAAAAiAAAAZHJzL2Rv&#10;d25yZXYueG1sUEsBAhQAFAAAAAgAh07iQE065dByAgAA7QQAAA4AAAAAAAAAAQAgAAAAKAEAAGRy&#10;cy9lMm9Eb2MueG1sUEsFBgAAAAAGAAYAWQEAAAwGAAAAAA==&#10;" path="m0,26193l31749,26193,47625,0,63500,26193,95249,26193,79375,52387,95249,78581,63500,78581,47625,104775,31749,78581,0,78581,15874,52387xe">
                <v:path o:connectlocs="95249,26193;95249,78581;47625,104775;0,78581;0,26193;47625,0" o:connectangles="0,0,82,164,164,247"/>
                <v:fill on="t" focussize="0,0"/>
                <v:stroke weight="2pt" color="#FF0000 [2404]" joinstyle="round"/>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2737485</wp:posOffset>
                </wp:positionH>
                <wp:positionV relativeFrom="paragraph">
                  <wp:posOffset>3525520</wp:posOffset>
                </wp:positionV>
                <wp:extent cx="952500" cy="311150"/>
                <wp:effectExtent l="155575" t="12700" r="15875" b="1162050"/>
                <wp:wrapNone/>
                <wp:docPr id="24" name="矩形标注 24"/>
                <wp:cNvGraphicFramePr/>
                <a:graphic xmlns:a="http://schemas.openxmlformats.org/drawingml/2006/main">
                  <a:graphicData uri="http://schemas.microsoft.com/office/word/2010/wordprocessingShape">
                    <wps:wsp>
                      <wps:cNvSpPr/>
                      <wps:spPr>
                        <a:xfrm>
                          <a:off x="3423285" y="4439920"/>
                          <a:ext cx="952500" cy="311150"/>
                        </a:xfrm>
                        <a:prstGeom prst="wedgeRectCallout">
                          <a:avLst>
                            <a:gd name="adj1" fmla="val -65000"/>
                            <a:gd name="adj2" fmla="val 417551"/>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221B0CEC">
                            <w:pPr>
                              <w:jc w:val="center"/>
                              <w:rPr>
                                <w:rFonts w:hint="default" w:eastAsia="宋体"/>
                                <w:lang w:val="en-US" w:eastAsia="zh-CN"/>
                              </w:rPr>
                            </w:pPr>
                            <w:r>
                              <w:rPr>
                                <w:rFonts w:hint="eastAsia"/>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5.55pt;margin-top:277.6pt;height:24.5pt;width:75pt;z-index:251671552;v-text-anchor:middle;mso-width-relative:page;mso-height-relative:page;" fillcolor="#4F81BD [3204]" filled="t" stroked="t" coordsize="21600,21600" o:gfxdata="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OLoAVraAAAACwEA&#10;AA8AAAAAAAAAAQAgAAAAIgAAAGRycy9kb3ducmV2LnhtbFBLAQIUABQAAAAIAIdO4kDMxSEbwwIA&#10;AHwFAAAOAAAAAAAAAAEAIAAAACkBAABkcnMvZTJvRG9jLnhtbFBLBQYAAAAABgAGAFkBAABeBgAA&#10;AAA=&#10;" adj="-3240,100991">
                <v:fill on="t" focussize="0,0"/>
                <v:stroke weight="2pt" color="#376092 [2404]" joinstyle="round"/>
                <v:imagedata o:title=""/>
                <o:lock v:ext="edit" aspectratio="f"/>
                <v:textbox>
                  <w:txbxContent>
                    <w:p w14:paraId="221B0CEC">
                      <w:pPr>
                        <w:jc w:val="center"/>
                        <w:rPr>
                          <w:rFonts w:hint="default" w:eastAsia="宋体"/>
                          <w:lang w:val="en-US" w:eastAsia="zh-CN"/>
                        </w:rPr>
                      </w:pPr>
                      <w:r>
                        <w:rPr>
                          <w:rFonts w:hint="eastAsia"/>
                          <w:lang w:val="en-US" w:eastAsia="zh-CN"/>
                        </w:rPr>
                        <w:t>本项目位置</w:t>
                      </w:r>
                    </w:p>
                  </w:txbxContent>
                </v:textbox>
              </v:shape>
            </w:pict>
          </mc:Fallback>
        </mc:AlternateContent>
      </w:r>
      <w:r>
        <w:rPr>
          <w:rFonts w:hint="default" w:ascii="Times New Roman" w:hAnsi="Times New Roman" w:eastAsia="黑体" w:cs="Times New Roman"/>
          <w:snapToGrid w:val="0"/>
          <w:color w:val="auto"/>
          <w:sz w:val="32"/>
          <w:szCs w:val="32"/>
        </w:rPr>
        <w:drawing>
          <wp:inline distT="0" distB="0" distL="114300" distR="114300">
            <wp:extent cx="6176010" cy="7099300"/>
            <wp:effectExtent l="0" t="0" r="0" b="0"/>
            <wp:docPr id="22" name="图片 22" descr="a925ea9f6c711c5967418095f669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925ea9f6c711c5967418095f669fb6"/>
                    <pic:cNvPicPr>
                      <a:picLocks noChangeAspect="1"/>
                    </pic:cNvPicPr>
                  </pic:nvPicPr>
                  <pic:blipFill>
                    <a:blip r:embed="rId15"/>
                    <a:srcRect t="9331" b="9360"/>
                    <a:stretch>
                      <a:fillRect/>
                    </a:stretch>
                  </pic:blipFill>
                  <pic:spPr>
                    <a:xfrm>
                      <a:off x="0" y="0"/>
                      <a:ext cx="6176010" cy="7099300"/>
                    </a:xfrm>
                    <a:prstGeom prst="rect">
                      <a:avLst/>
                    </a:prstGeom>
                  </pic:spPr>
                </pic:pic>
              </a:graphicData>
            </a:graphic>
          </wp:inline>
        </w:drawing>
      </w:r>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highlight w:val="none"/>
          <w:lang w:eastAsia="zh-CN"/>
        </w:rPr>
        <w:t>图</w:t>
      </w:r>
      <w:r>
        <w:rPr>
          <w:rFonts w:hint="eastAsia" w:ascii="Times New Roman" w:hAnsi="Times New Roman" w:eastAsia="黑体" w:cs="Times New Roman"/>
          <w:snapToGrid w:val="0"/>
          <w:color w:val="auto"/>
          <w:sz w:val="32"/>
          <w:szCs w:val="32"/>
          <w:highlight w:val="none"/>
          <w:lang w:val="en-US" w:eastAsia="zh-CN"/>
        </w:rPr>
        <w:t>3</w:t>
      </w:r>
      <w:r>
        <w:rPr>
          <w:rFonts w:hint="default" w:ascii="Times New Roman" w:hAnsi="Times New Roman" w:eastAsia="黑体" w:cs="Times New Roman"/>
          <w:snapToGrid w:val="0"/>
          <w:color w:val="auto"/>
          <w:sz w:val="32"/>
          <w:szCs w:val="32"/>
          <w:highlight w:val="none"/>
          <w:lang w:val="en-US" w:eastAsia="zh-CN"/>
        </w:rPr>
        <w:t xml:space="preserve"> </w:t>
      </w:r>
      <w:r>
        <w:rPr>
          <w:rFonts w:hint="eastAsia" w:ascii="Times New Roman" w:hAnsi="Times New Roman" w:eastAsia="黑体" w:cs="Times New Roman"/>
          <w:snapToGrid w:val="0"/>
          <w:color w:val="auto"/>
          <w:sz w:val="32"/>
          <w:szCs w:val="32"/>
          <w:highlight w:val="none"/>
          <w:lang w:val="en-US" w:eastAsia="zh-CN"/>
        </w:rPr>
        <w:t>本项目与园区位置关系图</w:t>
      </w:r>
      <w:bookmarkEnd w:id="39"/>
    </w:p>
    <w:p w14:paraId="404E6DD6">
      <w:pPr>
        <w:bidi w:val="0"/>
        <w:jc w:val="center"/>
        <w:rPr>
          <w:rFonts w:hint="default" w:ascii="Times New Roman" w:hAnsi="Times New Roman" w:cs="Times New Roman"/>
          <w:color w:val="auto"/>
        </w:rPr>
      </w:pPr>
      <w:r>
        <w:rPr>
          <w:rFonts w:hint="default" w:ascii="Times New Roman" w:hAnsi="Times New Roman" w:cs="Times New Roman"/>
          <w:color w:val="auto"/>
          <w:sz w:val="44"/>
        </w:rPr>
        <mc:AlternateContent>
          <mc:Choice Requires="wps">
            <w:drawing>
              <wp:anchor distT="0" distB="0" distL="114300" distR="114300" simplePos="0" relativeHeight="251661312" behindDoc="0" locked="0" layoutInCell="1" allowOverlap="1">
                <wp:simplePos x="0" y="0"/>
                <wp:positionH relativeFrom="column">
                  <wp:posOffset>4716780</wp:posOffset>
                </wp:positionH>
                <wp:positionV relativeFrom="paragraph">
                  <wp:posOffset>1522095</wp:posOffset>
                </wp:positionV>
                <wp:extent cx="76200" cy="95885"/>
                <wp:effectExtent l="10795" t="15875" r="27305" b="21590"/>
                <wp:wrapNone/>
                <wp:docPr id="1" name="自选图形 178"/>
                <wp:cNvGraphicFramePr/>
                <a:graphic xmlns:a="http://schemas.openxmlformats.org/drawingml/2006/main">
                  <a:graphicData uri="http://schemas.microsoft.com/office/word/2010/wordprocessingShape">
                    <wps:wsp>
                      <wps:cNvSpPr/>
                      <wps:spPr>
                        <a:xfrm>
                          <a:off x="0" y="0"/>
                          <a:ext cx="76200" cy="95885"/>
                        </a:xfrm>
                        <a:prstGeom prst="star4">
                          <a:avLst>
                            <a:gd name="adj" fmla="val 20000"/>
                          </a:avLst>
                        </a:prstGeom>
                        <a:solidFill>
                          <a:srgbClr val="FF0000"/>
                        </a:solidFill>
                        <a:ln w="6350" cap="flat" cmpd="sng">
                          <a:solidFill>
                            <a:srgbClr val="000000"/>
                          </a:solidFill>
                          <a:prstDash val="solid"/>
                          <a:miter/>
                          <a:headEnd type="none" w="med" len="med"/>
                          <a:tailEnd type="none" w="med" len="med"/>
                        </a:ln>
                      </wps:spPr>
                      <wps:txbx>
                        <w:txbxContent>
                          <w:p w14:paraId="20FA41CA"/>
                        </w:txbxContent>
                      </wps:txbx>
                      <wps:bodyPr vert="horz" wrap="square" anchor="t" anchorCtr="0" upright="1"/>
                    </wps:wsp>
                  </a:graphicData>
                </a:graphic>
              </wp:anchor>
            </w:drawing>
          </mc:Choice>
          <mc:Fallback>
            <w:pict>
              <v:shape id="自选图形 178" o:spid="_x0000_s1026" o:spt="187" type="#_x0000_t187" style="position:absolute;left:0pt;margin-left:371.4pt;margin-top:119.85pt;height:7.55pt;width:6pt;z-index:251661312;mso-width-relative:page;mso-height-relative:page;" fillcolor="#FF0000" filled="t" stroked="t" coordsize="21600,21600" o:gfxdata="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tqQ8LZAAAACwEAAA8AAAAAAAAAAQAgAAAAIgAA&#10;AGRycy9kb3ducmV2LnhtbFBLAQIUABQAAAAIAIdO4kAQeGi8QAIAAI4EAAAOAAAAAAAAAAEAIAAA&#10;ACgBAABkcnMvZTJvRG9jLnhtbFBLBQYAAAAABgAGAFkBAADaBQAAAAA=&#10;" adj="6480">
                <v:fill on="t" focussize="0,0"/>
                <v:stroke weight="0.5pt" color="#000000" joinstyle="miter"/>
                <v:imagedata o:title=""/>
                <o:lock v:ext="edit" aspectratio="f"/>
                <v:textbox>
                  <w:txbxContent>
                    <w:p w14:paraId="20FA41CA"/>
                  </w:txbxContent>
                </v:textbox>
              </v:shape>
            </w:pict>
          </mc:Fallback>
        </mc:AlternateContent>
      </w:r>
      <w:r>
        <w:rPr>
          <w:rFonts w:hint="default" w:ascii="Times New Roman" w:hAnsi="Times New Roman" w:cs="Times New Roman"/>
          <w:color w:val="auto"/>
          <w:sz w:val="44"/>
        </w:rPr>
        <mc:AlternateContent>
          <mc:Choice Requires="wps">
            <w:drawing>
              <wp:anchor distT="0" distB="0" distL="114300" distR="114300" simplePos="0" relativeHeight="251662336" behindDoc="0" locked="0" layoutInCell="1" allowOverlap="1">
                <wp:simplePos x="0" y="0"/>
                <wp:positionH relativeFrom="column">
                  <wp:posOffset>5027930</wp:posOffset>
                </wp:positionH>
                <wp:positionV relativeFrom="paragraph">
                  <wp:posOffset>1892300</wp:posOffset>
                </wp:positionV>
                <wp:extent cx="1108710" cy="231140"/>
                <wp:effectExtent l="278130" t="306705" r="22860" b="14605"/>
                <wp:wrapNone/>
                <wp:docPr id="2" name="自选图形 179"/>
                <wp:cNvGraphicFramePr/>
                <a:graphic xmlns:a="http://schemas.openxmlformats.org/drawingml/2006/main">
                  <a:graphicData uri="http://schemas.microsoft.com/office/word/2010/wordprocessingShape">
                    <wps:wsp>
                      <wps:cNvSpPr/>
                      <wps:spPr>
                        <a:xfrm>
                          <a:off x="0" y="0"/>
                          <a:ext cx="1108710" cy="231140"/>
                        </a:xfrm>
                        <a:prstGeom prst="wedgeRectCallout">
                          <a:avLst>
                            <a:gd name="adj1" fmla="val -71991"/>
                            <a:gd name="adj2" fmla="val -174722"/>
                          </a:avLst>
                        </a:prstGeom>
                        <a:noFill/>
                        <a:ln w="6350" cap="flat" cmpd="sng">
                          <a:solidFill>
                            <a:srgbClr val="FF0000"/>
                          </a:solidFill>
                          <a:prstDash val="solid"/>
                          <a:miter/>
                          <a:headEnd type="none" w="med" len="med"/>
                          <a:tailEnd type="none" w="med" len="med"/>
                        </a:ln>
                      </wps:spPr>
                      <wps:txbx>
                        <w:txbxContent>
                          <w:p w14:paraId="6189EE4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FF0000"/>
                                <w:sz w:val="24"/>
                                <w:szCs w:val="24"/>
                                <w:lang w:val="en-US" w:eastAsia="zh-CN"/>
                              </w:rPr>
                            </w:pPr>
                            <w:r>
                              <w:rPr>
                                <w:rFonts w:hint="eastAsia"/>
                                <w:b/>
                                <w:bCs/>
                                <w:color w:val="FF0000"/>
                                <w:sz w:val="24"/>
                                <w:szCs w:val="24"/>
                                <w:lang w:val="en-US" w:eastAsia="zh-CN"/>
                              </w:rPr>
                              <w:t>本项目厂址</w:t>
                            </w:r>
                          </w:p>
                        </w:txbxContent>
                      </wps:txbx>
                      <wps:bodyPr wrap="square" lIns="91440" tIns="18000" rIns="91440" bIns="18000" upright="1"/>
                    </wps:wsp>
                  </a:graphicData>
                </a:graphic>
              </wp:anchor>
            </w:drawing>
          </mc:Choice>
          <mc:Fallback>
            <w:pict>
              <v:shape id="自选图形 179" o:spid="_x0000_s1026" o:spt="61" type="#_x0000_t61" style="position:absolute;left:0pt;margin-left:395.9pt;margin-top:149pt;height:18.2pt;width:87.3pt;z-index:251662336;mso-width-relative:page;mso-height-relative:page;" filled="f" stroked="t" coordsize="21600,21600" o:gfxdata="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h&#10;dtoAAAALAQAADwAAAAAAAAABACAAAAAiAAAAZHJzL2Rvd25yZXYueG1sUEsBAhQAFAAAAAgAh07i&#10;QND9tIpZAgAAqgQAAA4AAAAAAAAAAQAgAAAAKQEAAGRycy9lMm9Eb2MueG1sUEsFBgAAAAAGAAYA&#10;WQEAAPQFAAAAAA==&#10;" adj="-4750,-26940">
                <v:fill on="f" focussize="0,0"/>
                <v:stroke weight="0.5pt" color="#FF0000" joinstyle="miter"/>
                <v:imagedata o:title=""/>
                <o:lock v:ext="edit" aspectratio="f"/>
                <v:textbox inset="2.54mm,0.5mm,2.54mm,0.5mm">
                  <w:txbxContent>
                    <w:p w14:paraId="6189EE4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FF0000"/>
                          <w:sz w:val="24"/>
                          <w:szCs w:val="24"/>
                          <w:lang w:val="en-US" w:eastAsia="zh-CN"/>
                        </w:rPr>
                      </w:pPr>
                      <w:r>
                        <w:rPr>
                          <w:rFonts w:hint="eastAsia"/>
                          <w:b/>
                          <w:bCs/>
                          <w:color w:val="FF0000"/>
                          <w:sz w:val="24"/>
                          <w:szCs w:val="24"/>
                          <w:lang w:val="en-US" w:eastAsia="zh-CN"/>
                        </w:rPr>
                        <w:t>本项目厂址</w:t>
                      </w:r>
                    </w:p>
                  </w:txbxContent>
                </v:textbox>
              </v:shape>
            </w:pict>
          </mc:Fallback>
        </mc:AlternateContent>
      </w:r>
      <w:r>
        <w:rPr>
          <w:color w:val="auto"/>
          <w:lang w:val="en-US"/>
        </w:rPr>
        <w:drawing>
          <wp:inline distT="0" distB="0" distL="114300" distR="114300">
            <wp:extent cx="5233035" cy="7400925"/>
            <wp:effectExtent l="0" t="0" r="5715" b="9525"/>
            <wp:docPr id="1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8"/>
                    <pic:cNvPicPr>
                      <a:picLocks noChangeAspect="1"/>
                    </pic:cNvPicPr>
                  </pic:nvPicPr>
                  <pic:blipFill>
                    <a:blip r:embed="rId16"/>
                    <a:stretch>
                      <a:fillRect/>
                    </a:stretch>
                  </pic:blipFill>
                  <pic:spPr>
                    <a:xfrm>
                      <a:off x="0" y="0"/>
                      <a:ext cx="5233035" cy="7400925"/>
                    </a:xfrm>
                    <a:prstGeom prst="rect">
                      <a:avLst/>
                    </a:prstGeom>
                    <a:noFill/>
                    <a:ln>
                      <a:noFill/>
                    </a:ln>
                  </pic:spPr>
                </pic:pic>
              </a:graphicData>
            </a:graphic>
          </wp:inline>
        </w:drawing>
      </w:r>
    </w:p>
    <w:p w14:paraId="59A879AF">
      <w:pPr>
        <w:pStyle w:val="3"/>
        <w:bidi w:val="0"/>
        <w:jc w:val="center"/>
        <w:rPr>
          <w:rFonts w:hint="default" w:ascii="Times New Roman" w:hAnsi="Times New Roman" w:cs="Times New Roman"/>
          <w:color w:val="auto"/>
          <w:highlight w:val="none"/>
          <w:lang w:val="en-US" w:eastAsia="zh-CN"/>
        </w:rPr>
      </w:pPr>
      <w:bookmarkStart w:id="40" w:name="_Toc17022"/>
      <w:bookmarkStart w:id="41" w:name="_Toc31907"/>
      <w:r>
        <w:rPr>
          <w:rFonts w:hint="default" w:ascii="Times New Roman" w:hAnsi="Times New Roman" w:cs="Times New Roman"/>
          <w:color w:val="auto"/>
          <w:highlight w:val="none"/>
          <w:lang w:val="en-US" w:eastAsia="zh-CN"/>
        </w:rPr>
        <w:t>附图</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w:t>
      </w:r>
      <w:bookmarkEnd w:id="40"/>
      <w:r>
        <w:rPr>
          <w:rFonts w:hint="eastAsia" w:cs="Times New Roman"/>
          <w:color w:val="auto"/>
          <w:highlight w:val="none"/>
          <w:lang w:val="en-US" w:eastAsia="zh-CN"/>
        </w:rPr>
        <w:t>与</w:t>
      </w:r>
      <w:r>
        <w:rPr>
          <w:rFonts w:hint="default" w:ascii="Times New Roman" w:hAnsi="Times New Roman" w:cs="Times New Roman"/>
          <w:color w:val="auto"/>
          <w:highlight w:val="none"/>
          <w:lang w:val="en-US" w:eastAsia="zh-CN"/>
        </w:rPr>
        <w:t>环境管控单元</w:t>
      </w:r>
      <w:r>
        <w:rPr>
          <w:rFonts w:hint="eastAsia" w:cs="Times New Roman"/>
          <w:color w:val="auto"/>
          <w:highlight w:val="none"/>
          <w:lang w:val="en-US" w:eastAsia="zh-CN"/>
        </w:rPr>
        <w:t>位置叠加</w:t>
      </w:r>
      <w:r>
        <w:rPr>
          <w:rFonts w:hint="default" w:ascii="Times New Roman" w:hAnsi="Times New Roman" w:cs="Times New Roman"/>
          <w:color w:val="auto"/>
          <w:highlight w:val="none"/>
          <w:lang w:val="en-US" w:eastAsia="zh-CN"/>
        </w:rPr>
        <w:t>图</w:t>
      </w:r>
      <w:bookmarkEnd w:id="41"/>
    </w:p>
    <w:p w14:paraId="19E4C9C5">
      <w:pPr>
        <w:pStyle w:val="25"/>
        <w:rPr>
          <w:rFonts w:hint="default" w:ascii="Times New Roman" w:hAnsi="Times New Roman" w:cs="Times New Roman"/>
          <w:color w:val="auto"/>
        </w:rPr>
      </w:pPr>
    </w:p>
    <w:p w14:paraId="31F075DD">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14:paraId="6D5EC2E0">
      <w:pPr>
        <w:pStyle w:val="3"/>
        <w:bidi w:val="0"/>
        <w:rPr>
          <w:rFonts w:hint="default" w:ascii="Times New Roman" w:hAnsi="Times New Roman" w:cs="Times New Roman"/>
          <w:color w:val="auto"/>
          <w:lang w:val="en-US" w:eastAsia="zh-CN"/>
        </w:rPr>
      </w:pPr>
      <w:bookmarkStart w:id="42" w:name="_Toc15650"/>
      <w:bookmarkStart w:id="43" w:name="_Toc32703"/>
      <w:r>
        <w:rPr>
          <w:rFonts w:hint="default" w:ascii="Times New Roman" w:hAnsi="Times New Roman" w:cs="Times New Roman"/>
          <w:color w:val="auto"/>
          <w:lang w:val="en-US" w:eastAsia="zh-CN"/>
        </w:rPr>
        <w:t>附件1 营业执照</w:t>
      </w:r>
      <w:bookmarkEnd w:id="42"/>
      <w:bookmarkEnd w:id="43"/>
    </w:p>
    <w:p w14:paraId="2152F70D">
      <w:pPr>
        <w:bidi w:val="0"/>
        <w:jc w:val="center"/>
        <w:rPr>
          <w:rFonts w:hint="default" w:ascii="Times New Roman" w:hAnsi="Times New Roman" w:cs="Times New Roman"/>
          <w:color w:val="auto"/>
          <w:lang w:val="en-US" w:eastAsia="zh-CN"/>
        </w:rPr>
      </w:pPr>
    </w:p>
    <w:p w14:paraId="606BCAF0">
      <w:pPr>
        <w:pStyle w:val="34"/>
        <w:jc w:val="center"/>
        <w:rPr>
          <w:rFonts w:hint="default" w:ascii="Times New Roman" w:hAnsi="Times New Roman" w:cs="Times New Roman"/>
          <w:color w:val="auto"/>
          <w:lang w:eastAsia="zh-CN"/>
        </w:rPr>
      </w:pPr>
    </w:p>
    <w:p w14:paraId="749537EF">
      <w:pP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14:paraId="3A4EBB32">
      <w:pPr>
        <w:pStyle w:val="25"/>
        <w:ind w:left="0" w:leftChars="0" w:firstLine="0" w:firstLineChars="0"/>
        <w:outlineLvl w:val="0"/>
        <w:rPr>
          <w:rFonts w:hint="default" w:ascii="Times New Roman" w:hAnsi="Times New Roman" w:eastAsia="黑体" w:cs="Times New Roman"/>
          <w:b/>
          <w:bCs/>
          <w:color w:val="auto"/>
          <w:kern w:val="44"/>
          <w:sz w:val="30"/>
          <w:szCs w:val="30"/>
          <w:lang w:val="en-US" w:eastAsia="zh-CN" w:bidi="ar-SA"/>
        </w:rPr>
      </w:pPr>
      <w:bookmarkStart w:id="44" w:name="_Toc9487"/>
      <w:r>
        <w:rPr>
          <w:rFonts w:hint="default" w:ascii="Times New Roman" w:hAnsi="Times New Roman" w:eastAsia="黑体" w:cs="Times New Roman"/>
          <w:b/>
          <w:bCs/>
          <w:color w:val="auto"/>
          <w:kern w:val="44"/>
          <w:sz w:val="30"/>
          <w:szCs w:val="30"/>
          <w:lang w:val="en-US" w:eastAsia="zh-CN" w:bidi="ar-SA"/>
        </w:rPr>
        <w:t xml:space="preserve">附件2 </w:t>
      </w:r>
      <w:r>
        <w:rPr>
          <w:rFonts w:hint="eastAsia" w:eastAsia="黑体" w:cs="Times New Roman"/>
          <w:b/>
          <w:bCs/>
          <w:color w:val="auto"/>
          <w:kern w:val="44"/>
          <w:sz w:val="30"/>
          <w:szCs w:val="30"/>
          <w:lang w:val="en-US" w:eastAsia="zh-CN" w:bidi="ar-SA"/>
        </w:rPr>
        <w:t>土地相关文件</w:t>
      </w:r>
      <w:bookmarkEnd w:id="44"/>
    </w:p>
    <w:p w14:paraId="17C852FC">
      <w:pPr>
        <w:rPr>
          <w:rFonts w:hint="default" w:ascii="Times New Roman" w:hAnsi="Times New Roman" w:cs="Times New Roman"/>
          <w:color w:val="auto"/>
          <w:lang w:val="en-US" w:eastAsia="zh-CN"/>
        </w:rPr>
      </w:pPr>
    </w:p>
    <w:p w14:paraId="39F55947">
      <w:pPr>
        <w:rPr>
          <w:rFonts w:hint="default" w:ascii="Times New Roman" w:hAnsi="Times New Roman" w:cs="Times New Roman"/>
          <w:color w:val="auto"/>
          <w:lang w:eastAsia="zh-CN"/>
        </w:rPr>
      </w:pPr>
    </w:p>
    <w:p w14:paraId="376A02D4">
      <w:pPr>
        <w:pStyle w:val="25"/>
        <w:jc w:val="cente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14:paraId="1F9D2750">
      <w:pPr>
        <w:pStyle w:val="3"/>
        <w:bidi w:val="0"/>
        <w:rPr>
          <w:rFonts w:hint="default" w:ascii="Times New Roman" w:hAnsi="Times New Roman" w:cs="Times New Roman"/>
          <w:color w:val="auto"/>
          <w:lang w:val="en-US" w:eastAsia="zh-CN"/>
        </w:rPr>
      </w:pPr>
      <w:bookmarkStart w:id="45" w:name="_Toc31334"/>
      <w:bookmarkStart w:id="46" w:name="_Toc23724"/>
      <w:r>
        <w:rPr>
          <w:rFonts w:hint="default" w:ascii="Times New Roman" w:hAnsi="Times New Roman" w:cs="Times New Roman"/>
          <w:color w:val="auto"/>
          <w:lang w:val="en-US" w:eastAsia="zh-CN"/>
        </w:rPr>
        <w:t>附件</w:t>
      </w:r>
      <w:r>
        <w:rPr>
          <w:rFonts w:hint="eastAsia" w:cs="Times New Roman"/>
          <w:color w:val="auto"/>
          <w:lang w:val="en-US" w:eastAsia="zh-CN"/>
        </w:rPr>
        <w:t>3</w:t>
      </w:r>
      <w:r>
        <w:rPr>
          <w:rFonts w:hint="default" w:ascii="Times New Roman" w:hAnsi="Times New Roman" w:cs="Times New Roman"/>
          <w:color w:val="auto"/>
          <w:lang w:val="en-US" w:eastAsia="zh-CN"/>
        </w:rPr>
        <w:t xml:space="preserve"> 监测报告</w:t>
      </w:r>
      <w:bookmarkEnd w:id="45"/>
      <w:bookmarkEnd w:id="46"/>
    </w:p>
    <w:p w14:paraId="22071F0B">
      <w:pPr>
        <w:rPr>
          <w:rFonts w:hint="default" w:ascii="Times New Roman" w:hAnsi="Times New Roman" w:cs="Times New Roman"/>
          <w:color w:val="auto"/>
          <w:lang w:val="en-US" w:eastAsia="zh-CN"/>
        </w:rPr>
      </w:pPr>
      <w:r>
        <w:drawing>
          <wp:inline distT="0" distB="0" distL="114300" distR="114300">
            <wp:extent cx="5269230" cy="7515860"/>
            <wp:effectExtent l="0" t="0" r="7620" b="889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7"/>
                    <a:stretch>
                      <a:fillRect/>
                    </a:stretch>
                  </pic:blipFill>
                  <pic:spPr>
                    <a:xfrm>
                      <a:off x="0" y="0"/>
                      <a:ext cx="5269230" cy="7515860"/>
                    </a:xfrm>
                    <a:prstGeom prst="rect">
                      <a:avLst/>
                    </a:prstGeom>
                    <a:noFill/>
                    <a:ln>
                      <a:noFill/>
                    </a:ln>
                  </pic:spPr>
                </pic:pic>
              </a:graphicData>
            </a:graphic>
          </wp:inline>
        </w:drawing>
      </w:r>
    </w:p>
    <w:p w14:paraId="2FE1F29F">
      <w:pPr>
        <w:rPr>
          <w:rFonts w:hint="default" w:ascii="Times New Roman" w:hAnsi="Times New Roman" w:eastAsia="宋体" w:cs="Times New Roman"/>
          <w:color w:val="auto"/>
          <w:lang w:eastAsia="zh-CN"/>
        </w:rPr>
      </w:pPr>
    </w:p>
    <w:p w14:paraId="4BF8AC24">
      <w:pPr>
        <w:pStyle w:val="34"/>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5159F89E">
      <w:pPr>
        <w:pStyle w:val="3"/>
        <w:bidi w:val="0"/>
        <w:rPr>
          <w:rFonts w:hint="default" w:ascii="Times New Roman" w:hAnsi="Times New Roman" w:eastAsia="黑体" w:cs="Times New Roman"/>
          <w:snapToGrid w:val="0"/>
          <w:color w:val="auto"/>
          <w:sz w:val="32"/>
          <w:szCs w:val="32"/>
          <w:lang w:val="en-US" w:eastAsia="zh-CN"/>
        </w:rPr>
      </w:pPr>
      <w:bookmarkStart w:id="47" w:name="_Toc31022"/>
      <w:bookmarkStart w:id="48" w:name="_Toc30457"/>
      <w:r>
        <w:rPr>
          <w:rFonts w:hint="default" w:ascii="Times New Roman" w:hAnsi="Times New Roman" w:cs="Times New Roman"/>
          <w:color w:val="auto"/>
          <w:lang w:val="en-US" w:eastAsia="zh-CN"/>
        </w:rPr>
        <w:t>附件</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核定总量计算说明</w:t>
      </w:r>
      <w:bookmarkEnd w:id="47"/>
      <w:bookmarkEnd w:id="48"/>
    </w:p>
    <w:p w14:paraId="7C890270">
      <w:pPr>
        <w:adjustRightInd w:val="0"/>
        <w:snapToGrid w:val="0"/>
        <w:spacing w:line="360" w:lineRule="auto"/>
        <w:ind w:firstLine="480" w:firstLineChars="200"/>
        <w:rPr>
          <w:rFonts w:hint="default" w:ascii="Times New Roman" w:hAnsi="Times New Roman" w:cs="Times New Roman"/>
          <w:b/>
          <w:color w:val="auto"/>
          <w:sz w:val="24"/>
          <w:highlight w:val="none"/>
        </w:rPr>
      </w:pP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、大气污染物排放总量计算</w:t>
      </w:r>
    </w:p>
    <w:p w14:paraId="73C54CE2">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eastAsia"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 xml:space="preserve"> 大气污染物许可排放量调整系数取值表</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4074"/>
        <w:gridCol w:w="1159"/>
        <w:gridCol w:w="1159"/>
        <w:gridCol w:w="1015"/>
      </w:tblGrid>
      <w:tr w14:paraId="53474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43" w:type="pct"/>
            <w:gridSpan w:val="2"/>
            <w:noWrap w:val="0"/>
            <w:vAlign w:val="center"/>
          </w:tcPr>
          <w:p w14:paraId="16E84A98">
            <w:pPr>
              <w:spacing w:line="0" w:lineRule="atLeast"/>
              <w:contextualSpacing/>
              <w:jc w:val="righ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mc:AlternateContent>
                <mc:Choice Requires="wps">
                  <w:drawing>
                    <wp:anchor distT="0" distB="0" distL="114300" distR="114300" simplePos="0" relativeHeight="251670528" behindDoc="0" locked="0" layoutInCell="1" allowOverlap="1">
                      <wp:simplePos x="0" y="0"/>
                      <wp:positionH relativeFrom="column">
                        <wp:posOffset>-57150</wp:posOffset>
                      </wp:positionH>
                      <wp:positionV relativeFrom="paragraph">
                        <wp:posOffset>19685</wp:posOffset>
                      </wp:positionV>
                      <wp:extent cx="3198495" cy="296545"/>
                      <wp:effectExtent l="635" t="4445" r="1270" b="22860"/>
                      <wp:wrapNone/>
                      <wp:docPr id="20" name="直接箭头连接符 20"/>
                      <wp:cNvGraphicFramePr/>
                      <a:graphic xmlns:a="http://schemas.openxmlformats.org/drawingml/2006/main">
                        <a:graphicData uri="http://schemas.microsoft.com/office/word/2010/wordprocessingShape">
                          <wps:wsp>
                            <wps:cNvCnPr/>
                            <wps:spPr>
                              <a:xfrm>
                                <a:off x="0" y="0"/>
                                <a:ext cx="3198495" cy="2965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pt;margin-top:1.55pt;height:23.35pt;width:251.85pt;z-index:251670528;mso-width-relative:page;mso-height-relative:page;" filled="f" stroked="t" coordsize="21600,21600" o:gfxdata="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6YuedcAAAAHAQAADwAAAAAAAAABACAAAAAiAAAAZHJzL2Rv&#10;d25yZXYueG1sUEsBAhQAFAAAAAgAh07iQHK3snoCAgAA8wMAAA4AAAAAAAAAAQAgAAAAJg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cs="Times New Roman"/>
                <w:color w:val="auto"/>
                <w:szCs w:val="21"/>
                <w:highlight w:val="none"/>
              </w:rPr>
              <w:t>污染物项目</w:t>
            </w:r>
          </w:p>
          <w:p w14:paraId="30D5B031">
            <w:pPr>
              <w:spacing w:line="0" w:lineRule="atLeast"/>
              <w:contextualSpacing/>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锅炉排污单位执行标准</w:t>
            </w:r>
          </w:p>
        </w:tc>
        <w:tc>
          <w:tcPr>
            <w:tcW w:w="680" w:type="pct"/>
            <w:noWrap w:val="0"/>
            <w:vAlign w:val="center"/>
          </w:tcPr>
          <w:p w14:paraId="70592236">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二氧化硫</w:t>
            </w:r>
          </w:p>
        </w:tc>
        <w:tc>
          <w:tcPr>
            <w:tcW w:w="680" w:type="pct"/>
            <w:noWrap w:val="0"/>
            <w:vAlign w:val="center"/>
          </w:tcPr>
          <w:p w14:paraId="46B243A1">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氮氧化物</w:t>
            </w:r>
          </w:p>
        </w:tc>
        <w:tc>
          <w:tcPr>
            <w:tcW w:w="595" w:type="pct"/>
            <w:noWrap w:val="0"/>
            <w:vAlign w:val="center"/>
          </w:tcPr>
          <w:p w14:paraId="129BBD9A">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r>
      <w:tr w14:paraId="6F8DE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43" w:type="pct"/>
            <w:gridSpan w:val="2"/>
            <w:noWrap w:val="0"/>
            <w:vAlign w:val="center"/>
          </w:tcPr>
          <w:p w14:paraId="20587023">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GB13271</w:t>
            </w:r>
          </w:p>
        </w:tc>
        <w:tc>
          <w:tcPr>
            <w:tcW w:w="680" w:type="pct"/>
            <w:noWrap w:val="0"/>
            <w:vAlign w:val="center"/>
          </w:tcPr>
          <w:p w14:paraId="5BB27B39">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0.8</w:t>
            </w:r>
          </w:p>
        </w:tc>
        <w:tc>
          <w:tcPr>
            <w:tcW w:w="680" w:type="pct"/>
            <w:noWrap w:val="0"/>
            <w:vAlign w:val="center"/>
          </w:tcPr>
          <w:p w14:paraId="364B854E">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595" w:type="pct"/>
            <w:noWrap w:val="0"/>
            <w:vAlign w:val="center"/>
          </w:tcPr>
          <w:p w14:paraId="0E473D1C">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r w14:paraId="467CF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restart"/>
            <w:noWrap w:val="0"/>
            <w:vAlign w:val="center"/>
          </w:tcPr>
          <w:p w14:paraId="5BBC4FA2">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地方标准</w:t>
            </w:r>
          </w:p>
        </w:tc>
        <w:tc>
          <w:tcPr>
            <w:tcW w:w="2389" w:type="pct"/>
            <w:noWrap w:val="0"/>
            <w:vAlign w:val="center"/>
          </w:tcPr>
          <w:p w14:paraId="22B99AB6">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标准限值＞0.8倍GB13271特别排放限值</w:t>
            </w:r>
          </w:p>
        </w:tc>
        <w:tc>
          <w:tcPr>
            <w:tcW w:w="680" w:type="pct"/>
            <w:noWrap w:val="0"/>
            <w:vAlign w:val="center"/>
          </w:tcPr>
          <w:p w14:paraId="6C13A13D">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0.8</w:t>
            </w:r>
          </w:p>
        </w:tc>
        <w:tc>
          <w:tcPr>
            <w:tcW w:w="680" w:type="pct"/>
            <w:noWrap w:val="0"/>
            <w:vAlign w:val="center"/>
          </w:tcPr>
          <w:p w14:paraId="2AD12239">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595" w:type="pct"/>
            <w:noWrap w:val="0"/>
            <w:vAlign w:val="center"/>
          </w:tcPr>
          <w:p w14:paraId="279241D7">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r w14:paraId="7F54C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noWrap w:val="0"/>
            <w:vAlign w:val="center"/>
          </w:tcPr>
          <w:p w14:paraId="10CE01AD">
            <w:pPr>
              <w:spacing w:line="0" w:lineRule="atLeast"/>
              <w:contextualSpacing/>
              <w:jc w:val="center"/>
              <w:rPr>
                <w:rFonts w:hint="default" w:ascii="Times New Roman" w:hAnsi="Times New Roman" w:cs="Times New Roman"/>
                <w:color w:val="auto"/>
                <w:szCs w:val="21"/>
                <w:highlight w:val="none"/>
              </w:rPr>
            </w:pPr>
          </w:p>
        </w:tc>
        <w:tc>
          <w:tcPr>
            <w:tcW w:w="2389" w:type="pct"/>
            <w:noWrap w:val="0"/>
            <w:vAlign w:val="center"/>
          </w:tcPr>
          <w:p w14:paraId="31BA462B">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标准限值≤0.8倍GB13271特别排放限值</w:t>
            </w:r>
          </w:p>
        </w:tc>
        <w:tc>
          <w:tcPr>
            <w:tcW w:w="680" w:type="pct"/>
            <w:noWrap w:val="0"/>
            <w:vAlign w:val="center"/>
          </w:tcPr>
          <w:p w14:paraId="262C450F">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680" w:type="pct"/>
            <w:noWrap w:val="0"/>
            <w:vAlign w:val="center"/>
          </w:tcPr>
          <w:p w14:paraId="0B754655">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595" w:type="pct"/>
            <w:noWrap w:val="0"/>
            <w:vAlign w:val="center"/>
          </w:tcPr>
          <w:p w14:paraId="0F57AAFF">
            <w:pPr>
              <w:spacing w:line="0" w:lineRule="atLeast"/>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bl>
    <w:p w14:paraId="25A50B42">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燃气</w:t>
      </w:r>
      <w:r>
        <w:rPr>
          <w:rFonts w:hint="default" w:ascii="Times New Roman" w:hAnsi="Times New Roman" w:cs="Times New Roman"/>
          <w:color w:val="auto"/>
          <w:sz w:val="24"/>
          <w:highlight w:val="none"/>
        </w:rPr>
        <w:t>锅炉的废气污染物（颗粒物、二氧化硫、氮氧化物）年许可排放量按下列公式计算：</w:t>
      </w:r>
    </w:p>
    <w:p w14:paraId="579D06AD">
      <w:pPr>
        <w:spacing w:line="360" w:lineRule="auto"/>
        <w:ind w:firstLine="319" w:firstLineChars="152"/>
        <w:jc w:val="center"/>
        <w:rPr>
          <w:color w:val="auto"/>
          <w:highlight w:val="none"/>
        </w:rPr>
      </w:pPr>
      <w:r>
        <w:rPr>
          <w:color w:val="auto"/>
          <w:highlight w:val="none"/>
        </w:rPr>
        <w:drawing>
          <wp:inline distT="0" distB="0" distL="114300" distR="114300">
            <wp:extent cx="2724150" cy="523875"/>
            <wp:effectExtent l="0" t="0" r="0" b="952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8"/>
                    <a:stretch>
                      <a:fillRect/>
                    </a:stretch>
                  </pic:blipFill>
                  <pic:spPr>
                    <a:xfrm>
                      <a:off x="0" y="0"/>
                      <a:ext cx="2724150" cy="523875"/>
                    </a:xfrm>
                    <a:prstGeom prst="rect">
                      <a:avLst/>
                    </a:prstGeom>
                    <a:noFill/>
                    <a:ln>
                      <a:noFill/>
                    </a:ln>
                  </pic:spPr>
                </pic:pic>
              </a:graphicData>
            </a:graphic>
          </wp:inline>
        </w:drawing>
      </w:r>
    </w:p>
    <w:p w14:paraId="0C013931">
      <w:pPr>
        <w:spacing w:line="360" w:lineRule="auto"/>
        <w:ind w:firstLine="364" w:firstLineChars="15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式中E</w:t>
      </w:r>
      <w:r>
        <w:rPr>
          <w:rFonts w:hint="default" w:ascii="Times New Roman" w:hAnsi="Times New Roman" w:cs="Times New Roman"/>
          <w:color w:val="auto"/>
          <w:sz w:val="24"/>
          <w:highlight w:val="none"/>
          <w:vertAlign w:val="subscript"/>
        </w:rPr>
        <w:t>年许可</w:t>
      </w:r>
      <w:r>
        <w:rPr>
          <w:rFonts w:hint="default" w:ascii="Times New Roman" w:hAnsi="Times New Roman" w:cs="Times New Roman"/>
          <w:color w:val="auto"/>
          <w:sz w:val="24"/>
          <w:highlight w:val="none"/>
        </w:rPr>
        <w:t>—锅炉排污单位污染物年许可排放量，吨；</w:t>
      </w:r>
    </w:p>
    <w:p w14:paraId="090A07BA">
      <w:pPr>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—第i个主要排放口污染物排放标准浓度限值，毫克/立方米；</w:t>
      </w:r>
    </w:p>
    <w:p w14:paraId="1CF7F167">
      <w:pPr>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—第i个主要排放口基准烟气量，标立方米/立方米；</w:t>
      </w:r>
    </w:p>
    <w:p w14:paraId="04A0D62A">
      <w:pPr>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第i个主要排放口所对应的锅炉前三年年平均燃料使用量（未投运或投运不满一年的锅炉按照设计年燃料使用量进行选取，投运满一年但未满三年的锅炉按运行周期年平均燃料使用量选取，当前三年或周期年年平均燃料使用量超过设计燃料使用量时，按设计燃料使用量选取），万立方米；</w:t>
      </w:r>
    </w:p>
    <w:p w14:paraId="21B1F0F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GB3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①</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C为废气污染物许可排放浓度限值</w:t>
      </w:r>
    </w:p>
    <w:p w14:paraId="7BC0118D">
      <w:pPr>
        <w:spacing w:line="360" w:lineRule="auto"/>
        <w:ind w:firstLine="480" w:firstLineChars="200"/>
        <w:contextualSpacing/>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燃气</w:t>
      </w:r>
      <w:r>
        <w:rPr>
          <w:rFonts w:hint="default" w:ascii="Times New Roman" w:hAnsi="Times New Roman" w:cs="Times New Roman"/>
          <w:color w:val="auto"/>
          <w:sz w:val="24"/>
          <w:highlight w:val="none"/>
        </w:rPr>
        <w:t>锅炉执行《锅炉大气污染物排放标准》（GB13271-2014）表</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燃</w:t>
      </w:r>
      <w:r>
        <w:rPr>
          <w:rFonts w:hint="eastAsia" w:ascii="Times New Roman" w:hAnsi="Times New Roman" w:cs="Times New Roman"/>
          <w:color w:val="auto"/>
          <w:sz w:val="24"/>
          <w:highlight w:val="none"/>
          <w:lang w:val="en-US" w:eastAsia="zh-CN"/>
        </w:rPr>
        <w:t>气</w:t>
      </w:r>
      <w:r>
        <w:rPr>
          <w:rFonts w:hint="default" w:ascii="Times New Roman" w:hAnsi="Times New Roman" w:cs="Times New Roman"/>
          <w:color w:val="auto"/>
          <w:sz w:val="24"/>
          <w:highlight w:val="none"/>
        </w:rPr>
        <w:t>锅炉大气污染物排放浓度限值要求，因此取值为颗粒物：</w:t>
      </w:r>
      <w:r>
        <w:rPr>
          <w:rFonts w:hint="eastAsia"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、SO</w:t>
      </w:r>
      <w:r>
        <w:rPr>
          <w:rFonts w:hint="default" w:ascii="Times New Roman" w:hAnsi="Times New Roman" w:cs="Times New Roman"/>
          <w:color w:val="auto"/>
          <w:sz w:val="24"/>
          <w:highlight w:val="none"/>
          <w:vertAlign w:val="subscript"/>
        </w:rPr>
        <w:t>2</w:t>
      </w:r>
      <w:r>
        <w:rPr>
          <w:rFonts w:hint="eastAsia" w:ascii="Times New Roman" w:hAnsi="Times New Roman" w:cs="Times New Roman"/>
          <w:color w:val="auto"/>
          <w:sz w:val="24"/>
          <w:highlight w:val="none"/>
          <w:vertAlign w:val="subscript"/>
          <w:lang w:eastAsia="zh-CN"/>
        </w:rPr>
        <w:t>:</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X</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01A6742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2 \* GB3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②</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V为基准烟气量</w:t>
      </w:r>
    </w:p>
    <w:p w14:paraId="6D8C1AAB">
      <w:pPr>
        <w:spacing w:line="360" w:lineRule="auto"/>
        <w:ind w:firstLine="440" w:firstLineChars="200"/>
        <w:rPr>
          <w:rFonts w:hint="default" w:ascii="Times New Roman" w:hAnsi="Times New Roman" w:cs="Times New Roman"/>
          <w:color w:val="auto"/>
          <w:sz w:val="24"/>
          <w:highlight w:val="none"/>
          <w:lang w:val="en-US"/>
        </w:rPr>
      </w:pPr>
      <w:r>
        <w:rPr>
          <w:rFonts w:hint="default" w:ascii="Times New Roman" w:hAnsi="Times New Roman" w:eastAsia="宋体" w:cs="Times New Roman"/>
          <w:bCs/>
          <w:color w:val="auto"/>
          <w:spacing w:val="-10"/>
          <w:sz w:val="24"/>
          <w:szCs w:val="24"/>
          <w:lang w:val="en-US" w:eastAsia="zh-CN"/>
        </w:rPr>
        <w:t>参照《纳入排污许可管理的火电等17个行业污染物实际排放量计算方法》</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含排污系数、物料衡算方法</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试行</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煤气工业锅炉的产污系数进行核算</w:t>
      </w:r>
      <w:r>
        <w:rPr>
          <w:rFonts w:hint="eastAsia" w:ascii="Times New Roman" w:hAnsi="Times New Roman" w:eastAsia="宋体" w:cs="Times New Roman"/>
          <w:bCs/>
          <w:color w:val="auto"/>
          <w:spacing w:val="-10"/>
          <w:sz w:val="24"/>
          <w:szCs w:val="24"/>
          <w:lang w:val="en-US" w:eastAsia="zh-CN"/>
        </w:rPr>
        <w:t>，本项目V取5.8943</w:t>
      </w:r>
    </w:p>
    <w:p w14:paraId="67F0599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3 \* GB3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③</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R为设计燃料用量</w:t>
      </w:r>
    </w:p>
    <w:p w14:paraId="20989606">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燃</w:t>
      </w:r>
      <w:r>
        <w:rPr>
          <w:rFonts w:hint="eastAsia" w:ascii="Times New Roman" w:hAnsi="Times New Roman" w:cs="Times New Roman"/>
          <w:color w:val="auto"/>
          <w:sz w:val="24"/>
          <w:highlight w:val="none"/>
          <w:lang w:val="en-US" w:eastAsia="zh-CN"/>
        </w:rPr>
        <w:t>气</w:t>
      </w:r>
      <w:r>
        <w:rPr>
          <w:rFonts w:hint="default" w:ascii="Times New Roman" w:hAnsi="Times New Roman" w:cs="Times New Roman"/>
          <w:color w:val="auto"/>
          <w:sz w:val="24"/>
          <w:highlight w:val="none"/>
        </w:rPr>
        <w:t>量为</w:t>
      </w:r>
      <w:r>
        <w:rPr>
          <w:rFonts w:hint="eastAsia" w:ascii="Times New Roman" w:hAnsi="Times New Roman" w:eastAsia="宋体" w:cs="Times New Roman"/>
          <w:color w:val="auto"/>
          <w:sz w:val="24"/>
          <w:highlight w:val="none"/>
          <w:lang w:val="en-US" w:eastAsia="zh-CN"/>
        </w:rPr>
        <w:t>3200万立方米</w:t>
      </w:r>
      <w:r>
        <w:rPr>
          <w:rFonts w:hint="default" w:ascii="Times New Roman" w:hAnsi="Times New Roman" w:cs="Times New Roman"/>
          <w:color w:val="auto"/>
          <w:sz w:val="24"/>
          <w:highlight w:val="none"/>
        </w:rPr>
        <w:t>。</w:t>
      </w:r>
    </w:p>
    <w:p w14:paraId="2FCFEAC5">
      <w:pPr>
        <w:spacing w:line="360" w:lineRule="auto"/>
        <w:ind w:firstLine="480" w:firstLineChars="200"/>
        <w:contextualSpacing/>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w:t>
      </w:r>
      <w:r>
        <w:rPr>
          <w:rFonts w:hint="eastAsia" w:ascii="Times New Roman" w:hAnsi="Times New Roman" w:cs="Times New Roman"/>
          <w:color w:val="auto"/>
          <w:sz w:val="24"/>
          <w:highlight w:val="none"/>
          <w:lang w:val="en-US" w:eastAsia="zh-CN"/>
        </w:rPr>
        <w:t>本项目有组织废气</w:t>
      </w:r>
      <w:r>
        <w:rPr>
          <w:rFonts w:hint="default" w:ascii="Times New Roman" w:hAnsi="Times New Roman" w:cs="Times New Roman"/>
          <w:color w:val="auto"/>
          <w:sz w:val="24"/>
          <w:highlight w:val="none"/>
        </w:rPr>
        <w:t>污染物核定量计算过程如下：</w:t>
      </w:r>
    </w:p>
    <w:p w14:paraId="428D7B7D">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颗粒物=</w:t>
      </w:r>
      <w:r>
        <w:rPr>
          <w:rFonts w:hint="eastAsia" w:ascii="Times New Roman" w:hAnsi="Times New Roman" w:cs="Times New Roman"/>
          <w:b w:val="0"/>
          <w:bCs/>
          <w:color w:val="auto"/>
          <w:sz w:val="24"/>
          <w:szCs w:val="24"/>
          <w:highlight w:val="none"/>
          <w:lang w:val="en-US" w:eastAsia="zh-CN"/>
        </w:rPr>
        <w:t>20</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val="en-US" w:eastAsia="zh-CN"/>
        </w:rPr>
        <w:t>5.8943</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kern w:val="0"/>
          <w:sz w:val="24"/>
          <w:szCs w:val="24"/>
          <w:highlight w:val="none"/>
          <w:lang w:val="en-US" w:eastAsia="zh-CN"/>
        </w:rPr>
        <w:t>3200</w:t>
      </w:r>
      <w:r>
        <w:rPr>
          <w:rFonts w:hint="default" w:ascii="Times New Roman" w:hAnsi="Times New Roman" w:cs="Times New Roman"/>
          <w:b w:val="0"/>
          <w:bCs/>
          <w:color w:val="auto"/>
          <w:sz w:val="24"/>
          <w:szCs w:val="24"/>
          <w:highlight w:val="none"/>
        </w:rPr>
        <w:t>×1×10</w:t>
      </w:r>
      <w:r>
        <w:rPr>
          <w:rFonts w:hint="default" w:ascii="Times New Roman" w:hAnsi="Times New Roman" w:cs="Times New Roman"/>
          <w:b w:val="0"/>
          <w:bCs/>
          <w:color w:val="auto"/>
          <w:sz w:val="24"/>
          <w:szCs w:val="24"/>
          <w:highlight w:val="none"/>
          <w:vertAlign w:val="superscript"/>
        </w:rPr>
        <w:t>-</w:t>
      </w:r>
      <w:r>
        <w:rPr>
          <w:rFonts w:hint="eastAsia" w:ascii="Times New Roman" w:hAnsi="Times New Roman" w:cs="Times New Roman"/>
          <w:b w:val="0"/>
          <w:bCs/>
          <w:color w:val="auto"/>
          <w:sz w:val="24"/>
          <w:szCs w:val="24"/>
          <w:highlight w:val="none"/>
          <w:vertAlign w:val="superscript"/>
          <w:lang w:val="en-US" w:eastAsia="zh-CN"/>
        </w:rPr>
        <w:t>5</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val="en-US" w:eastAsia="zh-CN"/>
        </w:rPr>
        <w:t>3.722</w:t>
      </w:r>
      <w:r>
        <w:rPr>
          <w:rFonts w:hint="default" w:ascii="Times New Roman" w:hAnsi="Times New Roman" w:cs="Times New Roman"/>
          <w:b w:val="0"/>
          <w:bCs/>
          <w:color w:val="auto"/>
          <w:sz w:val="24"/>
          <w:szCs w:val="24"/>
          <w:highlight w:val="none"/>
        </w:rPr>
        <w:t>t/a</w:t>
      </w:r>
    </w:p>
    <w:p w14:paraId="38C13D6B">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SO</w:t>
      </w:r>
      <w:r>
        <w:rPr>
          <w:rFonts w:hint="default" w:ascii="Times New Roman" w:hAnsi="Times New Roman" w:cs="Times New Roman"/>
          <w:b w:val="0"/>
          <w:bCs/>
          <w:color w:val="auto"/>
          <w:sz w:val="24"/>
          <w:szCs w:val="24"/>
          <w:highlight w:val="none"/>
          <w:vertAlign w:val="subscript"/>
        </w:rPr>
        <w:t>2</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rPr>
        <w:t>0×</w:t>
      </w:r>
      <w:r>
        <w:rPr>
          <w:rFonts w:hint="eastAsia" w:ascii="Times New Roman" w:hAnsi="Times New Roman" w:cs="Times New Roman"/>
          <w:b w:val="0"/>
          <w:bCs/>
          <w:color w:val="auto"/>
          <w:sz w:val="24"/>
          <w:szCs w:val="24"/>
          <w:highlight w:val="none"/>
          <w:lang w:val="en-US" w:eastAsia="zh-CN"/>
        </w:rPr>
        <w:t>5.8943</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kern w:val="0"/>
          <w:sz w:val="24"/>
          <w:szCs w:val="24"/>
          <w:highlight w:val="none"/>
          <w:lang w:val="en-US" w:eastAsia="zh-CN"/>
        </w:rPr>
        <w:t>3200</w:t>
      </w:r>
      <w:r>
        <w:rPr>
          <w:rFonts w:hint="default" w:ascii="Times New Roman" w:hAnsi="Times New Roman" w:cs="Times New Roman"/>
          <w:b w:val="0"/>
          <w:bCs/>
          <w:color w:val="auto"/>
          <w:sz w:val="24"/>
          <w:szCs w:val="24"/>
          <w:highlight w:val="none"/>
        </w:rPr>
        <w:t>×0.8×10</w:t>
      </w:r>
      <w:r>
        <w:rPr>
          <w:rFonts w:hint="default" w:ascii="Times New Roman" w:hAnsi="Times New Roman" w:cs="Times New Roman"/>
          <w:b w:val="0"/>
          <w:bCs/>
          <w:color w:val="auto"/>
          <w:sz w:val="24"/>
          <w:szCs w:val="24"/>
          <w:highlight w:val="none"/>
          <w:vertAlign w:val="superscript"/>
        </w:rPr>
        <w:t>-</w:t>
      </w:r>
      <w:r>
        <w:rPr>
          <w:rFonts w:hint="eastAsia" w:ascii="Times New Roman" w:hAnsi="Times New Roman" w:cs="Times New Roman"/>
          <w:b w:val="0"/>
          <w:bCs/>
          <w:color w:val="auto"/>
          <w:sz w:val="24"/>
          <w:szCs w:val="24"/>
          <w:highlight w:val="none"/>
          <w:vertAlign w:val="superscript"/>
          <w:lang w:val="en-US" w:eastAsia="zh-CN"/>
        </w:rPr>
        <w:t>5</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val="en-US" w:eastAsia="zh-CN"/>
        </w:rPr>
        <w:t>7.545</w:t>
      </w:r>
      <w:r>
        <w:rPr>
          <w:rFonts w:hint="default" w:ascii="Times New Roman" w:hAnsi="Times New Roman" w:cs="Times New Roman"/>
          <w:b w:val="0"/>
          <w:bCs/>
          <w:color w:val="auto"/>
          <w:sz w:val="24"/>
          <w:szCs w:val="24"/>
          <w:highlight w:val="none"/>
        </w:rPr>
        <w:t>t/a</w:t>
      </w:r>
    </w:p>
    <w:p w14:paraId="05E1A79C">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NO</w:t>
      </w:r>
      <w:r>
        <w:rPr>
          <w:rFonts w:hint="default" w:ascii="Times New Roman" w:hAnsi="Times New Roman" w:cs="Times New Roman"/>
          <w:b w:val="0"/>
          <w:bCs/>
          <w:color w:val="auto"/>
          <w:sz w:val="24"/>
          <w:szCs w:val="24"/>
          <w:highlight w:val="none"/>
          <w:vertAlign w:val="subscript"/>
        </w:rPr>
        <w:t>X</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rPr>
        <w:t>00×</w:t>
      </w:r>
      <w:r>
        <w:rPr>
          <w:rFonts w:hint="eastAsia" w:ascii="Times New Roman" w:hAnsi="Times New Roman" w:cs="Times New Roman"/>
          <w:b w:val="0"/>
          <w:bCs/>
          <w:color w:val="auto"/>
          <w:sz w:val="24"/>
          <w:szCs w:val="24"/>
          <w:highlight w:val="none"/>
          <w:lang w:val="en-US" w:eastAsia="zh-CN"/>
        </w:rPr>
        <w:t>5.8943</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kern w:val="0"/>
          <w:sz w:val="24"/>
          <w:szCs w:val="24"/>
          <w:highlight w:val="none"/>
          <w:lang w:val="en-US" w:eastAsia="zh-CN"/>
        </w:rPr>
        <w:t>3200</w:t>
      </w:r>
      <w:r>
        <w:rPr>
          <w:rFonts w:hint="default" w:ascii="Times New Roman" w:hAnsi="Times New Roman" w:cs="Times New Roman"/>
          <w:b w:val="0"/>
          <w:bCs/>
          <w:color w:val="auto"/>
          <w:sz w:val="24"/>
          <w:szCs w:val="24"/>
          <w:highlight w:val="none"/>
        </w:rPr>
        <w:t>×1×10</w:t>
      </w:r>
      <w:r>
        <w:rPr>
          <w:rFonts w:hint="default" w:ascii="Times New Roman" w:hAnsi="Times New Roman" w:cs="Times New Roman"/>
          <w:b w:val="0"/>
          <w:bCs/>
          <w:color w:val="auto"/>
          <w:sz w:val="24"/>
          <w:szCs w:val="24"/>
          <w:highlight w:val="none"/>
          <w:vertAlign w:val="superscript"/>
        </w:rPr>
        <w:t>-</w:t>
      </w:r>
      <w:r>
        <w:rPr>
          <w:rFonts w:hint="eastAsia" w:ascii="Times New Roman" w:hAnsi="Times New Roman" w:cs="Times New Roman"/>
          <w:b w:val="0"/>
          <w:bCs/>
          <w:color w:val="auto"/>
          <w:sz w:val="24"/>
          <w:szCs w:val="24"/>
          <w:highlight w:val="none"/>
          <w:vertAlign w:val="superscript"/>
          <w:lang w:val="en-US" w:eastAsia="zh-CN"/>
        </w:rPr>
        <w:t>5</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val="en-US" w:eastAsia="zh-CN"/>
        </w:rPr>
        <w:t>37.724</w:t>
      </w:r>
      <w:r>
        <w:rPr>
          <w:rFonts w:hint="default" w:ascii="Times New Roman" w:hAnsi="Times New Roman" w:cs="Times New Roman"/>
          <w:b w:val="0"/>
          <w:bCs/>
          <w:color w:val="auto"/>
          <w:sz w:val="24"/>
          <w:szCs w:val="24"/>
          <w:highlight w:val="none"/>
        </w:rPr>
        <w:t>t/a</w:t>
      </w:r>
    </w:p>
    <w:p w14:paraId="16784BC7">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sz w:val="24"/>
          <w:szCs w:val="24"/>
          <w:lang w:val="en-US" w:eastAsia="zh-CN"/>
        </w:rPr>
      </w:pPr>
      <w:r>
        <w:rPr>
          <w:rFonts w:hint="eastAsia"/>
          <w:sz w:val="24"/>
          <w:szCs w:val="24"/>
          <w:lang w:val="en-US" w:eastAsia="zh-CN"/>
        </w:rPr>
        <w:t>本项目无组织废气颗粒物排放量=0.16t/a，核定排放量=预测排放量=0.16t/a</w:t>
      </w:r>
    </w:p>
    <w:p w14:paraId="65D4FB9F">
      <w:pPr>
        <w:pStyle w:val="2"/>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废水核定排放量</w:t>
      </w:r>
    </w:p>
    <w:p w14:paraId="5DBC4E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snapToGrid w:val="0"/>
          <w:color w:val="auto"/>
          <w:sz w:val="24"/>
          <w:szCs w:val="24"/>
          <w:highlight w:val="none"/>
          <w:lang w:val="en-US" w:eastAsia="zh-CN"/>
        </w:rPr>
      </w:pPr>
      <w:r>
        <w:rPr>
          <w:rFonts w:hint="eastAsia"/>
          <w:color w:val="auto"/>
          <w:sz w:val="24"/>
          <w:szCs w:val="24"/>
          <w:highlight w:val="none"/>
          <w:lang w:val="en-US" w:eastAsia="zh-CN"/>
        </w:rPr>
        <w:t>本项目废水主要控制指标为COD、氨氮，</w:t>
      </w:r>
      <w:r>
        <w:rPr>
          <w:rFonts w:hint="eastAsia" w:ascii="Times New Roman" w:hAnsi="Times New Roman" w:eastAsia="宋体" w:cs="Times New Roman"/>
          <w:snapToGrid w:val="0"/>
          <w:color w:val="auto"/>
          <w:sz w:val="24"/>
          <w:szCs w:val="24"/>
          <w:highlight w:val="none"/>
          <w:lang w:val="en-US" w:eastAsia="zh-CN"/>
        </w:rPr>
        <w:t>本项目锅炉排污水和软化处理废水经厂区沉淀池处理后与生活污水经化粪池处理后经污水管网排至嘉荫县污水处理厂；</w:t>
      </w:r>
    </w:p>
    <w:p w14:paraId="6F7BD770">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因此本项目废水COD核定排放量=500mg/L×8354.8t/a×10-6=4.177t/a；氨氮核定排放量=预测排放量=0.013t/a</w:t>
      </w:r>
    </w:p>
    <w:p w14:paraId="1FC5ACDA">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综上所述，本项目污染物核定排放量如下：</w:t>
      </w:r>
    </w:p>
    <w:p w14:paraId="339FC709">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颗粒物：3.882t/a</w:t>
      </w:r>
    </w:p>
    <w:p w14:paraId="12CAA39A">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二氧化硫：7.545t/a</w:t>
      </w:r>
    </w:p>
    <w:p w14:paraId="19824A4A">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氮氧化物：37.724t/a</w:t>
      </w:r>
    </w:p>
    <w:p w14:paraId="421E2B1D">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COD：4.177t/a</w:t>
      </w:r>
    </w:p>
    <w:p w14:paraId="5DCAD8D8">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氨氮：0.013t/a</w:t>
      </w: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FF1AF">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CD0EF">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BA3494">
                          <w:pPr>
                            <w:pStyle w:val="17"/>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9</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s9rnf4QEAAMIDAAAOAAAA&#10;AAAAAAEAIAAAAB4BAABkcnMvZTJvRG9jLnhtbFBLBQYAAAAABgAGAFkBAABxBQAAAAA=&#10;">
              <v:fill on="f" focussize="0,0"/>
              <v:stroke on="f"/>
              <v:imagedata o:title=""/>
              <o:lock v:ext="edit" aspectratio="f"/>
              <v:textbox inset="0mm,0mm,0mm,0mm" style="mso-fit-shape-to-text:t;">
                <w:txbxContent>
                  <w:p w14:paraId="51BA3494">
                    <w:pPr>
                      <w:pStyle w:val="17"/>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9</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AB790">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010327">
                          <w:pPr>
                            <w:pStyle w:val="17"/>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11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kEt8pOIBAADCAwAADgAA&#10;AAAAAAABACAAAAAeAQAAZHJzL2Uyb0RvYy54bWxQSwUGAAAAAAYABgBZAQAAcgUAAAAA&#10;">
              <v:fill on="f" focussize="0,0"/>
              <v:stroke on="f"/>
              <v:imagedata o:title=""/>
              <o:lock v:ext="edit" aspectratio="f"/>
              <v:textbox inset="0mm,0mm,0mm,0mm" style="mso-fit-shape-to-text:t;">
                <w:txbxContent>
                  <w:p w14:paraId="5F010327">
                    <w:pPr>
                      <w:pStyle w:val="17"/>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11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E4284">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DBC6E"/>
    <w:multiLevelType w:val="singleLevel"/>
    <w:tmpl w:val="A5CDBC6E"/>
    <w:lvl w:ilvl="0" w:tentative="0">
      <w:start w:val="5"/>
      <w:numFmt w:val="decimal"/>
      <w:suff w:val="nothing"/>
      <w:lvlText w:val="（%1）"/>
      <w:lvlJc w:val="left"/>
    </w:lvl>
  </w:abstractNum>
  <w:abstractNum w:abstractNumId="1">
    <w:nsid w:val="C5D4A2F1"/>
    <w:multiLevelType w:val="singleLevel"/>
    <w:tmpl w:val="C5D4A2F1"/>
    <w:lvl w:ilvl="0" w:tentative="0">
      <w:start w:val="2"/>
      <w:numFmt w:val="decimal"/>
      <w:suff w:val="nothing"/>
      <w:lvlText w:val="%1、"/>
      <w:lvlJc w:val="left"/>
    </w:lvl>
  </w:abstractNum>
  <w:abstractNum w:abstractNumId="2">
    <w:nsid w:val="C982EB17"/>
    <w:multiLevelType w:val="singleLevel"/>
    <w:tmpl w:val="C982EB17"/>
    <w:lvl w:ilvl="0" w:tentative="0">
      <w:start w:val="1"/>
      <w:numFmt w:val="decimal"/>
      <w:suff w:val="nothing"/>
      <w:lvlText w:val="%1、"/>
      <w:lvlJc w:val="left"/>
    </w:lvl>
  </w:abstractNum>
  <w:abstractNum w:abstractNumId="3">
    <w:nsid w:val="155218AF"/>
    <w:multiLevelType w:val="multilevel"/>
    <w:tmpl w:val="155218AF"/>
    <w:lvl w:ilvl="0" w:tentative="0">
      <w:start w:val="1"/>
      <w:numFmt w:val="decimal"/>
      <w:pStyle w:val="63"/>
      <w:lvlText w:val="表%1"/>
      <w:lvlJc w:val="left"/>
      <w:pPr>
        <w:ind w:left="620" w:hanging="42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4">
    <w:nsid w:val="1EA21570"/>
    <w:multiLevelType w:val="singleLevel"/>
    <w:tmpl w:val="1EA21570"/>
    <w:lvl w:ilvl="0" w:tentative="0">
      <w:start w:val="1"/>
      <w:numFmt w:val="decimal"/>
      <w:suff w:val="nothing"/>
      <w:lvlText w:val="%1、"/>
      <w:lvlJc w:val="left"/>
    </w:lvl>
  </w:abstractNum>
  <w:abstractNum w:abstractNumId="5">
    <w:nsid w:val="453D0BE7"/>
    <w:multiLevelType w:val="singleLevel"/>
    <w:tmpl w:val="453D0BE7"/>
    <w:lvl w:ilvl="0" w:tentative="0">
      <w:start w:val="1"/>
      <w:numFmt w:val="decimal"/>
      <w:lvlText w:val="%1."/>
      <w:lvlJc w:val="left"/>
      <w:pPr>
        <w:tabs>
          <w:tab w:val="left" w:pos="312"/>
        </w:tabs>
      </w:pPr>
    </w:lvl>
  </w:abstractNum>
  <w:abstractNum w:abstractNumId="6">
    <w:nsid w:val="76896012"/>
    <w:multiLevelType w:val="singleLevel"/>
    <w:tmpl w:val="76896012"/>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6"/>
  </w:num>
  <w:num w:numId="2">
    <w:abstractNumId w:val="3"/>
  </w:num>
  <w:num w:numId="3">
    <w:abstractNumId w:val="4"/>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5ZTJlMTMyOWNlZmRkNDEzMDQ3ZDQzODhkYTc1YjA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6E7F"/>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EE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603E"/>
    <w:rsid w:val="00B1078B"/>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51D0"/>
    <w:rsid w:val="00F80A0A"/>
    <w:rsid w:val="00F82B19"/>
    <w:rsid w:val="00F9212D"/>
    <w:rsid w:val="00F965DA"/>
    <w:rsid w:val="00FA406A"/>
    <w:rsid w:val="00FB503A"/>
    <w:rsid w:val="00FB516C"/>
    <w:rsid w:val="00FD0236"/>
    <w:rsid w:val="00FD18F4"/>
    <w:rsid w:val="00FD54DB"/>
    <w:rsid w:val="00FD619F"/>
    <w:rsid w:val="011121E8"/>
    <w:rsid w:val="01290F7E"/>
    <w:rsid w:val="015D1E09"/>
    <w:rsid w:val="017B6B58"/>
    <w:rsid w:val="019033CD"/>
    <w:rsid w:val="01981E86"/>
    <w:rsid w:val="01D2320F"/>
    <w:rsid w:val="02167FC9"/>
    <w:rsid w:val="021B3862"/>
    <w:rsid w:val="02261B9E"/>
    <w:rsid w:val="02697903"/>
    <w:rsid w:val="027D6FE3"/>
    <w:rsid w:val="02B97880"/>
    <w:rsid w:val="02DB7FEA"/>
    <w:rsid w:val="02F96569"/>
    <w:rsid w:val="03575264"/>
    <w:rsid w:val="0359750E"/>
    <w:rsid w:val="038B79FE"/>
    <w:rsid w:val="03EA7B21"/>
    <w:rsid w:val="03F260D5"/>
    <w:rsid w:val="04400509"/>
    <w:rsid w:val="046D182C"/>
    <w:rsid w:val="04C8613F"/>
    <w:rsid w:val="05097A6D"/>
    <w:rsid w:val="05842F33"/>
    <w:rsid w:val="059F6D52"/>
    <w:rsid w:val="05D61372"/>
    <w:rsid w:val="05EB3A8F"/>
    <w:rsid w:val="05F83EAE"/>
    <w:rsid w:val="060302C9"/>
    <w:rsid w:val="06185823"/>
    <w:rsid w:val="062F5408"/>
    <w:rsid w:val="063E7D85"/>
    <w:rsid w:val="06455F74"/>
    <w:rsid w:val="06CD0B19"/>
    <w:rsid w:val="07293586"/>
    <w:rsid w:val="07295285"/>
    <w:rsid w:val="074D6D6B"/>
    <w:rsid w:val="07636392"/>
    <w:rsid w:val="07770C56"/>
    <w:rsid w:val="07CD489F"/>
    <w:rsid w:val="08707328"/>
    <w:rsid w:val="08BA0E3B"/>
    <w:rsid w:val="08C475AE"/>
    <w:rsid w:val="08F6498F"/>
    <w:rsid w:val="092217DD"/>
    <w:rsid w:val="093A7294"/>
    <w:rsid w:val="099830FE"/>
    <w:rsid w:val="0A0E259B"/>
    <w:rsid w:val="0A1B74D6"/>
    <w:rsid w:val="0A1D015B"/>
    <w:rsid w:val="0A255CB5"/>
    <w:rsid w:val="0A263993"/>
    <w:rsid w:val="0A2D3AC2"/>
    <w:rsid w:val="0A361932"/>
    <w:rsid w:val="0AA755DF"/>
    <w:rsid w:val="0B041011"/>
    <w:rsid w:val="0B120D44"/>
    <w:rsid w:val="0B676151"/>
    <w:rsid w:val="0B701CFA"/>
    <w:rsid w:val="0B9F6E8C"/>
    <w:rsid w:val="0BA85FDE"/>
    <w:rsid w:val="0BD27BF6"/>
    <w:rsid w:val="0BD302DF"/>
    <w:rsid w:val="0BE42C4E"/>
    <w:rsid w:val="0C2A0C3B"/>
    <w:rsid w:val="0C3B3C7D"/>
    <w:rsid w:val="0C5E4350"/>
    <w:rsid w:val="0C623AD8"/>
    <w:rsid w:val="0CAB2EAE"/>
    <w:rsid w:val="0CCB2787"/>
    <w:rsid w:val="0CCE444A"/>
    <w:rsid w:val="0D621C7D"/>
    <w:rsid w:val="0DB433B1"/>
    <w:rsid w:val="0DF26598"/>
    <w:rsid w:val="0E0D1141"/>
    <w:rsid w:val="0E1F1513"/>
    <w:rsid w:val="0E423DE1"/>
    <w:rsid w:val="0E73034D"/>
    <w:rsid w:val="0E783A90"/>
    <w:rsid w:val="0E9D1781"/>
    <w:rsid w:val="0E9F5443"/>
    <w:rsid w:val="0F13775A"/>
    <w:rsid w:val="0F1F2AEA"/>
    <w:rsid w:val="0F3A4F92"/>
    <w:rsid w:val="0F3D758C"/>
    <w:rsid w:val="0F5B5092"/>
    <w:rsid w:val="0F5F45FE"/>
    <w:rsid w:val="0F8A441C"/>
    <w:rsid w:val="0F9A112B"/>
    <w:rsid w:val="0FAB6BF2"/>
    <w:rsid w:val="0FF91F6B"/>
    <w:rsid w:val="106D2F64"/>
    <w:rsid w:val="108D0CFD"/>
    <w:rsid w:val="10A130A2"/>
    <w:rsid w:val="10A9038F"/>
    <w:rsid w:val="10B63710"/>
    <w:rsid w:val="10B66091"/>
    <w:rsid w:val="10BD52A8"/>
    <w:rsid w:val="10C9278D"/>
    <w:rsid w:val="10F10820"/>
    <w:rsid w:val="11014C09"/>
    <w:rsid w:val="110A6BD7"/>
    <w:rsid w:val="111C2F7A"/>
    <w:rsid w:val="11665CA1"/>
    <w:rsid w:val="11C915E0"/>
    <w:rsid w:val="11DB10E2"/>
    <w:rsid w:val="11FC3698"/>
    <w:rsid w:val="1222743B"/>
    <w:rsid w:val="12333462"/>
    <w:rsid w:val="13137E5F"/>
    <w:rsid w:val="13223A43"/>
    <w:rsid w:val="13250848"/>
    <w:rsid w:val="13382C65"/>
    <w:rsid w:val="136873B3"/>
    <w:rsid w:val="137919E5"/>
    <w:rsid w:val="13951726"/>
    <w:rsid w:val="139C31B4"/>
    <w:rsid w:val="14197EED"/>
    <w:rsid w:val="14396509"/>
    <w:rsid w:val="143C00A0"/>
    <w:rsid w:val="143C5B6F"/>
    <w:rsid w:val="14691F82"/>
    <w:rsid w:val="14AA3362"/>
    <w:rsid w:val="14AF359B"/>
    <w:rsid w:val="14B55F96"/>
    <w:rsid w:val="14CB4D46"/>
    <w:rsid w:val="14DD2C3C"/>
    <w:rsid w:val="14E121AE"/>
    <w:rsid w:val="152E3EA7"/>
    <w:rsid w:val="15461D15"/>
    <w:rsid w:val="15751255"/>
    <w:rsid w:val="15895A52"/>
    <w:rsid w:val="15AD48E8"/>
    <w:rsid w:val="15DA0777"/>
    <w:rsid w:val="15F73341"/>
    <w:rsid w:val="15F83DA8"/>
    <w:rsid w:val="15FE57F2"/>
    <w:rsid w:val="16087E1D"/>
    <w:rsid w:val="162B4EB1"/>
    <w:rsid w:val="16576794"/>
    <w:rsid w:val="16914AB6"/>
    <w:rsid w:val="17214B15"/>
    <w:rsid w:val="173F67CA"/>
    <w:rsid w:val="17453684"/>
    <w:rsid w:val="17575798"/>
    <w:rsid w:val="17701D14"/>
    <w:rsid w:val="17735226"/>
    <w:rsid w:val="17883F1B"/>
    <w:rsid w:val="17A9701D"/>
    <w:rsid w:val="17EF6030"/>
    <w:rsid w:val="18531E8F"/>
    <w:rsid w:val="18671A52"/>
    <w:rsid w:val="18742FF5"/>
    <w:rsid w:val="189F624C"/>
    <w:rsid w:val="18D06CC6"/>
    <w:rsid w:val="18D55C16"/>
    <w:rsid w:val="190C7F4A"/>
    <w:rsid w:val="19490C49"/>
    <w:rsid w:val="19565CC0"/>
    <w:rsid w:val="19676F62"/>
    <w:rsid w:val="19AD6EF2"/>
    <w:rsid w:val="19CD5980"/>
    <w:rsid w:val="1A122317"/>
    <w:rsid w:val="1A1C3F14"/>
    <w:rsid w:val="1A1C66C0"/>
    <w:rsid w:val="1A42393B"/>
    <w:rsid w:val="1A814378"/>
    <w:rsid w:val="1A84413A"/>
    <w:rsid w:val="1AAD45DE"/>
    <w:rsid w:val="1ABD795F"/>
    <w:rsid w:val="1AD70F2D"/>
    <w:rsid w:val="1B046F80"/>
    <w:rsid w:val="1B1473BC"/>
    <w:rsid w:val="1B197F31"/>
    <w:rsid w:val="1B2E2687"/>
    <w:rsid w:val="1B3267B5"/>
    <w:rsid w:val="1B40161D"/>
    <w:rsid w:val="1B441859"/>
    <w:rsid w:val="1B6606B1"/>
    <w:rsid w:val="1B794D59"/>
    <w:rsid w:val="1B9E5220"/>
    <w:rsid w:val="1BA52478"/>
    <w:rsid w:val="1BE45B9D"/>
    <w:rsid w:val="1C2A6AC2"/>
    <w:rsid w:val="1C4228FA"/>
    <w:rsid w:val="1C5A5F7D"/>
    <w:rsid w:val="1C5E7925"/>
    <w:rsid w:val="1C636D7B"/>
    <w:rsid w:val="1C6671ED"/>
    <w:rsid w:val="1C97580E"/>
    <w:rsid w:val="1C9C6A8E"/>
    <w:rsid w:val="1CA04F1C"/>
    <w:rsid w:val="1CBA10F7"/>
    <w:rsid w:val="1CD03DAB"/>
    <w:rsid w:val="1CD25EE5"/>
    <w:rsid w:val="1CFD070F"/>
    <w:rsid w:val="1D5F6196"/>
    <w:rsid w:val="1D6132A5"/>
    <w:rsid w:val="1D822594"/>
    <w:rsid w:val="1D871D2E"/>
    <w:rsid w:val="1D8C461D"/>
    <w:rsid w:val="1D8E56D5"/>
    <w:rsid w:val="1D8F0979"/>
    <w:rsid w:val="1DC7082F"/>
    <w:rsid w:val="1DF43BD5"/>
    <w:rsid w:val="1E2C13E6"/>
    <w:rsid w:val="1E340689"/>
    <w:rsid w:val="1E49588A"/>
    <w:rsid w:val="1E5A63DC"/>
    <w:rsid w:val="1E7A43DA"/>
    <w:rsid w:val="1ECC5B48"/>
    <w:rsid w:val="1ED24AB3"/>
    <w:rsid w:val="1EF02975"/>
    <w:rsid w:val="1F4443B2"/>
    <w:rsid w:val="1F7D1EE6"/>
    <w:rsid w:val="1FA63B31"/>
    <w:rsid w:val="1FE7539E"/>
    <w:rsid w:val="200F62A2"/>
    <w:rsid w:val="203936FA"/>
    <w:rsid w:val="20431449"/>
    <w:rsid w:val="20671BE0"/>
    <w:rsid w:val="207B4C6C"/>
    <w:rsid w:val="20864E0B"/>
    <w:rsid w:val="20963CB8"/>
    <w:rsid w:val="20A81A1B"/>
    <w:rsid w:val="20B07FB6"/>
    <w:rsid w:val="20B646FB"/>
    <w:rsid w:val="20C4276B"/>
    <w:rsid w:val="20E00670"/>
    <w:rsid w:val="213B74B1"/>
    <w:rsid w:val="2151001D"/>
    <w:rsid w:val="215A2310"/>
    <w:rsid w:val="21630A1E"/>
    <w:rsid w:val="21B653B5"/>
    <w:rsid w:val="21CE3698"/>
    <w:rsid w:val="21DE318A"/>
    <w:rsid w:val="21E2519E"/>
    <w:rsid w:val="21EF5B80"/>
    <w:rsid w:val="21FE4B23"/>
    <w:rsid w:val="22217789"/>
    <w:rsid w:val="223D1532"/>
    <w:rsid w:val="22537179"/>
    <w:rsid w:val="22576990"/>
    <w:rsid w:val="22620B99"/>
    <w:rsid w:val="229972EB"/>
    <w:rsid w:val="22A66B81"/>
    <w:rsid w:val="22F47480"/>
    <w:rsid w:val="235F450F"/>
    <w:rsid w:val="23683EFA"/>
    <w:rsid w:val="23785725"/>
    <w:rsid w:val="23BA79D0"/>
    <w:rsid w:val="23DE1C48"/>
    <w:rsid w:val="23FA3DEB"/>
    <w:rsid w:val="23FD1F37"/>
    <w:rsid w:val="240210CD"/>
    <w:rsid w:val="242A09AF"/>
    <w:rsid w:val="243508DF"/>
    <w:rsid w:val="24500923"/>
    <w:rsid w:val="24585EDF"/>
    <w:rsid w:val="246360A2"/>
    <w:rsid w:val="249101A6"/>
    <w:rsid w:val="24B51FCB"/>
    <w:rsid w:val="24BF09F7"/>
    <w:rsid w:val="25014703"/>
    <w:rsid w:val="252D53FE"/>
    <w:rsid w:val="25353D2F"/>
    <w:rsid w:val="257B6516"/>
    <w:rsid w:val="25C218DC"/>
    <w:rsid w:val="25C4399B"/>
    <w:rsid w:val="25C5028D"/>
    <w:rsid w:val="25DA3182"/>
    <w:rsid w:val="25E5514E"/>
    <w:rsid w:val="25E67F48"/>
    <w:rsid w:val="25EC2D81"/>
    <w:rsid w:val="25F866D1"/>
    <w:rsid w:val="25F976A7"/>
    <w:rsid w:val="25FA4A5F"/>
    <w:rsid w:val="265D1549"/>
    <w:rsid w:val="266D7D5B"/>
    <w:rsid w:val="267E28DB"/>
    <w:rsid w:val="26955D35"/>
    <w:rsid w:val="26C82584"/>
    <w:rsid w:val="26CB3E5F"/>
    <w:rsid w:val="26CE741C"/>
    <w:rsid w:val="275142B7"/>
    <w:rsid w:val="277057A2"/>
    <w:rsid w:val="27E33207"/>
    <w:rsid w:val="28072F0C"/>
    <w:rsid w:val="28130EFA"/>
    <w:rsid w:val="28540B36"/>
    <w:rsid w:val="28684D98"/>
    <w:rsid w:val="29206EB8"/>
    <w:rsid w:val="293D0F52"/>
    <w:rsid w:val="29595666"/>
    <w:rsid w:val="29874881"/>
    <w:rsid w:val="298924A9"/>
    <w:rsid w:val="299E6D8C"/>
    <w:rsid w:val="29DC72A3"/>
    <w:rsid w:val="29E325E0"/>
    <w:rsid w:val="29E94C1E"/>
    <w:rsid w:val="2A1360C6"/>
    <w:rsid w:val="2A16686A"/>
    <w:rsid w:val="2A175EBF"/>
    <w:rsid w:val="2A452503"/>
    <w:rsid w:val="2A521B11"/>
    <w:rsid w:val="2A85680A"/>
    <w:rsid w:val="2A9C3ADF"/>
    <w:rsid w:val="2AB4501D"/>
    <w:rsid w:val="2AEE3107"/>
    <w:rsid w:val="2AF51608"/>
    <w:rsid w:val="2B0320F9"/>
    <w:rsid w:val="2B465DBF"/>
    <w:rsid w:val="2B4A5F6D"/>
    <w:rsid w:val="2B5409F0"/>
    <w:rsid w:val="2B6163EE"/>
    <w:rsid w:val="2B7B7489"/>
    <w:rsid w:val="2B8C25FF"/>
    <w:rsid w:val="2BA936A8"/>
    <w:rsid w:val="2BBA491B"/>
    <w:rsid w:val="2BCD7344"/>
    <w:rsid w:val="2BD33884"/>
    <w:rsid w:val="2C0E681E"/>
    <w:rsid w:val="2C2E33FE"/>
    <w:rsid w:val="2C315A5A"/>
    <w:rsid w:val="2C42045B"/>
    <w:rsid w:val="2C4B1C25"/>
    <w:rsid w:val="2C4F6588"/>
    <w:rsid w:val="2C5D7BC0"/>
    <w:rsid w:val="2CB9732B"/>
    <w:rsid w:val="2D3F3E15"/>
    <w:rsid w:val="2D5372E9"/>
    <w:rsid w:val="2D5B60AE"/>
    <w:rsid w:val="2D964D60"/>
    <w:rsid w:val="2D9B6B0E"/>
    <w:rsid w:val="2D9E56F5"/>
    <w:rsid w:val="2E05270F"/>
    <w:rsid w:val="2E07165B"/>
    <w:rsid w:val="2E120A28"/>
    <w:rsid w:val="2E4C262D"/>
    <w:rsid w:val="2E51371E"/>
    <w:rsid w:val="2E667F96"/>
    <w:rsid w:val="2E8226AB"/>
    <w:rsid w:val="2F5B158F"/>
    <w:rsid w:val="2F841E28"/>
    <w:rsid w:val="2FC4498F"/>
    <w:rsid w:val="2FD065E6"/>
    <w:rsid w:val="2FD96870"/>
    <w:rsid w:val="30082A1C"/>
    <w:rsid w:val="301E10B7"/>
    <w:rsid w:val="30384577"/>
    <w:rsid w:val="303A0C09"/>
    <w:rsid w:val="305539E9"/>
    <w:rsid w:val="30580BC9"/>
    <w:rsid w:val="308A2DD8"/>
    <w:rsid w:val="31045D62"/>
    <w:rsid w:val="311E2ED7"/>
    <w:rsid w:val="31491F46"/>
    <w:rsid w:val="315619EE"/>
    <w:rsid w:val="315C3863"/>
    <w:rsid w:val="315C449C"/>
    <w:rsid w:val="31664639"/>
    <w:rsid w:val="31AB31B8"/>
    <w:rsid w:val="31B82709"/>
    <w:rsid w:val="31D03865"/>
    <w:rsid w:val="31D05482"/>
    <w:rsid w:val="31F427A0"/>
    <w:rsid w:val="320819D7"/>
    <w:rsid w:val="32201C61"/>
    <w:rsid w:val="32277185"/>
    <w:rsid w:val="32373A04"/>
    <w:rsid w:val="32400B34"/>
    <w:rsid w:val="326D55DE"/>
    <w:rsid w:val="32903C36"/>
    <w:rsid w:val="329262E2"/>
    <w:rsid w:val="329E6876"/>
    <w:rsid w:val="33103826"/>
    <w:rsid w:val="333015F2"/>
    <w:rsid w:val="333F4FF3"/>
    <w:rsid w:val="334B6320"/>
    <w:rsid w:val="33954C73"/>
    <w:rsid w:val="33AE31E3"/>
    <w:rsid w:val="33D934D4"/>
    <w:rsid w:val="33EB379D"/>
    <w:rsid w:val="33FE03D7"/>
    <w:rsid w:val="33FE2F6A"/>
    <w:rsid w:val="340D5119"/>
    <w:rsid w:val="340E07E5"/>
    <w:rsid w:val="34235BF7"/>
    <w:rsid w:val="34311C0E"/>
    <w:rsid w:val="34854D72"/>
    <w:rsid w:val="34A65E6C"/>
    <w:rsid w:val="34AA19D5"/>
    <w:rsid w:val="34CA0B14"/>
    <w:rsid w:val="34E642E4"/>
    <w:rsid w:val="3508784C"/>
    <w:rsid w:val="3518029B"/>
    <w:rsid w:val="35236F98"/>
    <w:rsid w:val="35396D0C"/>
    <w:rsid w:val="356B5A2B"/>
    <w:rsid w:val="358C5FA8"/>
    <w:rsid w:val="35B91923"/>
    <w:rsid w:val="35C0684E"/>
    <w:rsid w:val="35C15DF1"/>
    <w:rsid w:val="35F6773C"/>
    <w:rsid w:val="36074A7F"/>
    <w:rsid w:val="36923549"/>
    <w:rsid w:val="36B75FBF"/>
    <w:rsid w:val="36BD0C45"/>
    <w:rsid w:val="375F3C64"/>
    <w:rsid w:val="37AD3910"/>
    <w:rsid w:val="37E00298"/>
    <w:rsid w:val="38226065"/>
    <w:rsid w:val="389E6D44"/>
    <w:rsid w:val="38B302F9"/>
    <w:rsid w:val="38F12CD3"/>
    <w:rsid w:val="38F24280"/>
    <w:rsid w:val="38F94775"/>
    <w:rsid w:val="392971ED"/>
    <w:rsid w:val="39325651"/>
    <w:rsid w:val="393F6A4C"/>
    <w:rsid w:val="39945324"/>
    <w:rsid w:val="39B05882"/>
    <w:rsid w:val="39E958F2"/>
    <w:rsid w:val="39EB6C17"/>
    <w:rsid w:val="39F7575A"/>
    <w:rsid w:val="3A70112C"/>
    <w:rsid w:val="3A715BE6"/>
    <w:rsid w:val="3A82368B"/>
    <w:rsid w:val="3A872856"/>
    <w:rsid w:val="3AA134BC"/>
    <w:rsid w:val="3ABA6E6F"/>
    <w:rsid w:val="3AC7651B"/>
    <w:rsid w:val="3ADA57AC"/>
    <w:rsid w:val="3AF917BE"/>
    <w:rsid w:val="3B37244D"/>
    <w:rsid w:val="3B3763D1"/>
    <w:rsid w:val="3B7908EA"/>
    <w:rsid w:val="3B7A0443"/>
    <w:rsid w:val="3BA7682B"/>
    <w:rsid w:val="3BB22D00"/>
    <w:rsid w:val="3BD01333"/>
    <w:rsid w:val="3BD05689"/>
    <w:rsid w:val="3C2F6E1E"/>
    <w:rsid w:val="3C4F64BA"/>
    <w:rsid w:val="3C976B3F"/>
    <w:rsid w:val="3C9F7BEF"/>
    <w:rsid w:val="3CB648C4"/>
    <w:rsid w:val="3CC71CF3"/>
    <w:rsid w:val="3CDA245A"/>
    <w:rsid w:val="3D1E06B7"/>
    <w:rsid w:val="3D1F0905"/>
    <w:rsid w:val="3D4655C3"/>
    <w:rsid w:val="3D87783A"/>
    <w:rsid w:val="3DB63E41"/>
    <w:rsid w:val="3DE47E5B"/>
    <w:rsid w:val="3E0D25BE"/>
    <w:rsid w:val="3E6650CD"/>
    <w:rsid w:val="3EA72AE8"/>
    <w:rsid w:val="3EB65825"/>
    <w:rsid w:val="3EDA0523"/>
    <w:rsid w:val="3EF9599F"/>
    <w:rsid w:val="3F255F63"/>
    <w:rsid w:val="3F304BA2"/>
    <w:rsid w:val="3F4855CD"/>
    <w:rsid w:val="3F5166A7"/>
    <w:rsid w:val="3F564254"/>
    <w:rsid w:val="3F7F50DD"/>
    <w:rsid w:val="3F896226"/>
    <w:rsid w:val="3F913EC5"/>
    <w:rsid w:val="3FA310C4"/>
    <w:rsid w:val="3FD86B98"/>
    <w:rsid w:val="3FF041B7"/>
    <w:rsid w:val="40066D1F"/>
    <w:rsid w:val="40741B85"/>
    <w:rsid w:val="407A6407"/>
    <w:rsid w:val="407F2E19"/>
    <w:rsid w:val="40E64DF9"/>
    <w:rsid w:val="41157A56"/>
    <w:rsid w:val="411A4AC6"/>
    <w:rsid w:val="414211A5"/>
    <w:rsid w:val="418506B8"/>
    <w:rsid w:val="41D546E9"/>
    <w:rsid w:val="4200449D"/>
    <w:rsid w:val="423A3BCC"/>
    <w:rsid w:val="424236F4"/>
    <w:rsid w:val="424E57D2"/>
    <w:rsid w:val="42572CB5"/>
    <w:rsid w:val="42954D3B"/>
    <w:rsid w:val="42B26C49"/>
    <w:rsid w:val="42B655FF"/>
    <w:rsid w:val="42C2380C"/>
    <w:rsid w:val="42C24B15"/>
    <w:rsid w:val="42C718FF"/>
    <w:rsid w:val="431B66EB"/>
    <w:rsid w:val="433A6FE6"/>
    <w:rsid w:val="43480868"/>
    <w:rsid w:val="4350713C"/>
    <w:rsid w:val="436653E0"/>
    <w:rsid w:val="436B4F55"/>
    <w:rsid w:val="43702A96"/>
    <w:rsid w:val="439B7CA4"/>
    <w:rsid w:val="43C4431A"/>
    <w:rsid w:val="43F226EB"/>
    <w:rsid w:val="4404080F"/>
    <w:rsid w:val="441516CC"/>
    <w:rsid w:val="44217902"/>
    <w:rsid w:val="4427192E"/>
    <w:rsid w:val="44562E01"/>
    <w:rsid w:val="446903D6"/>
    <w:rsid w:val="447D42ED"/>
    <w:rsid w:val="44B951CC"/>
    <w:rsid w:val="44CD14E0"/>
    <w:rsid w:val="44F20B0B"/>
    <w:rsid w:val="450F185A"/>
    <w:rsid w:val="452013C5"/>
    <w:rsid w:val="4529706E"/>
    <w:rsid w:val="45297855"/>
    <w:rsid w:val="452E5F4C"/>
    <w:rsid w:val="453C0CE7"/>
    <w:rsid w:val="45612018"/>
    <w:rsid w:val="458946E9"/>
    <w:rsid w:val="45A47C0E"/>
    <w:rsid w:val="45CD51CE"/>
    <w:rsid w:val="45D12B05"/>
    <w:rsid w:val="461364B4"/>
    <w:rsid w:val="46577FD6"/>
    <w:rsid w:val="46966F6C"/>
    <w:rsid w:val="46C02996"/>
    <w:rsid w:val="46D955A7"/>
    <w:rsid w:val="47095454"/>
    <w:rsid w:val="47133957"/>
    <w:rsid w:val="47274F9C"/>
    <w:rsid w:val="474230B2"/>
    <w:rsid w:val="474748A5"/>
    <w:rsid w:val="47487BEA"/>
    <w:rsid w:val="474B1A26"/>
    <w:rsid w:val="47611CE5"/>
    <w:rsid w:val="47616EFE"/>
    <w:rsid w:val="47A07E0C"/>
    <w:rsid w:val="47BF067F"/>
    <w:rsid w:val="480B33BC"/>
    <w:rsid w:val="48334420"/>
    <w:rsid w:val="4870272E"/>
    <w:rsid w:val="4877577E"/>
    <w:rsid w:val="48C27B4E"/>
    <w:rsid w:val="4907002B"/>
    <w:rsid w:val="490C6B7F"/>
    <w:rsid w:val="4928192F"/>
    <w:rsid w:val="492D3556"/>
    <w:rsid w:val="495B540A"/>
    <w:rsid w:val="49A260A5"/>
    <w:rsid w:val="49A73790"/>
    <w:rsid w:val="49AF2A38"/>
    <w:rsid w:val="49DC7715"/>
    <w:rsid w:val="49F14B41"/>
    <w:rsid w:val="4A023139"/>
    <w:rsid w:val="4A1A1B1F"/>
    <w:rsid w:val="4A7B576F"/>
    <w:rsid w:val="4A9926A3"/>
    <w:rsid w:val="4A9C33B3"/>
    <w:rsid w:val="4ABD5996"/>
    <w:rsid w:val="4ADB576C"/>
    <w:rsid w:val="4AF561A9"/>
    <w:rsid w:val="4B410B3E"/>
    <w:rsid w:val="4B6B6DDC"/>
    <w:rsid w:val="4B7E5F4D"/>
    <w:rsid w:val="4B8962C1"/>
    <w:rsid w:val="4B976271"/>
    <w:rsid w:val="4B9E4B6B"/>
    <w:rsid w:val="4BA45A83"/>
    <w:rsid w:val="4BA47516"/>
    <w:rsid w:val="4BA641D0"/>
    <w:rsid w:val="4BC67AC5"/>
    <w:rsid w:val="4BC92923"/>
    <w:rsid w:val="4C166F33"/>
    <w:rsid w:val="4C4A0649"/>
    <w:rsid w:val="4C5E0E5B"/>
    <w:rsid w:val="4C625B87"/>
    <w:rsid w:val="4C7E5ECA"/>
    <w:rsid w:val="4C876AA5"/>
    <w:rsid w:val="4CF51418"/>
    <w:rsid w:val="4D0430A4"/>
    <w:rsid w:val="4D0A4024"/>
    <w:rsid w:val="4D0E00FB"/>
    <w:rsid w:val="4D176606"/>
    <w:rsid w:val="4D4365FE"/>
    <w:rsid w:val="4DCD0A6E"/>
    <w:rsid w:val="4DEC4FB0"/>
    <w:rsid w:val="4DEF101A"/>
    <w:rsid w:val="4E075D8A"/>
    <w:rsid w:val="4E1121D8"/>
    <w:rsid w:val="4E244CA2"/>
    <w:rsid w:val="4E4C00C0"/>
    <w:rsid w:val="4E561ACB"/>
    <w:rsid w:val="4E817E28"/>
    <w:rsid w:val="4EC00FAD"/>
    <w:rsid w:val="4EC878DB"/>
    <w:rsid w:val="4ED97085"/>
    <w:rsid w:val="4F124EEE"/>
    <w:rsid w:val="4F232A45"/>
    <w:rsid w:val="4F232B85"/>
    <w:rsid w:val="4F3E2CB1"/>
    <w:rsid w:val="4F8F3D7E"/>
    <w:rsid w:val="4F910714"/>
    <w:rsid w:val="4F9843DC"/>
    <w:rsid w:val="4FB716BA"/>
    <w:rsid w:val="4FC62A8C"/>
    <w:rsid w:val="4FE20F0D"/>
    <w:rsid w:val="4FE51552"/>
    <w:rsid w:val="501E5694"/>
    <w:rsid w:val="50485798"/>
    <w:rsid w:val="50504C4B"/>
    <w:rsid w:val="50573227"/>
    <w:rsid w:val="50732DCE"/>
    <w:rsid w:val="50732E68"/>
    <w:rsid w:val="5078063E"/>
    <w:rsid w:val="507E1C38"/>
    <w:rsid w:val="509C6E7C"/>
    <w:rsid w:val="50A624E8"/>
    <w:rsid w:val="50B67D2B"/>
    <w:rsid w:val="50C3433E"/>
    <w:rsid w:val="50E11ED6"/>
    <w:rsid w:val="50F11BE4"/>
    <w:rsid w:val="512417F5"/>
    <w:rsid w:val="51480A14"/>
    <w:rsid w:val="5162104E"/>
    <w:rsid w:val="516C31A7"/>
    <w:rsid w:val="517642EF"/>
    <w:rsid w:val="519B3C4D"/>
    <w:rsid w:val="51BE7DA6"/>
    <w:rsid w:val="51E64440"/>
    <w:rsid w:val="526C67A8"/>
    <w:rsid w:val="52854557"/>
    <w:rsid w:val="52963C92"/>
    <w:rsid w:val="52DA41EC"/>
    <w:rsid w:val="52E14916"/>
    <w:rsid w:val="531A586A"/>
    <w:rsid w:val="531B228D"/>
    <w:rsid w:val="53702648"/>
    <w:rsid w:val="537D4275"/>
    <w:rsid w:val="53A039CC"/>
    <w:rsid w:val="53A1505A"/>
    <w:rsid w:val="53A22660"/>
    <w:rsid w:val="53DD1FE5"/>
    <w:rsid w:val="53FB691A"/>
    <w:rsid w:val="54063E08"/>
    <w:rsid w:val="542D54B9"/>
    <w:rsid w:val="543437E8"/>
    <w:rsid w:val="548F5F1C"/>
    <w:rsid w:val="54B65E06"/>
    <w:rsid w:val="54E516BA"/>
    <w:rsid w:val="54E714E5"/>
    <w:rsid w:val="54F73313"/>
    <w:rsid w:val="54F80955"/>
    <w:rsid w:val="55102C57"/>
    <w:rsid w:val="555170A7"/>
    <w:rsid w:val="5587536D"/>
    <w:rsid w:val="559B174B"/>
    <w:rsid w:val="55CE0CF4"/>
    <w:rsid w:val="561F12FE"/>
    <w:rsid w:val="563B6ADC"/>
    <w:rsid w:val="56B22A9C"/>
    <w:rsid w:val="56D83A01"/>
    <w:rsid w:val="57187D26"/>
    <w:rsid w:val="572047E9"/>
    <w:rsid w:val="572C1E68"/>
    <w:rsid w:val="573D17BB"/>
    <w:rsid w:val="57B72A76"/>
    <w:rsid w:val="57C3426C"/>
    <w:rsid w:val="57C63810"/>
    <w:rsid w:val="57CE1F93"/>
    <w:rsid w:val="57E042BB"/>
    <w:rsid w:val="57E62C7A"/>
    <w:rsid w:val="57FF1A49"/>
    <w:rsid w:val="586E7127"/>
    <w:rsid w:val="588743D1"/>
    <w:rsid w:val="5887701A"/>
    <w:rsid w:val="589E02D5"/>
    <w:rsid w:val="58B92541"/>
    <w:rsid w:val="58BC69CF"/>
    <w:rsid w:val="59216481"/>
    <w:rsid w:val="59424293"/>
    <w:rsid w:val="595F72A0"/>
    <w:rsid w:val="5978473E"/>
    <w:rsid w:val="5997731E"/>
    <w:rsid w:val="599D3959"/>
    <w:rsid w:val="59C0439F"/>
    <w:rsid w:val="59E56F45"/>
    <w:rsid w:val="59F048C6"/>
    <w:rsid w:val="5A0C1EE5"/>
    <w:rsid w:val="5A524B01"/>
    <w:rsid w:val="5A9009D2"/>
    <w:rsid w:val="5ABE2233"/>
    <w:rsid w:val="5AF34ED0"/>
    <w:rsid w:val="5B10603A"/>
    <w:rsid w:val="5B6625CF"/>
    <w:rsid w:val="5BDA19DD"/>
    <w:rsid w:val="5BDF5D95"/>
    <w:rsid w:val="5BFE7528"/>
    <w:rsid w:val="5C1219E1"/>
    <w:rsid w:val="5C5D14B8"/>
    <w:rsid w:val="5CA5005D"/>
    <w:rsid w:val="5CAE48E0"/>
    <w:rsid w:val="5CBE70CD"/>
    <w:rsid w:val="5CCC577F"/>
    <w:rsid w:val="5CCE1164"/>
    <w:rsid w:val="5D1851DD"/>
    <w:rsid w:val="5D191420"/>
    <w:rsid w:val="5D2D35B3"/>
    <w:rsid w:val="5D4352DC"/>
    <w:rsid w:val="5D4F2581"/>
    <w:rsid w:val="5D611346"/>
    <w:rsid w:val="5D9F1DED"/>
    <w:rsid w:val="5DD10D6F"/>
    <w:rsid w:val="5E2467F1"/>
    <w:rsid w:val="5E575246"/>
    <w:rsid w:val="5E5D4FB5"/>
    <w:rsid w:val="5E656409"/>
    <w:rsid w:val="5E8A076B"/>
    <w:rsid w:val="5E951265"/>
    <w:rsid w:val="5EDD4A1E"/>
    <w:rsid w:val="5F1A2B43"/>
    <w:rsid w:val="5F491C12"/>
    <w:rsid w:val="5F4F4B0A"/>
    <w:rsid w:val="5F6661AD"/>
    <w:rsid w:val="5F8B538B"/>
    <w:rsid w:val="5FB837BB"/>
    <w:rsid w:val="5FB94E89"/>
    <w:rsid w:val="600744DB"/>
    <w:rsid w:val="60265103"/>
    <w:rsid w:val="60906602"/>
    <w:rsid w:val="60977D4C"/>
    <w:rsid w:val="60A7616F"/>
    <w:rsid w:val="60C40CB7"/>
    <w:rsid w:val="60C81F49"/>
    <w:rsid w:val="60CC405A"/>
    <w:rsid w:val="60E673AF"/>
    <w:rsid w:val="60E80751"/>
    <w:rsid w:val="60EC3887"/>
    <w:rsid w:val="60F23EFB"/>
    <w:rsid w:val="60FD5758"/>
    <w:rsid w:val="61382315"/>
    <w:rsid w:val="61DC6D71"/>
    <w:rsid w:val="61E215D8"/>
    <w:rsid w:val="621B3775"/>
    <w:rsid w:val="62265F1F"/>
    <w:rsid w:val="62341E34"/>
    <w:rsid w:val="62356C42"/>
    <w:rsid w:val="62364782"/>
    <w:rsid w:val="62460D5D"/>
    <w:rsid w:val="6258314A"/>
    <w:rsid w:val="627C1941"/>
    <w:rsid w:val="627C7800"/>
    <w:rsid w:val="627E5269"/>
    <w:rsid w:val="628975C5"/>
    <w:rsid w:val="636A6175"/>
    <w:rsid w:val="63736944"/>
    <w:rsid w:val="63867A9D"/>
    <w:rsid w:val="6394356A"/>
    <w:rsid w:val="63C61B2C"/>
    <w:rsid w:val="63D40BE9"/>
    <w:rsid w:val="64102431"/>
    <w:rsid w:val="643904E7"/>
    <w:rsid w:val="643B15B9"/>
    <w:rsid w:val="645B7788"/>
    <w:rsid w:val="649B674B"/>
    <w:rsid w:val="649C0B18"/>
    <w:rsid w:val="64A5243A"/>
    <w:rsid w:val="64C23AE9"/>
    <w:rsid w:val="64E32A70"/>
    <w:rsid w:val="64F531DE"/>
    <w:rsid w:val="65373578"/>
    <w:rsid w:val="657A7B75"/>
    <w:rsid w:val="658B1C05"/>
    <w:rsid w:val="65CD5D44"/>
    <w:rsid w:val="65EE5FD9"/>
    <w:rsid w:val="660D5046"/>
    <w:rsid w:val="6659469E"/>
    <w:rsid w:val="66771136"/>
    <w:rsid w:val="66C337E7"/>
    <w:rsid w:val="66D25F52"/>
    <w:rsid w:val="66E66951"/>
    <w:rsid w:val="6706708F"/>
    <w:rsid w:val="671F124A"/>
    <w:rsid w:val="672B6AFF"/>
    <w:rsid w:val="673166A4"/>
    <w:rsid w:val="677A33C6"/>
    <w:rsid w:val="67892B7C"/>
    <w:rsid w:val="67A148B0"/>
    <w:rsid w:val="67E31E0A"/>
    <w:rsid w:val="681F6961"/>
    <w:rsid w:val="68374809"/>
    <w:rsid w:val="68610A2F"/>
    <w:rsid w:val="68805514"/>
    <w:rsid w:val="688954CE"/>
    <w:rsid w:val="68A1354D"/>
    <w:rsid w:val="68C75A79"/>
    <w:rsid w:val="68CC30F8"/>
    <w:rsid w:val="69042CA1"/>
    <w:rsid w:val="690901CC"/>
    <w:rsid w:val="690F0496"/>
    <w:rsid w:val="69111DF5"/>
    <w:rsid w:val="69221D4C"/>
    <w:rsid w:val="69316E2F"/>
    <w:rsid w:val="693376BF"/>
    <w:rsid w:val="694E2071"/>
    <w:rsid w:val="69766163"/>
    <w:rsid w:val="697A3B33"/>
    <w:rsid w:val="699C1A51"/>
    <w:rsid w:val="699F4175"/>
    <w:rsid w:val="69A97E3B"/>
    <w:rsid w:val="69B74052"/>
    <w:rsid w:val="69D44760"/>
    <w:rsid w:val="6A255409"/>
    <w:rsid w:val="6A267FC8"/>
    <w:rsid w:val="6A2B2B65"/>
    <w:rsid w:val="6A323A90"/>
    <w:rsid w:val="6A4429D4"/>
    <w:rsid w:val="6A520EC7"/>
    <w:rsid w:val="6A980C99"/>
    <w:rsid w:val="6AF87E20"/>
    <w:rsid w:val="6B322639"/>
    <w:rsid w:val="6BA012FB"/>
    <w:rsid w:val="6BB90F67"/>
    <w:rsid w:val="6BC175D1"/>
    <w:rsid w:val="6BC21E6E"/>
    <w:rsid w:val="6BCD1DFF"/>
    <w:rsid w:val="6BD953F8"/>
    <w:rsid w:val="6BED64C6"/>
    <w:rsid w:val="6BF210FF"/>
    <w:rsid w:val="6C354BE3"/>
    <w:rsid w:val="6C636C38"/>
    <w:rsid w:val="6C7A7704"/>
    <w:rsid w:val="6C823765"/>
    <w:rsid w:val="6C8F5A68"/>
    <w:rsid w:val="6D2C5D14"/>
    <w:rsid w:val="6D351168"/>
    <w:rsid w:val="6DB34098"/>
    <w:rsid w:val="6DB545B6"/>
    <w:rsid w:val="6DE02FB4"/>
    <w:rsid w:val="6E3E55CE"/>
    <w:rsid w:val="6E491D5D"/>
    <w:rsid w:val="6E4F0DF9"/>
    <w:rsid w:val="6E514CED"/>
    <w:rsid w:val="6EB563D5"/>
    <w:rsid w:val="6ED92677"/>
    <w:rsid w:val="6EF2128E"/>
    <w:rsid w:val="6F225983"/>
    <w:rsid w:val="6F513A2D"/>
    <w:rsid w:val="6F761072"/>
    <w:rsid w:val="6F9A2A97"/>
    <w:rsid w:val="6FA31C46"/>
    <w:rsid w:val="6FCF2EC3"/>
    <w:rsid w:val="6FFC5590"/>
    <w:rsid w:val="70095545"/>
    <w:rsid w:val="706D1DD0"/>
    <w:rsid w:val="70856B87"/>
    <w:rsid w:val="70CC19C5"/>
    <w:rsid w:val="70D527EE"/>
    <w:rsid w:val="715B5300"/>
    <w:rsid w:val="71642E02"/>
    <w:rsid w:val="716615CA"/>
    <w:rsid w:val="716C5E59"/>
    <w:rsid w:val="71A90121"/>
    <w:rsid w:val="71A92603"/>
    <w:rsid w:val="71C72A98"/>
    <w:rsid w:val="71D27F8A"/>
    <w:rsid w:val="721F514C"/>
    <w:rsid w:val="72553024"/>
    <w:rsid w:val="725C36D7"/>
    <w:rsid w:val="725F0326"/>
    <w:rsid w:val="726608A1"/>
    <w:rsid w:val="727B779A"/>
    <w:rsid w:val="72AA7672"/>
    <w:rsid w:val="72B629AE"/>
    <w:rsid w:val="72BB5E2B"/>
    <w:rsid w:val="72DB36EB"/>
    <w:rsid w:val="72E4384F"/>
    <w:rsid w:val="73122968"/>
    <w:rsid w:val="7319373A"/>
    <w:rsid w:val="731F5D5E"/>
    <w:rsid w:val="73454CF0"/>
    <w:rsid w:val="73610D05"/>
    <w:rsid w:val="73761542"/>
    <w:rsid w:val="737949FD"/>
    <w:rsid w:val="738241DD"/>
    <w:rsid w:val="73C51AD5"/>
    <w:rsid w:val="73E03A38"/>
    <w:rsid w:val="741E793C"/>
    <w:rsid w:val="745E3944"/>
    <w:rsid w:val="74A0673B"/>
    <w:rsid w:val="74A1161E"/>
    <w:rsid w:val="74D96EAB"/>
    <w:rsid w:val="750B1D5B"/>
    <w:rsid w:val="75593167"/>
    <w:rsid w:val="757235DC"/>
    <w:rsid w:val="75AE16EA"/>
    <w:rsid w:val="75D749B5"/>
    <w:rsid w:val="75E11409"/>
    <w:rsid w:val="75E4007E"/>
    <w:rsid w:val="7635099D"/>
    <w:rsid w:val="764D5D05"/>
    <w:rsid w:val="76C54FA2"/>
    <w:rsid w:val="775C65B3"/>
    <w:rsid w:val="775F2EB4"/>
    <w:rsid w:val="77762421"/>
    <w:rsid w:val="77847A66"/>
    <w:rsid w:val="779827CA"/>
    <w:rsid w:val="77B15DCD"/>
    <w:rsid w:val="77B56B1F"/>
    <w:rsid w:val="77C10F8E"/>
    <w:rsid w:val="77E96907"/>
    <w:rsid w:val="780F09F4"/>
    <w:rsid w:val="783422F1"/>
    <w:rsid w:val="78787A55"/>
    <w:rsid w:val="787D4AFC"/>
    <w:rsid w:val="7892546A"/>
    <w:rsid w:val="78A90480"/>
    <w:rsid w:val="7920055F"/>
    <w:rsid w:val="79314295"/>
    <w:rsid w:val="79461626"/>
    <w:rsid w:val="79933905"/>
    <w:rsid w:val="79954DB6"/>
    <w:rsid w:val="79B759E3"/>
    <w:rsid w:val="79B83386"/>
    <w:rsid w:val="79CA6F82"/>
    <w:rsid w:val="7A1454F7"/>
    <w:rsid w:val="7A206127"/>
    <w:rsid w:val="7A2D4631"/>
    <w:rsid w:val="7A364017"/>
    <w:rsid w:val="7A3C5A1C"/>
    <w:rsid w:val="7A4E0EA9"/>
    <w:rsid w:val="7A5F5C3D"/>
    <w:rsid w:val="7A61422D"/>
    <w:rsid w:val="7A8265E1"/>
    <w:rsid w:val="7A9602C7"/>
    <w:rsid w:val="7AFC79CC"/>
    <w:rsid w:val="7B3A6808"/>
    <w:rsid w:val="7B445598"/>
    <w:rsid w:val="7B532940"/>
    <w:rsid w:val="7B686D42"/>
    <w:rsid w:val="7B841746"/>
    <w:rsid w:val="7BC63FE1"/>
    <w:rsid w:val="7BE443C3"/>
    <w:rsid w:val="7BE56CDB"/>
    <w:rsid w:val="7C5D60D5"/>
    <w:rsid w:val="7C5D64AA"/>
    <w:rsid w:val="7C6B66BE"/>
    <w:rsid w:val="7C6C5AC7"/>
    <w:rsid w:val="7C824F62"/>
    <w:rsid w:val="7C911477"/>
    <w:rsid w:val="7C926ED7"/>
    <w:rsid w:val="7CB176C7"/>
    <w:rsid w:val="7CB54128"/>
    <w:rsid w:val="7CC4280E"/>
    <w:rsid w:val="7CC6544B"/>
    <w:rsid w:val="7CE96622"/>
    <w:rsid w:val="7CF06A24"/>
    <w:rsid w:val="7D0239FF"/>
    <w:rsid w:val="7D276A6F"/>
    <w:rsid w:val="7D575641"/>
    <w:rsid w:val="7D5E40CD"/>
    <w:rsid w:val="7D87202C"/>
    <w:rsid w:val="7D9646CB"/>
    <w:rsid w:val="7DBE7C13"/>
    <w:rsid w:val="7DCD56F2"/>
    <w:rsid w:val="7E0733F5"/>
    <w:rsid w:val="7EA41D49"/>
    <w:rsid w:val="7EDF0CF1"/>
    <w:rsid w:val="7F001CE7"/>
    <w:rsid w:val="7F3B4503"/>
    <w:rsid w:val="7F6646B8"/>
    <w:rsid w:val="7FE47E50"/>
    <w:rsid w:val="7FF60AAF"/>
    <w:rsid w:val="7FFB31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joinstyle="miter"/>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unhideWhenUsed/>
    <w:qFormat/>
    <w:locked/>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autoRedefine/>
    <w:qFormat/>
    <w:locked/>
    <w:uiPriority w:val="0"/>
    <w:pPr>
      <w:keepNext/>
      <w:keepLines/>
      <w:spacing w:before="260" w:after="260" w:line="416" w:lineRule="auto"/>
      <w:outlineLvl w:val="2"/>
    </w:pPr>
    <w:rPr>
      <w:b/>
      <w:bCs/>
      <w:sz w:val="32"/>
      <w:szCs w:val="32"/>
    </w:rPr>
  </w:style>
  <w:style w:type="character" w:default="1" w:styleId="30">
    <w:name w:val="Default Paragraph Font"/>
    <w:autoRedefine/>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2">
    <w:name w:val="toc 2"/>
    <w:basedOn w:val="1"/>
    <w:next w:val="1"/>
    <w:autoRedefine/>
    <w:qFormat/>
    <w:locked/>
    <w:uiPriority w:val="0"/>
    <w:pPr>
      <w:ind w:left="420" w:leftChars="200"/>
    </w:pPr>
  </w:style>
  <w:style w:type="paragraph" w:styleId="6">
    <w:name w:val="Normal Indent"/>
    <w:basedOn w:val="1"/>
    <w:next w:val="1"/>
    <w:autoRedefine/>
    <w:qFormat/>
    <w:locked/>
    <w:uiPriority w:val="0"/>
    <w:pPr>
      <w:ind w:firstLine="420"/>
    </w:pPr>
    <w:rPr>
      <w:szCs w:val="21"/>
      <w:u w:val="none" w:color="000000"/>
    </w:rPr>
  </w:style>
  <w:style w:type="paragraph" w:styleId="7">
    <w:name w:val="annotation text"/>
    <w:basedOn w:val="1"/>
    <w:next w:val="8"/>
    <w:link w:val="37"/>
    <w:semiHidden/>
    <w:qFormat/>
    <w:uiPriority w:val="0"/>
    <w:pPr>
      <w:jc w:val="left"/>
    </w:pPr>
    <w:rPr>
      <w:kern w:val="0"/>
      <w:sz w:val="24"/>
      <w:szCs w:val="20"/>
    </w:rPr>
  </w:style>
  <w:style w:type="paragraph" w:styleId="8">
    <w:name w:val="Body Text Indent 3"/>
    <w:basedOn w:val="1"/>
    <w:next w:val="9"/>
    <w:autoRedefine/>
    <w:qFormat/>
    <w:locked/>
    <w:uiPriority w:val="0"/>
    <w:pPr>
      <w:spacing w:after="120"/>
      <w:ind w:left="420" w:leftChars="200"/>
    </w:pPr>
    <w:rPr>
      <w:sz w:val="16"/>
      <w:szCs w:val="16"/>
    </w:rPr>
  </w:style>
  <w:style w:type="paragraph" w:styleId="9">
    <w:name w:val="Balloon Text"/>
    <w:basedOn w:val="1"/>
    <w:next w:val="10"/>
    <w:link w:val="41"/>
    <w:semiHidden/>
    <w:qFormat/>
    <w:uiPriority w:val="0"/>
    <w:rPr>
      <w:kern w:val="0"/>
      <w:sz w:val="18"/>
      <w:szCs w:val="20"/>
    </w:rPr>
  </w:style>
  <w:style w:type="paragraph" w:styleId="10">
    <w:name w:val="Block Text"/>
    <w:basedOn w:val="1"/>
    <w:next w:val="1"/>
    <w:qFormat/>
    <w:locked/>
    <w:uiPriority w:val="0"/>
    <w:pPr>
      <w:spacing w:line="240" w:lineRule="auto"/>
      <w:ind w:left="113" w:right="113" w:firstLine="3584"/>
      <w:jc w:val="center"/>
    </w:pPr>
  </w:style>
  <w:style w:type="paragraph" w:styleId="11">
    <w:name w:val="Body Text"/>
    <w:basedOn w:val="1"/>
    <w:next w:val="1"/>
    <w:link w:val="38"/>
    <w:qFormat/>
    <w:uiPriority w:val="0"/>
    <w:pPr>
      <w:widowControl/>
      <w:snapToGrid w:val="0"/>
      <w:spacing w:before="60" w:after="160" w:line="259" w:lineRule="auto"/>
      <w:ind w:right="113"/>
    </w:pPr>
    <w:rPr>
      <w:kern w:val="0"/>
      <w:sz w:val="18"/>
      <w:szCs w:val="20"/>
    </w:rPr>
  </w:style>
  <w:style w:type="paragraph" w:styleId="12">
    <w:name w:val="Body Text Indent"/>
    <w:basedOn w:val="1"/>
    <w:link w:val="39"/>
    <w:qFormat/>
    <w:uiPriority w:val="0"/>
    <w:pPr>
      <w:spacing w:after="120"/>
      <w:ind w:left="420" w:leftChars="200"/>
    </w:pPr>
    <w:rPr>
      <w:kern w:val="0"/>
      <w:sz w:val="24"/>
      <w:szCs w:val="20"/>
    </w:rPr>
  </w:style>
  <w:style w:type="paragraph" w:styleId="13">
    <w:name w:val="Plain Text"/>
    <w:basedOn w:val="1"/>
    <w:autoRedefine/>
    <w:qFormat/>
    <w:locked/>
    <w:uiPriority w:val="0"/>
    <w:rPr>
      <w:rFonts w:ascii="宋体" w:hAnsi="Courier New" w:eastAsia="仿宋_GB2312"/>
      <w:sz w:val="28"/>
      <w:szCs w:val="20"/>
    </w:rPr>
  </w:style>
  <w:style w:type="paragraph" w:styleId="14">
    <w:name w:val="List Bullet 5"/>
    <w:basedOn w:val="1"/>
    <w:qFormat/>
    <w:locked/>
    <w:uiPriority w:val="0"/>
    <w:pPr>
      <w:numPr>
        <w:ilvl w:val="0"/>
        <w:numId w:val="1"/>
      </w:numPr>
    </w:pPr>
  </w:style>
  <w:style w:type="paragraph" w:styleId="15">
    <w:name w:val="Date"/>
    <w:basedOn w:val="1"/>
    <w:next w:val="1"/>
    <w:link w:val="40"/>
    <w:qFormat/>
    <w:uiPriority w:val="0"/>
    <w:pPr>
      <w:ind w:left="100" w:leftChars="2500"/>
    </w:pPr>
    <w:rPr>
      <w:kern w:val="0"/>
      <w:sz w:val="24"/>
      <w:szCs w:val="20"/>
    </w:rPr>
  </w:style>
  <w:style w:type="paragraph" w:styleId="16">
    <w:name w:val="Body Text Indent 2"/>
    <w:basedOn w:val="1"/>
    <w:autoRedefine/>
    <w:qFormat/>
    <w:locked/>
    <w:uiPriority w:val="0"/>
    <w:pPr>
      <w:spacing w:after="120" w:afterLines="0" w:line="480" w:lineRule="auto"/>
      <w:ind w:left="420" w:leftChars="200"/>
    </w:pPr>
    <w:rPr>
      <w:kern w:val="0"/>
      <w:sz w:val="28"/>
      <w:szCs w:val="20"/>
    </w:rPr>
  </w:style>
  <w:style w:type="paragraph" w:styleId="17">
    <w:name w:val="footer"/>
    <w:basedOn w:val="1"/>
    <w:link w:val="42"/>
    <w:autoRedefine/>
    <w:qFormat/>
    <w:uiPriority w:val="99"/>
    <w:pPr>
      <w:tabs>
        <w:tab w:val="center" w:pos="4153"/>
        <w:tab w:val="right" w:pos="8306"/>
      </w:tabs>
      <w:snapToGrid w:val="0"/>
      <w:jc w:val="left"/>
    </w:pPr>
    <w:rPr>
      <w:kern w:val="0"/>
      <w:sz w:val="18"/>
      <w:szCs w:val="20"/>
    </w:rPr>
  </w:style>
  <w:style w:type="paragraph" w:styleId="18">
    <w:name w:val="header"/>
    <w:basedOn w:val="1"/>
    <w:next w:val="19"/>
    <w:link w:val="43"/>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9">
    <w:name w:val="样式5"/>
    <w:basedOn w:val="1"/>
    <w:qFormat/>
    <w:uiPriority w:val="0"/>
    <w:pPr>
      <w:spacing w:before="0" w:after="0" w:line="380" w:lineRule="exact"/>
      <w:ind w:firstLine="566" w:firstLineChars="202"/>
    </w:pPr>
    <w:rPr>
      <w:rFonts w:eastAsia="华文行楷"/>
    </w:rPr>
  </w:style>
  <w:style w:type="paragraph" w:styleId="20">
    <w:name w:val="toc 1"/>
    <w:basedOn w:val="1"/>
    <w:next w:val="1"/>
    <w:autoRedefine/>
    <w:qFormat/>
    <w:locked/>
    <w:uiPriority w:val="39"/>
  </w:style>
  <w:style w:type="paragraph" w:styleId="21">
    <w:name w:val="List"/>
    <w:basedOn w:val="1"/>
    <w:autoRedefine/>
    <w:qFormat/>
    <w:locked/>
    <w:uiPriority w:val="0"/>
    <w:pPr>
      <w:jc w:val="center"/>
    </w:pPr>
    <w:rPr>
      <w:kern w:val="0"/>
      <w:szCs w:val="20"/>
    </w:rPr>
  </w:style>
  <w:style w:type="paragraph" w:styleId="22">
    <w:name w:val="Message Header"/>
    <w:basedOn w:val="1"/>
    <w:qFormat/>
    <w:locked/>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Cs w:val="24"/>
      <w:shd w:val="pct20" w:color="auto" w:fill="auto"/>
    </w:rPr>
  </w:style>
  <w:style w:type="paragraph" w:styleId="23">
    <w:name w:val="Normal (Web)"/>
    <w:basedOn w:val="1"/>
    <w:link w:val="44"/>
    <w:autoRedefine/>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7"/>
    <w:next w:val="7"/>
    <w:link w:val="45"/>
    <w:autoRedefine/>
    <w:semiHidden/>
    <w:qFormat/>
    <w:uiPriority w:val="0"/>
    <w:rPr>
      <w:b/>
      <w:sz w:val="24"/>
      <w:szCs w:val="20"/>
    </w:rPr>
  </w:style>
  <w:style w:type="paragraph" w:styleId="25">
    <w:name w:val="Body Text First Indent"/>
    <w:basedOn w:val="1"/>
    <w:next w:val="26"/>
    <w:autoRedefine/>
    <w:qFormat/>
    <w:locked/>
    <w:uiPriority w:val="0"/>
    <w:pPr>
      <w:ind w:firstLine="420" w:firstLineChars="100"/>
    </w:pPr>
  </w:style>
  <w:style w:type="paragraph" w:customStyle="1" w:styleId="26">
    <w:name w:val="样式 正文首行缩进 + 首行缩进:  2 字符1"/>
    <w:basedOn w:val="1"/>
    <w:next w:val="20"/>
    <w:qFormat/>
    <w:uiPriority w:val="0"/>
    <w:pPr>
      <w:spacing w:line="360" w:lineRule="auto"/>
      <w:ind w:firstLine="480" w:firstLineChars="200"/>
    </w:pPr>
    <w:rPr>
      <w:sz w:val="24"/>
    </w:rPr>
  </w:style>
  <w:style w:type="paragraph" w:styleId="27">
    <w:name w:val="Body Text First Indent 2"/>
    <w:basedOn w:val="12"/>
    <w:autoRedefine/>
    <w:qFormat/>
    <w:locked/>
    <w:uiPriority w:val="0"/>
    <w:pPr>
      <w:ind w:firstLine="420" w:firstLineChars="200"/>
    </w:pPr>
  </w:style>
  <w:style w:type="table" w:styleId="29">
    <w:name w:val="Table Grid"/>
    <w:basedOn w:val="28"/>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autoRedefine/>
    <w:qFormat/>
    <w:locked/>
    <w:uiPriority w:val="0"/>
  </w:style>
  <w:style w:type="character" w:styleId="32">
    <w:name w:val="Hyperlink"/>
    <w:autoRedefine/>
    <w:qFormat/>
    <w:locked/>
    <w:uiPriority w:val="99"/>
    <w:rPr>
      <w:color w:val="3366CC"/>
      <w:u w:val="single"/>
    </w:rPr>
  </w:style>
  <w:style w:type="character" w:styleId="33">
    <w:name w:val="annotation reference"/>
    <w:autoRedefine/>
    <w:semiHidden/>
    <w:qFormat/>
    <w:uiPriority w:val="0"/>
    <w:rPr>
      <w:sz w:val="21"/>
    </w:rPr>
  </w:style>
  <w:style w:type="paragraph" w:customStyle="1" w:styleId="34">
    <w:name w:val="Default"/>
    <w:basedOn w:val="35"/>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5">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6">
    <w:name w:val="11111"/>
    <w:basedOn w:val="1"/>
    <w:next w:val="1"/>
    <w:autoRedefine/>
    <w:qFormat/>
    <w:uiPriority w:val="99"/>
    <w:pPr>
      <w:spacing w:line="360" w:lineRule="auto"/>
      <w:ind w:firstLine="200" w:firstLineChars="200"/>
    </w:pPr>
    <w:rPr>
      <w:rFonts w:ascii="宋体" w:hAnsi="宋体" w:cs="宋体"/>
      <w:sz w:val="24"/>
      <w:szCs w:val="24"/>
    </w:rPr>
  </w:style>
  <w:style w:type="character" w:customStyle="1" w:styleId="37">
    <w:name w:val="批注文字 Char"/>
    <w:link w:val="7"/>
    <w:autoRedefine/>
    <w:qFormat/>
    <w:locked/>
    <w:uiPriority w:val="0"/>
    <w:rPr>
      <w:rFonts w:ascii="Times New Roman" w:hAnsi="Times New Roman" w:eastAsia="宋体"/>
      <w:sz w:val="24"/>
    </w:rPr>
  </w:style>
  <w:style w:type="character" w:customStyle="1" w:styleId="38">
    <w:name w:val="正文文本 Char"/>
    <w:link w:val="11"/>
    <w:autoRedefine/>
    <w:qFormat/>
    <w:locked/>
    <w:uiPriority w:val="0"/>
    <w:rPr>
      <w:sz w:val="18"/>
    </w:rPr>
  </w:style>
  <w:style w:type="character" w:customStyle="1" w:styleId="39">
    <w:name w:val="正文文本缩进 Char"/>
    <w:link w:val="12"/>
    <w:autoRedefine/>
    <w:semiHidden/>
    <w:qFormat/>
    <w:locked/>
    <w:uiPriority w:val="0"/>
    <w:rPr>
      <w:rFonts w:ascii="Times New Roman" w:hAnsi="Times New Roman" w:eastAsia="宋体"/>
      <w:sz w:val="24"/>
    </w:rPr>
  </w:style>
  <w:style w:type="character" w:customStyle="1" w:styleId="40">
    <w:name w:val="日期 Char"/>
    <w:link w:val="15"/>
    <w:autoRedefine/>
    <w:qFormat/>
    <w:locked/>
    <w:uiPriority w:val="0"/>
    <w:rPr>
      <w:rFonts w:ascii="Times New Roman" w:hAnsi="Times New Roman" w:eastAsia="宋体"/>
      <w:sz w:val="24"/>
    </w:rPr>
  </w:style>
  <w:style w:type="character" w:customStyle="1" w:styleId="41">
    <w:name w:val="批注框文本 Char"/>
    <w:link w:val="9"/>
    <w:autoRedefine/>
    <w:semiHidden/>
    <w:qFormat/>
    <w:locked/>
    <w:uiPriority w:val="0"/>
    <w:rPr>
      <w:rFonts w:ascii="Times New Roman" w:hAnsi="Times New Roman" w:eastAsia="宋体"/>
      <w:sz w:val="18"/>
    </w:rPr>
  </w:style>
  <w:style w:type="character" w:customStyle="1" w:styleId="42">
    <w:name w:val="页脚 Char"/>
    <w:link w:val="17"/>
    <w:autoRedefine/>
    <w:qFormat/>
    <w:locked/>
    <w:uiPriority w:val="99"/>
    <w:rPr>
      <w:sz w:val="18"/>
    </w:rPr>
  </w:style>
  <w:style w:type="character" w:customStyle="1" w:styleId="43">
    <w:name w:val="页眉 Char"/>
    <w:link w:val="18"/>
    <w:autoRedefine/>
    <w:qFormat/>
    <w:locked/>
    <w:uiPriority w:val="0"/>
    <w:rPr>
      <w:sz w:val="18"/>
    </w:rPr>
  </w:style>
  <w:style w:type="character" w:customStyle="1" w:styleId="44">
    <w:name w:val="普通(网站) Char"/>
    <w:link w:val="23"/>
    <w:autoRedefine/>
    <w:qFormat/>
    <w:locked/>
    <w:uiPriority w:val="0"/>
    <w:rPr>
      <w:rFonts w:ascii="宋体" w:hAnsi="宋体" w:eastAsia="宋体"/>
      <w:sz w:val="24"/>
    </w:rPr>
  </w:style>
  <w:style w:type="character" w:customStyle="1" w:styleId="45">
    <w:name w:val="批注主题 Char"/>
    <w:link w:val="24"/>
    <w:autoRedefine/>
    <w:semiHidden/>
    <w:qFormat/>
    <w:locked/>
    <w:uiPriority w:val="0"/>
    <w:rPr>
      <w:rFonts w:ascii="Times New Roman" w:hAnsi="Times New Roman" w:eastAsia="宋体"/>
      <w:b/>
      <w:kern w:val="2"/>
      <w:sz w:val="24"/>
    </w:rPr>
  </w:style>
  <w:style w:type="paragraph" w:customStyle="1" w:styleId="46">
    <w:name w:val="Normal (Web)1"/>
    <w:basedOn w:val="1"/>
    <w:next w:val="47"/>
    <w:autoRedefine/>
    <w:qFormat/>
    <w:uiPriority w:val="0"/>
    <w:pPr>
      <w:widowControl/>
      <w:jc w:val="left"/>
    </w:pPr>
    <w:rPr>
      <w:rFonts w:ascii="宋体" w:cs="Times New Roman"/>
      <w:kern w:val="0"/>
      <w:sz w:val="24"/>
      <w:szCs w:val="21"/>
    </w:rPr>
  </w:style>
  <w:style w:type="paragraph" w:customStyle="1" w:styleId="47">
    <w:name w:val="Date1"/>
    <w:basedOn w:val="1"/>
    <w:next w:val="1"/>
    <w:qFormat/>
    <w:uiPriority w:val="0"/>
    <w:pPr>
      <w:ind w:left="2500" w:leftChars="2500"/>
    </w:pPr>
  </w:style>
  <w:style w:type="paragraph" w:customStyle="1" w:styleId="48">
    <w:name w:val="【正文】"/>
    <w:basedOn w:val="1"/>
    <w:next w:val="22"/>
    <w:qFormat/>
    <w:uiPriority w:val="0"/>
    <w:pPr>
      <w:spacing w:line="440" w:lineRule="exact"/>
      <w:ind w:firstLine="544" w:firstLineChars="200"/>
    </w:pPr>
    <w:rPr>
      <w:rFonts w:ascii="Times New Roman" w:hAnsi="Times New Roman" w:eastAsia="Times New Roman" w:cs="Times New Roman"/>
      <w:sz w:val="24"/>
      <w:szCs w:val="20"/>
    </w:rPr>
  </w:style>
  <w:style w:type="character" w:customStyle="1" w:styleId="49">
    <w:name w:val="zhengwencolor1"/>
    <w:qFormat/>
    <w:uiPriority w:val="0"/>
    <w:rPr>
      <w:color w:val="000000"/>
      <w:sz w:val="18"/>
      <w:szCs w:val="18"/>
    </w:rPr>
  </w:style>
  <w:style w:type="character" w:customStyle="1" w:styleId="50">
    <w:name w:val="日期 字符"/>
    <w:semiHidden/>
    <w:qFormat/>
    <w:uiPriority w:val="0"/>
    <w:rPr>
      <w:rFonts w:ascii="Times New Roman" w:hAnsi="Times New Roman" w:eastAsia="宋体"/>
      <w:sz w:val="24"/>
    </w:rPr>
  </w:style>
  <w:style w:type="character" w:customStyle="1" w:styleId="51">
    <w:name w:val="表中文字 Char"/>
    <w:basedOn w:val="30"/>
    <w:link w:val="52"/>
    <w:qFormat/>
    <w:uiPriority w:val="0"/>
    <w:rPr>
      <w:rFonts w:ascii="Times New Roman" w:hAnsi="Times New Roman" w:cs="Times New Roman"/>
      <w:kern w:val="2"/>
      <w:sz w:val="21"/>
    </w:rPr>
  </w:style>
  <w:style w:type="paragraph" w:customStyle="1" w:styleId="52">
    <w:name w:val="表中文字"/>
    <w:basedOn w:val="1"/>
    <w:link w:val="51"/>
    <w:qFormat/>
    <w:uiPriority w:val="0"/>
    <w:pPr>
      <w:widowControl w:val="0"/>
      <w:spacing w:line="240" w:lineRule="auto"/>
      <w:ind w:firstLine="0" w:firstLineChars="0"/>
      <w:jc w:val="center"/>
    </w:pPr>
    <w:rPr>
      <w:rFonts w:ascii="Times New Roman" w:hAnsi="Times New Roman" w:cs="Times New Roman"/>
      <w:kern w:val="2"/>
      <w:sz w:val="21"/>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正文文本 (2) Exact"/>
    <w:unhideWhenUsed/>
    <w:qFormat/>
    <w:uiPriority w:val="99"/>
    <w:rPr>
      <w:rFonts w:hint="default" w:ascii="宋体" w:hAnsi="宋体" w:eastAsia="宋体"/>
      <w:sz w:val="22"/>
      <w:lang w:val="en-US" w:eastAsia="en-US"/>
    </w:rPr>
  </w:style>
  <w:style w:type="character" w:customStyle="1" w:styleId="55">
    <w:name w:val="页脚 字符"/>
    <w:basedOn w:val="30"/>
    <w:qFormat/>
    <w:uiPriority w:val="99"/>
  </w:style>
  <w:style w:type="character" w:customStyle="1" w:styleId="56">
    <w:name w:val="表格 Char"/>
    <w:link w:val="57"/>
    <w:qFormat/>
    <w:locked/>
    <w:uiPriority w:val="0"/>
    <w:rPr>
      <w:rFonts w:ascii="宋体"/>
      <w:sz w:val="21"/>
    </w:rPr>
  </w:style>
  <w:style w:type="paragraph" w:customStyle="1" w:styleId="5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批注文字 字符1"/>
    <w:semiHidden/>
    <w:qFormat/>
    <w:uiPriority w:val="0"/>
    <w:rPr>
      <w:rFonts w:ascii="Times New Roman" w:hAnsi="Times New Roman" w:eastAsia="宋体"/>
      <w:sz w:val="24"/>
    </w:rPr>
  </w:style>
  <w:style w:type="paragraph" w:customStyle="1" w:styleId="59">
    <w:name w:val="xl27"/>
    <w:basedOn w:val="1"/>
    <w:next w:val="16"/>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正文格式"/>
    <w:basedOn w:val="1"/>
    <w:qFormat/>
    <w:uiPriority w:val="0"/>
    <w:pPr>
      <w:spacing w:line="360" w:lineRule="auto"/>
      <w:ind w:firstLine="482"/>
    </w:pPr>
    <w:rPr>
      <w:sz w:val="24"/>
      <w:szCs w:val="24"/>
    </w:rPr>
  </w:style>
  <w:style w:type="paragraph" w:customStyle="1" w:styleId="62">
    <w:name w:val="样式 Times New Roman 五号 居中1"/>
    <w:basedOn w:val="1"/>
    <w:next w:val="63"/>
    <w:qFormat/>
    <w:uiPriority w:val="99"/>
    <w:pPr>
      <w:jc w:val="center"/>
    </w:pPr>
    <w:rPr>
      <w:rFonts w:ascii="Times New Roman" w:hAnsi="Times New Roman" w:cs="宋体"/>
      <w:szCs w:val="21"/>
    </w:rPr>
  </w:style>
  <w:style w:type="paragraph" w:customStyle="1" w:styleId="63">
    <w:name w:val="表头"/>
    <w:basedOn w:val="64"/>
    <w:next w:val="13"/>
    <w:qFormat/>
    <w:uiPriority w:val="0"/>
    <w:pPr>
      <w:numPr>
        <w:ilvl w:val="0"/>
        <w:numId w:val="2"/>
      </w:numPr>
    </w:pPr>
    <w:rPr>
      <w:rFonts w:eastAsia="黑体"/>
    </w:rPr>
  </w:style>
  <w:style w:type="paragraph" w:customStyle="1" w:styleId="64">
    <w:name w:val="样式4"/>
    <w:basedOn w:val="1"/>
    <w:qFormat/>
    <w:uiPriority w:val="0"/>
    <w:pPr>
      <w:adjustRightInd w:val="0"/>
      <w:snapToGrid w:val="0"/>
      <w:jc w:val="center"/>
    </w:pPr>
    <w:rPr>
      <w:sz w:val="24"/>
      <w:szCs w:val="20"/>
    </w:rPr>
  </w:style>
  <w:style w:type="paragraph" w:customStyle="1" w:styleId="65">
    <w:name w:val="正文的"/>
    <w:basedOn w:val="1"/>
    <w:qFormat/>
    <w:uiPriority w:val="0"/>
    <w:pPr>
      <w:spacing w:line="360" w:lineRule="auto"/>
      <w:ind w:firstLine="480" w:firstLineChars="200"/>
    </w:pPr>
    <w:rPr>
      <w:rFonts w:ascii="宋体" w:hAnsi="Times New Roman" w:cs="Calibri"/>
      <w:kern w:val="0"/>
      <w:sz w:val="24"/>
      <w:szCs w:val="20"/>
    </w:rPr>
  </w:style>
  <w:style w:type="paragraph" w:customStyle="1" w:styleId="66">
    <w:name w:val="Char"/>
    <w:basedOn w:val="1"/>
    <w:qFormat/>
    <w:uiPriority w:val="0"/>
    <w:pPr>
      <w:snapToGrid w:val="0"/>
      <w:spacing w:line="440" w:lineRule="atLeast"/>
      <w:ind w:firstLine="200" w:firstLineChars="200"/>
    </w:pPr>
  </w:style>
  <w:style w:type="paragraph" w:customStyle="1" w:styleId="67">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68">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69">
    <w:name w:val="报告书正文"/>
    <w:basedOn w:val="1"/>
    <w:qFormat/>
    <w:uiPriority w:val="0"/>
    <w:pPr>
      <w:adjustRightInd w:val="0"/>
      <w:snapToGrid w:val="0"/>
      <w:spacing w:line="360" w:lineRule="auto"/>
      <w:ind w:firstLine="425"/>
    </w:pPr>
    <w:rPr>
      <w:rFonts w:ascii="Arial" w:hAnsi="Arial" w:eastAsia="宋体" w:cs="Arial"/>
      <w:sz w:val="24"/>
    </w:rPr>
  </w:style>
  <w:style w:type="paragraph" w:customStyle="1" w:styleId="70">
    <w:name w:val="1黑体头"/>
    <w:basedOn w:val="1"/>
    <w:qFormat/>
    <w:uiPriority w:val="0"/>
    <w:pPr>
      <w:spacing w:line="360" w:lineRule="auto"/>
      <w:ind w:firstLine="479" w:firstLineChars="199"/>
      <w:jc w:val="left"/>
      <w:textAlignment w:val="center"/>
    </w:pPr>
    <w:rPr>
      <w:b/>
      <w:sz w:val="24"/>
    </w:rPr>
  </w:style>
  <w:style w:type="paragraph" w:customStyle="1" w:styleId="7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72">
    <w:name w:val="②JM正文 顶格"/>
    <w:basedOn w:val="67"/>
    <w:next w:val="73"/>
    <w:qFormat/>
    <w:uiPriority w:val="0"/>
    <w:pPr>
      <w:jc w:val="left"/>
    </w:pPr>
  </w:style>
  <w:style w:type="paragraph" w:customStyle="1" w:styleId="73">
    <w:name w:val="②JM正文"/>
    <w:basedOn w:val="72"/>
    <w:qFormat/>
    <w:uiPriority w:val="0"/>
    <w:pPr>
      <w:ind w:firstLine="720" w:firstLineChars="200"/>
    </w:pPr>
  </w:style>
  <w:style w:type="paragraph" w:customStyle="1" w:styleId="74">
    <w:name w:val="【表中文字】"/>
    <w:basedOn w:val="1"/>
    <w:qFormat/>
    <w:uiPriority w:val="0"/>
    <w:pPr>
      <w:adjustRightInd w:val="0"/>
      <w:snapToGrid w:val="0"/>
      <w:jc w:val="center"/>
    </w:pPr>
    <w:rPr>
      <w:rFonts w:ascii="Times New Roman" w:hAnsi="Times New Roman"/>
      <w:szCs w:val="20"/>
    </w:rPr>
  </w:style>
  <w:style w:type="paragraph" w:customStyle="1" w:styleId="75">
    <w:name w:val="②JM表格小标题 仿宋"/>
    <w:basedOn w:val="67"/>
    <w:next w:val="73"/>
    <w:qFormat/>
    <w:uiPriority w:val="0"/>
    <w:rPr>
      <w:rFonts w:eastAsia="仿宋"/>
      <w:b/>
    </w:rPr>
  </w:style>
  <w:style w:type="paragraph" w:customStyle="1" w:styleId="76">
    <w:name w:val="内容"/>
    <w:basedOn w:val="1"/>
    <w:qFormat/>
    <w:uiPriority w:val="0"/>
    <w:pPr>
      <w:spacing w:before="50" w:beforeLines="50" w:after="50" w:afterLines="50"/>
      <w:ind w:firstLine="200" w:firstLineChars="200"/>
    </w:pPr>
    <w:rPr>
      <w:color w:val="000000"/>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9">
    <w:name w:val="②JM表格 居中 仿宋"/>
    <w:basedOn w:val="75"/>
    <w:next w:val="73"/>
    <w:qFormat/>
    <w:uiPriority w:val="0"/>
    <w:rPr>
      <w:b w:val="0"/>
    </w:rPr>
  </w:style>
  <w:style w:type="paragraph" w:customStyle="1" w:styleId="80">
    <w:name w:val="【表头】"/>
    <w:basedOn w:val="1"/>
    <w:next w:val="1"/>
    <w:qFormat/>
    <w:uiPriority w:val="0"/>
    <w:pPr>
      <w:adjustRightInd w:val="0"/>
      <w:snapToGrid w:val="0"/>
      <w:jc w:val="center"/>
    </w:pPr>
    <w:rPr>
      <w:rFonts w:ascii="Times New Roman" w:hAnsi="Times New Roman" w:eastAsia="黑体" w:cs="Times New Roman"/>
      <w:sz w:val="24"/>
    </w:rPr>
  </w:style>
  <w:style w:type="paragraph" w:customStyle="1" w:styleId="81">
    <w:name w:val="段落正文"/>
    <w:basedOn w:val="1"/>
    <w:qFormat/>
    <w:uiPriority w:val="0"/>
    <w:pPr>
      <w:spacing w:line="500" w:lineRule="atLeast"/>
      <w:ind w:firstLine="200" w:firstLineChars="200"/>
    </w:pPr>
    <w:rPr>
      <w:rFonts w:eastAsia="仿宋_GB2312"/>
      <w:sz w:val="28"/>
      <w:szCs w:val="28"/>
    </w:rPr>
  </w:style>
  <w:style w:type="paragraph" w:customStyle="1" w:styleId="82">
    <w:name w:val="设计表格"/>
    <w:basedOn w:val="1"/>
    <w:qFormat/>
    <w:uiPriority w:val="0"/>
    <w:pPr>
      <w:adjustRightInd w:val="0"/>
      <w:jc w:val="center"/>
    </w:pPr>
    <w:rPr>
      <w:rFonts w:ascii="Times New Roman" w:hAnsi="Times New Roman" w:eastAsia="宋体" w:cs="Times New Roman"/>
      <w:kern w:val="0"/>
      <w:sz w:val="24"/>
    </w:rPr>
  </w:style>
  <w:style w:type="paragraph" w:customStyle="1" w:styleId="83">
    <w:name w:val="表头1"/>
    <w:basedOn w:val="1"/>
    <w:next w:val="1"/>
    <w:qFormat/>
    <w:uiPriority w:val="0"/>
    <w:pPr>
      <w:tabs>
        <w:tab w:val="left" w:pos="605"/>
      </w:tabs>
      <w:adjustRightInd w:val="0"/>
      <w:snapToGrid w:val="0"/>
      <w:jc w:val="center"/>
    </w:pPr>
    <w:rPr>
      <w:rFonts w:eastAsia="仿宋_GB2312"/>
      <w:b/>
      <w:kern w:val="0"/>
      <w:sz w:val="24"/>
      <w:szCs w:val="28"/>
    </w:rPr>
  </w:style>
  <w:style w:type="paragraph" w:customStyle="1" w:styleId="84">
    <w:name w:val="表内容"/>
    <w:basedOn w:val="1"/>
    <w:next w:val="1"/>
    <w:qFormat/>
    <w:uiPriority w:val="0"/>
    <w:pPr>
      <w:spacing w:line="240" w:lineRule="auto"/>
      <w:ind w:firstLine="0" w:firstLineChars="0"/>
      <w:jc w:val="center"/>
    </w:pPr>
    <w:rPr>
      <w:sz w:val="21"/>
      <w:szCs w:val="20"/>
    </w:rPr>
  </w:style>
  <w:style w:type="paragraph" w:customStyle="1" w:styleId="85">
    <w:name w:val="Table Paragraph"/>
    <w:basedOn w:val="1"/>
    <w:qFormat/>
    <w:uiPriority w:val="0"/>
    <w:pPr>
      <w:keepNext w:val="0"/>
      <w:keepLines w:val="0"/>
      <w:widowControl w:val="0"/>
      <w:suppressLineNumbers w:val="0"/>
      <w:autoSpaceDE w:val="0"/>
      <w:autoSpaceDN w:val="0"/>
      <w:spacing w:before="0" w:beforeAutospacing="0" w:after="0" w:afterAutospacing="0" w:line="240" w:lineRule="auto"/>
      <w:ind w:left="0" w:right="0"/>
      <w:jc w:val="center"/>
    </w:pPr>
    <w:rPr>
      <w:rFonts w:hint="eastAsia" w:ascii="仿宋" w:hAnsi="仿宋" w:eastAsia="仿宋" w:cs="仿宋"/>
      <w:kern w:val="0"/>
      <w:sz w:val="22"/>
      <w:szCs w:val="22"/>
      <w:lang w:val="en-US" w:eastAsia="zh-CN" w:bidi="ar"/>
    </w:rPr>
  </w:style>
  <w:style w:type="paragraph" w:customStyle="1" w:styleId="86">
    <w:name w:val="表图头"/>
    <w:basedOn w:val="65"/>
    <w:qFormat/>
    <w:uiPriority w:val="0"/>
    <w:pPr>
      <w:ind w:firstLine="0" w:firstLineChars="0"/>
      <w:jc w:val="center"/>
    </w:pPr>
    <w:rPr>
      <w:b/>
      <w:sz w:val="22"/>
    </w:rPr>
  </w:style>
  <w:style w:type="paragraph" w:customStyle="1" w:styleId="87">
    <w:name w:val="正文00"/>
    <w:basedOn w:val="1"/>
    <w:next w:val="62"/>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88">
    <w:name w:val="环评表中文字"/>
    <w:basedOn w:val="1"/>
    <w:qFormat/>
    <w:uiPriority w:val="0"/>
    <w:pPr>
      <w:widowControl/>
      <w:spacing w:line="240" w:lineRule="auto"/>
      <w:ind w:firstLine="0" w:firstLineChars="0"/>
      <w:jc w:val="center"/>
    </w:pPr>
    <w:rPr>
      <w:rFonts w:ascii="宋体" w:hAnsi="宋体" w:cs="宋体"/>
      <w:kern w:val="0"/>
      <w:szCs w:val="22"/>
    </w:rPr>
  </w:style>
  <w:style w:type="paragraph" w:customStyle="1" w:styleId="89">
    <w:name w:val="_Style 2"/>
    <w:basedOn w:val="1"/>
    <w:qFormat/>
    <w:uiPriority w:val="34"/>
    <w:pPr>
      <w:ind w:firstLine="420" w:firstLineChars="200"/>
    </w:pPr>
    <w:rPr>
      <w:rFonts w:ascii="Calibri" w:hAnsi="Calibri"/>
      <w:szCs w:val="22"/>
    </w:rPr>
  </w:style>
  <w:style w:type="paragraph" w:customStyle="1" w:styleId="90">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91">
    <w:name w:val="《正文》"/>
    <w:basedOn w:val="1"/>
    <w:qFormat/>
    <w:uiPriority w:val="0"/>
    <w:pPr>
      <w:spacing w:line="360" w:lineRule="auto"/>
      <w:ind w:firstLine="200" w:firstLineChars="200"/>
    </w:pPr>
    <w:rPr>
      <w:sz w:val="24"/>
    </w:rPr>
  </w:style>
  <w:style w:type="paragraph" w:customStyle="1" w:styleId="92">
    <w:name w:val="列出段落1"/>
    <w:basedOn w:val="1"/>
    <w:qFormat/>
    <w:uiPriority w:val="0"/>
    <w:pPr>
      <w:ind w:firstLine="420" w:firstLineChars="200"/>
    </w:pPr>
  </w:style>
  <w:style w:type="paragraph" w:customStyle="1" w:styleId="93">
    <w:name w:val="baby-正文"/>
    <w:basedOn w:val="11"/>
    <w:next w:val="9"/>
    <w:qFormat/>
    <w:uiPriority w:val="0"/>
    <w:pPr>
      <w:spacing w:after="120"/>
    </w:pPr>
    <w:rPr>
      <w:rFonts w:ascii="仿宋_GB2312"/>
      <w:bCs/>
      <w:sz w:val="30"/>
    </w:rPr>
  </w:style>
  <w:style w:type="paragraph" w:customStyle="1" w:styleId="94">
    <w:name w:val="表格中文字"/>
    <w:basedOn w:val="95"/>
    <w:qFormat/>
    <w:uiPriority w:val="0"/>
    <w:pPr>
      <w:spacing w:line="360" w:lineRule="exact"/>
    </w:pPr>
    <w:rPr>
      <w:szCs w:val="21"/>
    </w:rPr>
  </w:style>
  <w:style w:type="paragraph" w:customStyle="1" w:styleId="95">
    <w:name w:val="填表正文"/>
    <w:basedOn w:val="1"/>
    <w:qFormat/>
    <w:uiPriority w:val="0"/>
    <w:pPr>
      <w:adjustRightInd w:val="0"/>
      <w:snapToGrid w:val="0"/>
      <w:jc w:val="center"/>
    </w:pPr>
    <w:rPr>
      <w:rFonts w:ascii="宋体" w:hAnsi="Calibri"/>
      <w:color w:val="000000"/>
      <w:kern w:val="0"/>
      <w:szCs w:val="44"/>
    </w:rPr>
  </w:style>
  <w:style w:type="paragraph" w:customStyle="1" w:styleId="96">
    <w:name w:val="样式 黑体 居中 行距: 1.5 倍行距"/>
    <w:basedOn w:val="1"/>
    <w:qFormat/>
    <w:uiPriority w:val="0"/>
    <w:pPr>
      <w:ind w:firstLine="0" w:firstLineChars="0"/>
      <w:jc w:val="center"/>
    </w:pPr>
    <w:rPr>
      <w:rFonts w:ascii="黑体" w:hAnsi="黑体" w:eastAsia="黑体" w:cs="宋体"/>
      <w:kern w:val="0"/>
      <w:szCs w:val="20"/>
    </w:rPr>
  </w:style>
  <w:style w:type="paragraph" w:customStyle="1" w:styleId="97">
    <w:name w:val="表中文字（工大）"/>
    <w:basedOn w:val="1"/>
    <w:qFormat/>
    <w:uiPriority w:val="0"/>
    <w:pPr>
      <w:spacing w:line="400" w:lineRule="exact"/>
      <w:jc w:val="center"/>
    </w:pPr>
    <w:rPr>
      <w:szCs w:val="20"/>
    </w:rPr>
  </w:style>
  <w:style w:type="paragraph" w:customStyle="1" w:styleId="98">
    <w:name w:val="C【表头】"/>
    <w:basedOn w:val="1"/>
    <w:qFormat/>
    <w:uiPriority w:val="0"/>
    <w:pPr>
      <w:widowControl/>
      <w:adjustRightInd w:val="0"/>
      <w:snapToGrid w:val="0"/>
      <w:jc w:val="center"/>
    </w:pPr>
    <w:rPr>
      <w:rFonts w:eastAsia="黑体" w:cs="宋体"/>
      <w:kern w:val="0"/>
      <w:szCs w:val="20"/>
    </w:rPr>
  </w:style>
  <w:style w:type="paragraph" w:customStyle="1" w:styleId="99">
    <w:name w:val="正文缩进1"/>
    <w:basedOn w:val="1"/>
    <w:qFormat/>
    <w:uiPriority w:val="0"/>
    <w:pPr>
      <w:ind w:firstLine="420"/>
    </w:pPr>
    <w:rPr>
      <w:szCs w:val="20"/>
    </w:rPr>
  </w:style>
  <w:style w:type="paragraph" w:customStyle="1" w:styleId="100">
    <w:name w:val="表中字"/>
    <w:qFormat/>
    <w:uiPriority w:val="0"/>
    <w:pPr>
      <w:jc w:val="center"/>
    </w:pPr>
    <w:rPr>
      <w:rFonts w:ascii="Times New Roman" w:hAnsi="Times New Roman" w:eastAsia="宋体" w:cs="Times New Roman"/>
      <w:kern w:val="2"/>
      <w:sz w:val="21"/>
      <w:szCs w:val="22"/>
      <w:lang w:val="zh-CN" w:eastAsia="zh-CN" w:bidi="ar-SA"/>
    </w:rPr>
  </w:style>
  <w:style w:type="paragraph" w:customStyle="1" w:styleId="101">
    <w:name w:val="表格填充项"/>
    <w:basedOn w:val="1"/>
    <w:qFormat/>
    <w:uiPriority w:val="0"/>
    <w:pPr>
      <w:spacing w:line="240" w:lineRule="atLeast"/>
      <w:jc w:val="center"/>
    </w:pPr>
    <w:rPr>
      <w:rFonts w:ascii="宋体" w:hAnsi="宋体"/>
      <w:b/>
      <w:szCs w:val="24"/>
    </w:rPr>
  </w:style>
  <w:style w:type="paragraph" w:customStyle="1" w:styleId="102">
    <w:name w:val="Char Char Char Char Char Char Char2"/>
    <w:basedOn w:val="1"/>
    <w:qFormat/>
    <w:uiPriority w:val="0"/>
    <w:pPr>
      <w:snapToGrid w:val="0"/>
      <w:spacing w:line="360" w:lineRule="auto"/>
      <w:ind w:firstLine="529" w:firstLineChars="200"/>
    </w:pPr>
    <w:rPr>
      <w:rFonts w:ascii="Times New Roman" w:hAnsi="Times New Roman"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45</Pages>
  <Words>18346</Words>
  <Characters>21006</Characters>
  <Lines>13</Lines>
  <Paragraphs>3</Paragraphs>
  <TotalTime>6</TotalTime>
  <ScaleCrop>false</ScaleCrop>
  <LinksUpToDate>false</LinksUpToDate>
  <CharactersWithSpaces>21133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那谁家那小谁</cp:lastModifiedBy>
  <cp:lastPrinted>2020-12-29T02:43:00Z</cp:lastPrinted>
  <dcterms:modified xsi:type="dcterms:W3CDTF">2025-07-24T03:12:19Z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87476A4895B740168EE3C62FBCD91CCE_13</vt:lpwstr>
  </property>
  <property fmtid="{D5CDD505-2E9C-101B-9397-08002B2CF9AE}" pid="4" name="KSOTemplateDocerSaveRecord">
    <vt:lpwstr>eyJoZGlkIjoiMWMxYjE0ODY0YzUzMzU2N2EyOTFkYjA4ZWVlNmY4NDEiLCJ1c2VySWQiOiI2NTgwMzMwNjkifQ==</vt:lpwstr>
  </property>
</Properties>
</file>