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49D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w w:val="100"/>
          <w:sz w:val="44"/>
          <w:szCs w:val="44"/>
          <w:lang w:val="en-US" w:eastAsia="zh-CN"/>
        </w:rPr>
      </w:pPr>
    </w:p>
    <w:p w14:paraId="305BD3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w w:val="100"/>
          <w:sz w:val="44"/>
          <w:szCs w:val="44"/>
          <w:lang w:val="en-US" w:eastAsia="zh-CN"/>
        </w:rPr>
        <w:t>关于嘉荫县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w w:val="100"/>
          <w:sz w:val="44"/>
          <w:szCs w:val="44"/>
        </w:rPr>
        <w:t>畜禽散养密集区</w:t>
      </w:r>
    </w:p>
    <w:p w14:paraId="41D2C1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w w:val="100"/>
          <w:sz w:val="44"/>
          <w:szCs w:val="44"/>
        </w:rPr>
        <w:t>划定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w w:val="1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w w:val="100"/>
          <w:sz w:val="44"/>
          <w:szCs w:val="44"/>
        </w:rPr>
        <w:t>暂行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w w:val="10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w w:val="100"/>
          <w:sz w:val="44"/>
          <w:szCs w:val="44"/>
          <w:lang w:val="en-US" w:eastAsia="zh-CN"/>
        </w:rPr>
        <w:t>的通知</w:t>
      </w:r>
    </w:p>
    <w:p w14:paraId="2DD4631A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2707046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outlineLvl w:val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全面贯彻落实习近平总书记视察我省期间重要讲话重要指示精神，按照黑龙江省和伊春市关于畜禽养殖污染防治工作部署要求，加快提升散养密集区粪污治理能力和综合利用水平，为实现嘉荫县畜禽粪污综合利用目标打好基础，根据嘉荫县土地面积和畜禽饲养实际，对嘉荫县畜禽散养密集区划定（暂行）通知如下：</w:t>
      </w:r>
    </w:p>
    <w:p w14:paraId="263607BB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576" w:firstLineChars="200"/>
        <w:jc w:val="both"/>
        <w:textAlignment w:val="baseline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一</w:t>
      </w:r>
      <w:r>
        <w:rPr>
          <w:rFonts w:ascii="黑体" w:hAnsi="黑体" w:eastAsia="黑体" w:cs="黑体"/>
          <w:b w:val="0"/>
          <w:bCs w:val="0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、指导思想</w:t>
      </w:r>
    </w:p>
    <w:p w14:paraId="3CB808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以习近平生态文明思想为指导，全面贯彻落实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习近平总书记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视察我省期间重要讲话重要指示精神，按照黑龙江省畜禽养殖废弃物资源化利用联席会议办公室《黑龙江省畜禽粪污资源化利用三年行动方案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2024-2026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》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黑畜资联办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〔2024〕7号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文件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、《关于进一步做好规模以下畜禽养殖场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户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粪污资源化利用工作的通知》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黑畜资联办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〔2024〕16号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文件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要求，以畜牧业绿色循环发展，耕地质量提升和农业面源污染治理为目标，坚持源头减量、过程控制，末端利用的治理路径，加快提升散养密集区粪污治理能力和综合利用水平，逐步构建种养结合、农牧循环发展的新格局，为实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畜禽粪污综合利用目标奠定基础。</w:t>
      </w:r>
    </w:p>
    <w:p w14:paraId="13FAF6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576" w:firstLineChars="200"/>
        <w:jc w:val="both"/>
        <w:textAlignment w:val="baseline"/>
        <w:rPr>
          <w:rFonts w:ascii="黑体" w:hAnsi="黑体" w:eastAsia="黑体" w:cs="黑体"/>
          <w:b w:val="0"/>
          <w:bCs w:val="0"/>
          <w:snapToGrid w:val="0"/>
          <w:color w:val="000000"/>
          <w:spacing w:val="-16"/>
          <w:kern w:val="0"/>
          <w:sz w:val="32"/>
          <w:szCs w:val="32"/>
          <w:lang w:val="en-US" w:eastAsia="en-US" w:bidi="ar-SA"/>
        </w:rPr>
      </w:pPr>
      <w:r>
        <w:rPr>
          <w:rFonts w:ascii="黑体" w:hAnsi="黑体" w:eastAsia="黑体" w:cs="黑体"/>
          <w:b w:val="0"/>
          <w:bCs w:val="0"/>
          <w:snapToGrid w:val="0"/>
          <w:color w:val="000000"/>
          <w:spacing w:val="-16"/>
          <w:kern w:val="0"/>
          <w:sz w:val="32"/>
          <w:szCs w:val="32"/>
          <w:lang w:val="en-US" w:eastAsia="en-US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6"/>
          <w:kern w:val="0"/>
          <w:sz w:val="32"/>
          <w:szCs w:val="32"/>
          <w:lang w:val="en-US" w:eastAsia="en-US" w:bidi="ar-SA"/>
        </w:rPr>
        <w:t>基本原则</w:t>
      </w:r>
    </w:p>
    <w:p w14:paraId="6897D4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统筹兼顾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守住底线。调查资源环境承载能力和养殖废弃物治理与资源化利用能力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守住土壤消纳能力及与其相适应的污染物排放总量底线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巩固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嘉荫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县的环境优势。</w:t>
      </w:r>
    </w:p>
    <w:p w14:paraId="18D0343A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576" w:firstLineChars="200"/>
        <w:jc w:val="both"/>
        <w:textAlignment w:val="baseline"/>
        <w:outlineLvl w:val="0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、散养密集区确定标准</w:t>
      </w:r>
    </w:p>
    <w:p w14:paraId="239DE5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散养密集区域是指以分散养殖单元为主，以畜禽养殖设 施或者场所与居民生活区混杂为主要特点，畜禽养殖量与人 口数量的比值超过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级人民政府确定的限制值或者畜禽养殖量超过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级人民政府确定的载畜量的区域。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我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的实际情况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以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村（社区）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为单元，按照单元内畜禽养殖户的养殖量与土地面积的比值为测算方法。以每个行政村为单元，整村存栏量折合成猪的养殖量与该行政村土地面积的比值系数≥0.1的为养殖密集区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距离江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、水源保护地、生态保护区直线距离低于1000米的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可结合实际情况适当降低养殖总量与土地面积比值，以不污染环境为原则由县自行调整划定标准。</w:t>
      </w:r>
    </w:p>
    <w:p w14:paraId="2ACA76E2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576" w:firstLineChars="200"/>
        <w:jc w:val="both"/>
        <w:textAlignment w:val="baseline"/>
        <w:outlineLvl w:val="0"/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>四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、散养密集区划定方法</w:t>
      </w:r>
    </w:p>
    <w:p w14:paraId="652EE4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en-US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en-US"/>
        </w:rPr>
        <w:t>精准统计畜禽养殖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总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en-US"/>
        </w:rPr>
        <w:t>量。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en-US"/>
        </w:rPr>
        <w:t>以村（社区）为单元，精准计算每个单元内养殖户畜禽养殖总量，统计时间节点为2024年12月30日。在计算畜禽养殖总量时，除猪的养殖量不用转换外，其他畜禽养殖总量需要统一换算成猪的养殖量，换算标准是：以猪为标准，30只家禽折算为1头猪，一头奶牛折算为10头猪，一头肉牛折算为5头猪，3只羊折算为1头猪。</w:t>
      </w:r>
    </w:p>
    <w:p w14:paraId="27537E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（二）核准耕地面积。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以每个村（社区）为单元，计算耕地面积，耕地面积来源为2024年农作物播种面积。</w:t>
      </w:r>
    </w:p>
    <w:p w14:paraId="3E71A2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（三）划定标准。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以每个村（社区）为单元，整村（社区）养殖量折合成猪的养殖量与该村（社区）土地面积的比值系数≥0.1 的为养殖密集区。距离江（河）、水源保护地、生态保护区直线距离低于1000米的，结合散养实际情况确认为养殖密集区。</w:t>
      </w:r>
    </w:p>
    <w:p w14:paraId="2883DF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我县朝阳镇新发村、尚志村、佛山村、乌拉嘎镇金丰村、保兴镇东兴村、前景村、庆丰村、保安村、常胜乡营林村、平阳河村、红光乡燎原村、长青村、太平村、星火村、红旗村、新桥村、沪嘉乡福民村、青山乡结烈河村、大砬子村、建华村、乌云镇宏伟村、奋斗村、泉石村、夹信子村、南地营子村、双立村、向阳乡育才村、育新村、嘉荫农场安阳管理区、稻田管理区、振兴管理区的养殖总量与土地面积比值系数均≥0.1，划定为畜禽散养密集区。朝阳镇永安村、保兴镇仁合村、常胜乡常家村、乌云镇乌云村、旧城村、向阳乡雪水温村因距离江（河）、水源保护地、生态保护区直线距离低于1000米等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因，结合散养实际情况确认为养殖密集区。</w:t>
      </w:r>
    </w:p>
    <w:p w14:paraId="5256CC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rPr>
          <w:rFonts w:hint="default" w:ascii="仿宋_GB2312" w:hAnsi="仿宋_GB2312" w:eastAsia="仿宋_GB2312" w:cs="仿宋_GB2312"/>
          <w:spacing w:val="-3"/>
          <w:sz w:val="32"/>
          <w:szCs w:val="32"/>
          <w:lang w:val="en-US" w:eastAsia="zh-CN"/>
        </w:rPr>
      </w:pPr>
    </w:p>
    <w:sectPr>
      <w:footerReference r:id="rId5" w:type="default"/>
      <w:pgSz w:w="11910" w:h="16840"/>
      <w:pgMar w:top="2098" w:right="1474" w:bottom="1984" w:left="1589" w:header="0" w:footer="1269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A57E5A2-10A1-468B-9968-24A8358AEFF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3892B63-3588-44D3-A3E5-D168CE160E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3029857-A582-4B4C-8BED-D15D9DD507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DE5F1D3-E661-44D1-B794-3A9221C2710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ADF62FA-CBCA-407B-895A-45E167BD18FC}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F796A">
    <w:pPr>
      <w:spacing w:line="173" w:lineRule="auto"/>
      <w:ind w:left="4140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D36FF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CD36FF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Q4OTNhM2JiYTlmNWNiMTlkMzY0YjU3MjYwOWNhYjYifQ=="/>
  </w:docVars>
  <w:rsids>
    <w:rsidRoot w:val="00000000"/>
    <w:rsid w:val="027D6E6E"/>
    <w:rsid w:val="030E6217"/>
    <w:rsid w:val="07D1069B"/>
    <w:rsid w:val="15AD5E23"/>
    <w:rsid w:val="16A7300C"/>
    <w:rsid w:val="17D12869"/>
    <w:rsid w:val="181D3045"/>
    <w:rsid w:val="185A4073"/>
    <w:rsid w:val="1C0A4756"/>
    <w:rsid w:val="1C7647B3"/>
    <w:rsid w:val="1E1B5506"/>
    <w:rsid w:val="1E734F26"/>
    <w:rsid w:val="1FC8090E"/>
    <w:rsid w:val="20B50CA8"/>
    <w:rsid w:val="225F6497"/>
    <w:rsid w:val="268B6394"/>
    <w:rsid w:val="2D990AC0"/>
    <w:rsid w:val="2EAF3339"/>
    <w:rsid w:val="2ED00512"/>
    <w:rsid w:val="2F8C2919"/>
    <w:rsid w:val="30F86D19"/>
    <w:rsid w:val="340C0A0D"/>
    <w:rsid w:val="34E22CED"/>
    <w:rsid w:val="358F4D40"/>
    <w:rsid w:val="35EE64A4"/>
    <w:rsid w:val="37B74397"/>
    <w:rsid w:val="3F850EA5"/>
    <w:rsid w:val="42354066"/>
    <w:rsid w:val="48CE1E08"/>
    <w:rsid w:val="4C733F64"/>
    <w:rsid w:val="4F2E47D6"/>
    <w:rsid w:val="580C10BB"/>
    <w:rsid w:val="585B5A3B"/>
    <w:rsid w:val="58E83496"/>
    <w:rsid w:val="5A9F705D"/>
    <w:rsid w:val="5B38759C"/>
    <w:rsid w:val="60F0389F"/>
    <w:rsid w:val="63907D73"/>
    <w:rsid w:val="698E432E"/>
    <w:rsid w:val="69B50456"/>
    <w:rsid w:val="69C45727"/>
    <w:rsid w:val="69C54778"/>
    <w:rsid w:val="6A10267A"/>
    <w:rsid w:val="6B197484"/>
    <w:rsid w:val="6C977408"/>
    <w:rsid w:val="732362AB"/>
    <w:rsid w:val="73A62B1A"/>
    <w:rsid w:val="75A652FF"/>
    <w:rsid w:val="76C87DC3"/>
    <w:rsid w:val="77847819"/>
    <w:rsid w:val="78444D64"/>
    <w:rsid w:val="79550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1396</Words>
  <Characters>1436</Characters>
  <TotalTime>1</TotalTime>
  <ScaleCrop>false</ScaleCrop>
  <LinksUpToDate>false</LinksUpToDate>
  <CharactersWithSpaces>1440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2024-11-21T10:50:00Z</dcterms:created>
  <dc:creator>Kingsoft-PDF</dc:creator>
  <cp:lastModifiedBy>早起的qiao儿</cp:lastModifiedBy>
  <cp:lastPrinted>2025-03-20T06:04:00Z</cp:lastPrinted>
  <dcterms:modified xsi:type="dcterms:W3CDTF">2025-03-21T05:49:34Z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2024-11-21T10:50:46Z</vt:filetime>
  </property>
  <property fmtid="{D5CDD505-2E9C-101B-9397-08002B2CF9AE}" pid="4" name="UsrData">
    <vt:lpwstr>673ea003b34175001fe36ea2wl</vt:lpwstr>
  </property>
  <property fmtid="{D5CDD505-2E9C-101B-9397-08002B2CF9AE}" pid="5" name="KSOProductBuildVer">
    <vt:lpwstr>2052-12.1.0.20305</vt:lpwstr>
  </property>
  <property fmtid="{D5CDD505-2E9C-101B-9397-08002B2CF9AE}" pid="6" name="ICV">
    <vt:lpwstr>19ACEB1CFADF4F38B681536280B636CF_13</vt:lpwstr>
  </property>
  <property fmtid="{D5CDD505-2E9C-101B-9397-08002B2CF9AE}" pid="7" name="KSOTemplateDocerSaveRecord">
    <vt:lpwstr>eyJoZGlkIjoiOWUwYmQwOTRmNzY3ZjUzYzI2YmQ5N2U2MWM3MDEzYzIiLCJ1c2VySWQiOiI0MDgxNTQzMTMifQ==</vt:lpwstr>
  </property>
</Properties>
</file>