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94A383">
      <w:pPr>
        <w:rPr>
          <w:rFonts w:hint="eastAsia" w:eastAsia="宋体"/>
          <w:lang w:val="en-US" w:eastAsia="zh-CN"/>
        </w:rPr>
      </w:pPr>
    </w:p>
    <w:p w14:paraId="45F2A519"/>
    <w:p w14:paraId="4DF13F35"/>
    <w:p w14:paraId="221F14DA"/>
    <w:p w14:paraId="72F0E159">
      <w:pPr>
        <w:ind w:left="0" w:leftChars="0"/>
        <w:jc w:val="center"/>
        <w:rPr>
          <w:rFonts w:hint="eastAsia" w:ascii="黑体" w:hAnsi="黑体" w:eastAsia="黑体"/>
          <w:sz w:val="48"/>
          <w:szCs w:val="48"/>
        </w:rPr>
      </w:pPr>
      <w:r>
        <w:rPr>
          <w:rFonts w:hint="eastAsia" w:ascii="黑体" w:hAnsi="黑体" w:eastAsia="黑体"/>
          <w:sz w:val="48"/>
          <w:szCs w:val="48"/>
          <w:lang w:val="en-US" w:eastAsia="zh-CN"/>
        </w:rPr>
        <w:t>嘉荫县</w:t>
      </w:r>
      <w:r>
        <w:rPr>
          <w:rFonts w:hint="eastAsia" w:ascii="黑体" w:hAnsi="黑体" w:eastAsia="黑体"/>
          <w:sz w:val="48"/>
          <w:szCs w:val="48"/>
        </w:rPr>
        <w:t>养殖水域滩涂规划（</w:t>
      </w:r>
      <w:r>
        <w:rPr>
          <w:rFonts w:hint="eastAsia" w:ascii="黑体" w:hAnsi="黑体" w:eastAsia="黑体"/>
          <w:sz w:val="48"/>
          <w:szCs w:val="48"/>
          <w:lang w:eastAsia="zh-CN"/>
        </w:rPr>
        <w:t>20</w:t>
      </w:r>
      <w:r>
        <w:rPr>
          <w:rFonts w:hint="eastAsia" w:ascii="黑体" w:hAnsi="黑体" w:eastAsia="黑体"/>
          <w:sz w:val="48"/>
          <w:szCs w:val="48"/>
          <w:lang w:val="en-US" w:eastAsia="zh-CN"/>
        </w:rPr>
        <w:t>18</w:t>
      </w:r>
      <w:r>
        <w:rPr>
          <w:rFonts w:hint="eastAsia" w:ascii="黑体" w:hAnsi="黑体" w:eastAsia="黑体"/>
          <w:sz w:val="48"/>
          <w:szCs w:val="48"/>
          <w:lang w:eastAsia="zh-CN"/>
        </w:rPr>
        <w:t>—</w:t>
      </w:r>
      <w:r>
        <w:rPr>
          <w:rFonts w:hint="eastAsia" w:ascii="黑体" w:hAnsi="黑体" w:eastAsia="黑体"/>
          <w:sz w:val="48"/>
          <w:szCs w:val="48"/>
        </w:rPr>
        <w:t>2030）</w:t>
      </w:r>
    </w:p>
    <w:p w14:paraId="5037522E">
      <w:pPr>
        <w:ind w:left="0" w:leftChars="0"/>
        <w:jc w:val="center"/>
        <w:rPr>
          <w:rFonts w:hint="eastAsia" w:ascii="黑体" w:hAnsi="黑体" w:eastAsia="黑体"/>
          <w:sz w:val="48"/>
          <w:szCs w:val="48"/>
          <w:lang w:val="en-US" w:eastAsia="zh-CN"/>
        </w:rPr>
      </w:pPr>
      <w:r>
        <w:rPr>
          <w:rFonts w:hint="eastAsia" w:ascii="黑体" w:hAnsi="黑体" w:eastAsia="黑体"/>
          <w:sz w:val="48"/>
          <w:szCs w:val="48"/>
          <w:lang w:eastAsia="zh-CN"/>
        </w:rPr>
        <w:t>（</w:t>
      </w:r>
      <w:r>
        <w:rPr>
          <w:rFonts w:hint="eastAsia" w:ascii="黑体" w:hAnsi="黑体" w:eastAsia="黑体"/>
          <w:sz w:val="48"/>
          <w:szCs w:val="48"/>
          <w:lang w:val="en-US" w:eastAsia="zh-CN"/>
        </w:rPr>
        <w:t>2025年修订）</w:t>
      </w:r>
    </w:p>
    <w:p w14:paraId="6C840B24">
      <w:pPr>
        <w:ind w:left="0" w:leftChars="0"/>
        <w:jc w:val="center"/>
        <w:rPr>
          <w:rFonts w:hint="eastAsia" w:ascii="黑体" w:hAnsi="黑体" w:eastAsia="黑体"/>
          <w:sz w:val="48"/>
          <w:szCs w:val="48"/>
          <w:lang w:val="en-US" w:eastAsia="zh-CN"/>
        </w:rPr>
      </w:pPr>
    </w:p>
    <w:p w14:paraId="1AC2BF48">
      <w:pPr>
        <w:ind w:left="0" w:leftChars="0"/>
        <w:jc w:val="center"/>
        <w:rPr>
          <w:rFonts w:hint="eastAsia" w:ascii="黑体" w:hAnsi="黑体" w:eastAsia="黑体"/>
          <w:sz w:val="48"/>
          <w:szCs w:val="48"/>
          <w:lang w:val="en-US" w:eastAsia="zh-CN"/>
        </w:rPr>
      </w:pPr>
      <w:r>
        <w:rPr>
          <w:rFonts w:hint="eastAsia" w:ascii="黑体" w:hAnsi="黑体" w:eastAsia="黑体"/>
          <w:sz w:val="48"/>
          <w:szCs w:val="48"/>
          <w:lang w:val="en-US" w:eastAsia="zh-CN"/>
        </w:rPr>
        <w:t>（征求意见稿）</w:t>
      </w:r>
    </w:p>
    <w:p w14:paraId="7F4E7C96">
      <w:pPr>
        <w:ind w:left="0" w:leftChars="0"/>
        <w:jc w:val="center"/>
        <w:rPr>
          <w:rFonts w:hint="eastAsia" w:ascii="黑体" w:hAnsi="黑体" w:eastAsia="黑体"/>
          <w:sz w:val="48"/>
          <w:szCs w:val="48"/>
          <w:lang w:val="en-US" w:eastAsia="zh-CN"/>
        </w:rPr>
      </w:pPr>
      <w:r>
        <w:rPr>
          <w:rFonts w:hint="eastAsia" w:ascii="黑体" w:hAnsi="黑体" w:eastAsia="黑体"/>
          <w:sz w:val="30"/>
          <w:szCs w:val="30"/>
          <w:lang w:val="en-US" w:eastAsia="zh-CN"/>
        </w:rPr>
        <w:t>-－有效至2030年</w:t>
      </w:r>
    </w:p>
    <w:p w14:paraId="570DC8B2">
      <w:pPr>
        <w:jc w:val="center"/>
      </w:pPr>
    </w:p>
    <w:p w14:paraId="4D0969C9"/>
    <w:p w14:paraId="45E9980F"/>
    <w:p w14:paraId="5B5D718F"/>
    <w:p w14:paraId="6002DE26"/>
    <w:p w14:paraId="1396ED53">
      <w:pPr>
        <w:jc w:val="center"/>
        <w:rPr>
          <w:sz w:val="32"/>
          <w:szCs w:val="32"/>
        </w:rPr>
      </w:pPr>
    </w:p>
    <w:p w14:paraId="0A077CB0">
      <w:pPr>
        <w:jc w:val="center"/>
        <w:rPr>
          <w:sz w:val="32"/>
          <w:szCs w:val="32"/>
        </w:rPr>
      </w:pPr>
    </w:p>
    <w:p w14:paraId="143B4A79">
      <w:pPr>
        <w:jc w:val="center"/>
        <w:rPr>
          <w:sz w:val="32"/>
          <w:szCs w:val="32"/>
        </w:rPr>
      </w:pPr>
    </w:p>
    <w:p w14:paraId="316B9A4F">
      <w:pPr>
        <w:jc w:val="both"/>
        <w:rPr>
          <w:rFonts w:hint="eastAsia"/>
          <w:sz w:val="32"/>
          <w:szCs w:val="32"/>
        </w:rPr>
      </w:pPr>
    </w:p>
    <w:p w14:paraId="5E5488FD">
      <w:pPr>
        <w:jc w:val="center"/>
        <w:rPr>
          <w:sz w:val="32"/>
          <w:szCs w:val="32"/>
        </w:rPr>
      </w:pPr>
    </w:p>
    <w:p w14:paraId="4827B64E">
      <w:pPr>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嘉荫县农业农村局</w:t>
      </w:r>
    </w:p>
    <w:p w14:paraId="53394D7A">
      <w:pPr>
        <w:jc w:val="center"/>
        <w:rPr>
          <w:rFonts w:hint="eastAsia" w:ascii="黑体" w:hAnsi="黑体" w:eastAsia="黑体"/>
          <w:sz w:val="32"/>
          <w:szCs w:val="32"/>
          <w:highlight w:val="none"/>
          <w:lang w:val="en-US" w:eastAsia="zh-CN"/>
        </w:rPr>
        <w:sectPr>
          <w:footerReference r:id="rId5" w:type="default"/>
          <w:pgSz w:w="11906" w:h="16838"/>
          <w:pgMar w:top="1531" w:right="1247" w:bottom="1417" w:left="1417" w:header="851" w:footer="992" w:gutter="0"/>
          <w:pgNumType w:fmt="decimal" w:start="1"/>
          <w:cols w:space="425" w:num="1"/>
          <w:rtlGutter w:val="0"/>
          <w:docGrid w:type="lines" w:linePitch="312" w:charSpace="0"/>
        </w:sectPr>
      </w:pPr>
      <w:r>
        <w:rPr>
          <w:rFonts w:hint="eastAsia" w:ascii="黑体" w:hAnsi="黑体" w:eastAsia="黑体"/>
          <w:sz w:val="32"/>
          <w:szCs w:val="32"/>
          <w:highlight w:val="none"/>
          <w:lang w:val="en-US" w:eastAsia="zh-CN"/>
        </w:rPr>
        <w:t>二〇二五年十月</w:t>
      </w:r>
    </w:p>
    <w:p w14:paraId="4855A905">
      <w:pPr>
        <w:keepNext w:val="0"/>
        <w:keepLines w:val="0"/>
        <w:pageBreakBefore w:val="0"/>
        <w:widowControl w:val="0"/>
        <w:tabs>
          <w:tab w:val="left" w:pos="993"/>
        </w:tabs>
        <w:kinsoku/>
        <w:wordWrap/>
        <w:overflowPunct/>
        <w:topLinePunct w:val="0"/>
        <w:autoSpaceDE/>
        <w:autoSpaceDN/>
        <w:bidi w:val="0"/>
        <w:adjustRightInd/>
        <w:snapToGrid/>
        <w:spacing w:line="680" w:lineRule="exact"/>
        <w:jc w:val="center"/>
        <w:textAlignment w:val="auto"/>
        <w:rPr>
          <w:rFonts w:hint="eastAsia" w:ascii="微软雅黑" w:hAnsi="微软雅黑" w:eastAsia="微软雅黑" w:cs="微软雅黑"/>
          <w:b w:val="0"/>
          <w:bCs/>
          <w:spacing w:val="-11"/>
          <w:sz w:val="44"/>
          <w:szCs w:val="44"/>
        </w:rPr>
      </w:pPr>
      <w:r>
        <w:rPr>
          <w:rFonts w:hint="eastAsia" w:ascii="微软雅黑" w:hAnsi="微软雅黑" w:eastAsia="微软雅黑" w:cs="微软雅黑"/>
          <w:b w:val="0"/>
          <w:bCs/>
          <w:spacing w:val="-11"/>
          <w:sz w:val="44"/>
          <w:szCs w:val="44"/>
        </w:rPr>
        <w:t>《</w:t>
      </w:r>
      <w:r>
        <w:rPr>
          <w:rFonts w:hint="eastAsia" w:ascii="微软雅黑" w:hAnsi="微软雅黑" w:eastAsia="微软雅黑" w:cs="微软雅黑"/>
          <w:b w:val="0"/>
          <w:bCs/>
          <w:spacing w:val="-11"/>
          <w:sz w:val="44"/>
          <w:szCs w:val="44"/>
          <w:lang w:eastAsia="zh-CN"/>
        </w:rPr>
        <w:t>嘉荫县</w:t>
      </w:r>
      <w:r>
        <w:rPr>
          <w:rFonts w:hint="eastAsia" w:ascii="微软雅黑" w:hAnsi="微软雅黑" w:eastAsia="微软雅黑" w:cs="微软雅黑"/>
          <w:b w:val="0"/>
          <w:bCs/>
          <w:spacing w:val="-11"/>
          <w:sz w:val="44"/>
          <w:szCs w:val="44"/>
        </w:rPr>
        <w:t>养殖水域滩涂规划（</w:t>
      </w:r>
      <w:r>
        <w:rPr>
          <w:rFonts w:hint="eastAsia" w:ascii="微软雅黑" w:hAnsi="微软雅黑" w:eastAsia="微软雅黑" w:cs="微软雅黑"/>
          <w:b w:val="0"/>
          <w:bCs/>
          <w:spacing w:val="-11"/>
          <w:sz w:val="44"/>
          <w:szCs w:val="44"/>
          <w:lang w:eastAsia="zh-CN"/>
        </w:rPr>
        <w:t>2018—</w:t>
      </w:r>
      <w:r>
        <w:rPr>
          <w:rFonts w:hint="eastAsia" w:ascii="微软雅黑" w:hAnsi="微软雅黑" w:eastAsia="微软雅黑" w:cs="微软雅黑"/>
          <w:b w:val="0"/>
          <w:bCs/>
          <w:spacing w:val="-11"/>
          <w:sz w:val="44"/>
          <w:szCs w:val="44"/>
        </w:rPr>
        <w:t>2030）</w:t>
      </w:r>
    </w:p>
    <w:p w14:paraId="06970FE5">
      <w:pPr>
        <w:keepNext w:val="0"/>
        <w:keepLines w:val="0"/>
        <w:pageBreakBefore w:val="0"/>
        <w:widowControl w:val="0"/>
        <w:tabs>
          <w:tab w:val="left" w:pos="993"/>
        </w:tabs>
        <w:kinsoku/>
        <w:wordWrap/>
        <w:overflowPunct/>
        <w:topLinePunct w:val="0"/>
        <w:autoSpaceDE/>
        <w:autoSpaceDN/>
        <w:bidi w:val="0"/>
        <w:adjustRightInd/>
        <w:snapToGrid/>
        <w:spacing w:line="680" w:lineRule="exact"/>
        <w:jc w:val="center"/>
        <w:textAlignment w:val="auto"/>
        <w:rPr>
          <w:rFonts w:hint="eastAsia" w:ascii="微软雅黑" w:hAnsi="微软雅黑" w:eastAsia="微软雅黑" w:cs="微软雅黑"/>
          <w:b w:val="0"/>
          <w:bCs/>
          <w:sz w:val="44"/>
          <w:szCs w:val="44"/>
          <w:lang w:eastAsia="zh-CN"/>
        </w:rPr>
      </w:pPr>
      <w:r>
        <w:rPr>
          <w:rFonts w:hint="eastAsia" w:ascii="微软雅黑" w:hAnsi="微软雅黑" w:eastAsia="微软雅黑" w:cs="微软雅黑"/>
          <w:b w:val="0"/>
          <w:bCs/>
          <w:spacing w:val="-11"/>
          <w:sz w:val="44"/>
          <w:szCs w:val="44"/>
        </w:rPr>
        <w:t>（</w:t>
      </w:r>
      <w:r>
        <w:rPr>
          <w:rFonts w:hint="eastAsia" w:ascii="微软雅黑" w:hAnsi="微软雅黑" w:eastAsia="微软雅黑" w:cs="微软雅黑"/>
          <w:b w:val="0"/>
          <w:bCs/>
          <w:spacing w:val="-11"/>
          <w:sz w:val="44"/>
          <w:szCs w:val="44"/>
          <w:lang w:val="en-US" w:eastAsia="zh-CN"/>
        </w:rPr>
        <w:t>2025年</w:t>
      </w:r>
      <w:r>
        <w:rPr>
          <w:rFonts w:hint="eastAsia" w:ascii="微软雅黑" w:hAnsi="微软雅黑" w:eastAsia="微软雅黑" w:cs="微软雅黑"/>
          <w:b w:val="0"/>
          <w:bCs/>
          <w:spacing w:val="-11"/>
          <w:sz w:val="44"/>
          <w:szCs w:val="44"/>
        </w:rPr>
        <w:t>修订）》</w:t>
      </w:r>
      <w:r>
        <w:rPr>
          <w:rFonts w:hint="eastAsia" w:ascii="微软雅黑" w:hAnsi="微软雅黑" w:eastAsia="微软雅黑" w:cs="微软雅黑"/>
          <w:b w:val="0"/>
          <w:bCs/>
          <w:sz w:val="44"/>
          <w:szCs w:val="44"/>
        </w:rPr>
        <w:t>编制工作</w:t>
      </w:r>
      <w:r>
        <w:rPr>
          <w:rFonts w:hint="eastAsia" w:ascii="微软雅黑" w:hAnsi="微软雅黑" w:eastAsia="微软雅黑" w:cs="微软雅黑"/>
          <w:b w:val="0"/>
          <w:bCs/>
          <w:sz w:val="44"/>
          <w:szCs w:val="44"/>
          <w:lang w:val="en-US" w:eastAsia="zh-CN"/>
        </w:rPr>
        <w:t>专班</w:t>
      </w:r>
    </w:p>
    <w:p w14:paraId="627C4FA7">
      <w:pPr>
        <w:ind w:firstLine="560" w:firstLineChars="200"/>
        <w:rPr>
          <w:rFonts w:hint="eastAsia" w:ascii="仿宋" w:hAnsi="仿宋" w:eastAsia="仿宋" w:cs="Times New Roman"/>
          <w:szCs w:val="28"/>
        </w:rPr>
      </w:pPr>
    </w:p>
    <w:p w14:paraId="470F3548">
      <w:pPr>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组  长：</w:t>
      </w:r>
      <w:r>
        <w:rPr>
          <w:rFonts w:hint="eastAsia" w:ascii="仿宋_GB2312" w:hAnsi="仿宋_GB2312" w:eastAsia="仿宋_GB2312" w:cs="仿宋_GB2312"/>
          <w:sz w:val="32"/>
          <w:szCs w:val="32"/>
          <w:lang w:val="en-US" w:eastAsia="zh-CN"/>
        </w:rPr>
        <w:t>李  鹏  县政府副县长</w:t>
      </w:r>
    </w:p>
    <w:p w14:paraId="41941FE8">
      <w:pPr>
        <w:ind w:firstLine="643"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副组长：</w:t>
      </w:r>
      <w:r>
        <w:rPr>
          <w:rFonts w:hint="eastAsia" w:ascii="仿宋_GB2312" w:hAnsi="仿宋_GB2312" w:eastAsia="仿宋_GB2312" w:cs="仿宋_GB2312"/>
          <w:sz w:val="32"/>
          <w:szCs w:val="32"/>
          <w:lang w:val="en-US" w:eastAsia="zh-CN"/>
        </w:rPr>
        <w:t>徐成春  县水产总站站长</w:t>
      </w:r>
    </w:p>
    <w:p w14:paraId="31ECC5B3">
      <w:pPr>
        <w:ind w:firstLine="643"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rPr>
        <w:t>成  员：</w:t>
      </w:r>
      <w:r>
        <w:rPr>
          <w:rFonts w:hint="eastAsia" w:ascii="仿宋_GB2312" w:hAnsi="仿宋_GB2312" w:eastAsia="仿宋_GB2312" w:cs="仿宋_GB2312"/>
          <w:sz w:val="32"/>
          <w:szCs w:val="32"/>
          <w:highlight w:val="none"/>
          <w:lang w:val="en-US" w:eastAsia="zh-CN"/>
        </w:rPr>
        <w:t>朱长岭  县财政局局长</w:t>
      </w:r>
    </w:p>
    <w:p w14:paraId="52D65CD9">
      <w:pPr>
        <w:ind w:firstLine="1936" w:firstLineChars="605"/>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宋立民  县发改局局长</w:t>
      </w:r>
    </w:p>
    <w:p w14:paraId="6DF1CB9E">
      <w:pPr>
        <w:ind w:firstLine="1936" w:firstLineChars="605"/>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肖  寒  县自然资源局局长</w:t>
      </w:r>
    </w:p>
    <w:p w14:paraId="222A3DF9">
      <w:pPr>
        <w:ind w:firstLine="1936" w:firstLineChars="605"/>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彭  磊  县城乡规划所所长</w:t>
      </w:r>
    </w:p>
    <w:p w14:paraId="3CCAAC68">
      <w:pPr>
        <w:ind w:firstLine="1936" w:firstLineChars="605"/>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姚永生  伊春市嘉荫生态环境局局长</w:t>
      </w:r>
    </w:p>
    <w:p w14:paraId="01CB0F76">
      <w:pPr>
        <w:ind w:firstLine="1936" w:firstLineChars="605"/>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赵士军  县农业农村局副局长、水务局局长</w:t>
      </w:r>
    </w:p>
    <w:p w14:paraId="673F92E6">
      <w:pPr>
        <w:ind w:firstLine="1920" w:firstLineChars="600"/>
        <w:rPr>
          <w:rFonts w:hint="eastAsia" w:ascii="仿宋_GB2312" w:hAnsi="仿宋_GB2312" w:eastAsia="仿宋_GB2312" w:cs="仿宋_GB2312"/>
          <w:spacing w:val="-23"/>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王  英  </w:t>
      </w:r>
      <w:r>
        <w:rPr>
          <w:rFonts w:hint="eastAsia" w:ascii="仿宋_GB2312" w:hAnsi="仿宋_GB2312" w:eastAsia="仿宋_GB2312" w:cs="仿宋_GB2312"/>
          <w:spacing w:val="-17"/>
          <w:sz w:val="32"/>
          <w:szCs w:val="32"/>
          <w:highlight w:val="none"/>
          <w:lang w:val="en-US" w:eastAsia="zh-CN"/>
        </w:rPr>
        <w:t>黑龙江茅兰沟国家级自然保护区管理局副局长</w:t>
      </w:r>
    </w:p>
    <w:p w14:paraId="2F7C2760">
      <w:pPr>
        <w:ind w:firstLine="1936" w:firstLineChars="605"/>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王远彪  青山乡党委书记</w:t>
      </w:r>
    </w:p>
    <w:p w14:paraId="58E3B5C2">
      <w:pPr>
        <w:ind w:firstLine="1936" w:firstLineChars="605"/>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孙  禹  乌云镇党委书记</w:t>
      </w:r>
    </w:p>
    <w:p w14:paraId="04F6B6BD">
      <w:pPr>
        <w:ind w:firstLine="1936" w:firstLineChars="605"/>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李金波  沪嘉乡党委书记</w:t>
      </w:r>
    </w:p>
    <w:p w14:paraId="425602E1">
      <w:pPr>
        <w:ind w:firstLine="1936" w:firstLineChars="605"/>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李鹏顺  红光乡党委书记</w:t>
      </w:r>
    </w:p>
    <w:p w14:paraId="3A648E0F">
      <w:pPr>
        <w:ind w:firstLine="1936" w:firstLineChars="605"/>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张自勇  保兴镇党委书记</w:t>
      </w:r>
    </w:p>
    <w:p w14:paraId="24155192">
      <w:pPr>
        <w:ind w:firstLine="1936" w:firstLineChars="605"/>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黄海波  乌拉嘎镇党委书记</w:t>
      </w:r>
    </w:p>
    <w:p w14:paraId="73A41F3E">
      <w:pPr>
        <w:ind w:firstLine="1936" w:firstLineChars="605"/>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姚经宇  常胜乡党委书记</w:t>
      </w:r>
    </w:p>
    <w:p w14:paraId="0E51FE81">
      <w:pPr>
        <w:ind w:firstLine="1936" w:firstLineChars="605"/>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姜鑫龙  向阳乡党委书记</w:t>
      </w:r>
    </w:p>
    <w:p w14:paraId="3AFA3F5F">
      <w:pPr>
        <w:ind w:firstLine="1936" w:firstLineChars="605"/>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翟春炜  朝阳镇党委副书记、镇长</w:t>
      </w:r>
    </w:p>
    <w:p w14:paraId="3E74BA46">
      <w:pPr>
        <w:ind w:firstLine="1936" w:firstLineChars="605"/>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周志刚  嘉荫农场有限公司党委委员、副总经理</w:t>
      </w:r>
    </w:p>
    <w:p w14:paraId="452526C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工作领导小组办公室设在县水产总站，负责领导小组日常工作和联络任务。</w:t>
      </w:r>
    </w:p>
    <w:p w14:paraId="775F625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宋体" w:cs="Times New Roman"/>
        </w:rPr>
      </w:pPr>
      <w:r>
        <w:rPr>
          <w:rFonts w:hint="eastAsia" w:ascii="仿宋_GB2312" w:hAnsi="仿宋_GB2312" w:eastAsia="仿宋_GB2312" w:cs="仿宋_GB2312"/>
          <w:color w:val="auto"/>
          <w:sz w:val="32"/>
          <w:szCs w:val="32"/>
          <w:lang w:val="en-US" w:eastAsia="zh-CN"/>
        </w:rPr>
        <w:t>办公室主任：孙云峰  县水产总站党支部副书记</w:t>
      </w:r>
    </w:p>
    <w:p w14:paraId="19E1F389">
      <w:pPr>
        <w:tabs>
          <w:tab w:val="left" w:pos="993"/>
        </w:tabs>
        <w:jc w:val="both"/>
        <w:rPr>
          <w:rFonts w:hint="eastAsia" w:ascii="仿宋" w:hAnsi="仿宋" w:eastAsia="仿宋"/>
          <w:b/>
          <w:sz w:val="32"/>
          <w:szCs w:val="32"/>
        </w:rPr>
        <w:sectPr>
          <w:pgSz w:w="11906" w:h="16838"/>
          <w:pgMar w:top="1531" w:right="1247" w:bottom="1417" w:left="1417" w:header="851" w:footer="992" w:gutter="0"/>
          <w:pgNumType w:fmt="decimal"/>
          <w:cols w:space="425" w:num="1"/>
          <w:rtlGutter w:val="0"/>
          <w:docGrid w:type="lines" w:linePitch="312" w:charSpace="0"/>
        </w:sectPr>
      </w:pPr>
    </w:p>
    <w:p w14:paraId="593451DF">
      <w:pPr>
        <w:keepNext w:val="0"/>
        <w:keepLines w:val="0"/>
        <w:pageBreakBefore w:val="0"/>
        <w:widowControl w:val="0"/>
        <w:tabs>
          <w:tab w:val="left" w:pos="993"/>
        </w:tabs>
        <w:kinsoku/>
        <w:wordWrap/>
        <w:overflowPunct/>
        <w:topLinePunct w:val="0"/>
        <w:autoSpaceDE/>
        <w:autoSpaceDN/>
        <w:bidi w:val="0"/>
        <w:adjustRightInd/>
        <w:snapToGrid/>
        <w:spacing w:line="680" w:lineRule="exact"/>
        <w:jc w:val="center"/>
        <w:textAlignment w:val="auto"/>
        <w:rPr>
          <w:rFonts w:hint="eastAsia" w:ascii="微软雅黑" w:hAnsi="微软雅黑" w:eastAsia="微软雅黑" w:cs="微软雅黑"/>
          <w:b w:val="0"/>
          <w:bCs/>
          <w:spacing w:val="-11"/>
          <w:sz w:val="44"/>
          <w:szCs w:val="44"/>
        </w:rPr>
      </w:pPr>
      <w:r>
        <w:rPr>
          <w:rFonts w:hint="eastAsia" w:ascii="微软雅黑" w:hAnsi="微软雅黑" w:eastAsia="微软雅黑" w:cs="微软雅黑"/>
          <w:b w:val="0"/>
          <w:bCs/>
          <w:spacing w:val="-11"/>
          <w:sz w:val="44"/>
          <w:szCs w:val="44"/>
        </w:rPr>
        <w:t>《</w:t>
      </w:r>
      <w:r>
        <w:rPr>
          <w:rFonts w:hint="eastAsia" w:ascii="微软雅黑" w:hAnsi="微软雅黑" w:eastAsia="微软雅黑" w:cs="微软雅黑"/>
          <w:b w:val="0"/>
          <w:bCs/>
          <w:spacing w:val="-11"/>
          <w:sz w:val="44"/>
          <w:szCs w:val="44"/>
          <w:lang w:eastAsia="zh-CN"/>
        </w:rPr>
        <w:t>嘉荫县</w:t>
      </w:r>
      <w:r>
        <w:rPr>
          <w:rFonts w:hint="eastAsia" w:ascii="微软雅黑" w:hAnsi="微软雅黑" w:eastAsia="微软雅黑" w:cs="微软雅黑"/>
          <w:b w:val="0"/>
          <w:bCs/>
          <w:spacing w:val="-11"/>
          <w:sz w:val="44"/>
          <w:szCs w:val="44"/>
        </w:rPr>
        <w:t>养殖水域滩涂规划（</w:t>
      </w:r>
      <w:r>
        <w:rPr>
          <w:rFonts w:hint="eastAsia" w:ascii="微软雅黑" w:hAnsi="微软雅黑" w:eastAsia="微软雅黑" w:cs="微软雅黑"/>
          <w:b w:val="0"/>
          <w:bCs/>
          <w:spacing w:val="-11"/>
          <w:sz w:val="44"/>
          <w:szCs w:val="44"/>
          <w:lang w:eastAsia="zh-CN"/>
        </w:rPr>
        <w:t>2018—</w:t>
      </w:r>
      <w:r>
        <w:rPr>
          <w:rFonts w:hint="eastAsia" w:ascii="微软雅黑" w:hAnsi="微软雅黑" w:eastAsia="微软雅黑" w:cs="微软雅黑"/>
          <w:b w:val="0"/>
          <w:bCs/>
          <w:spacing w:val="-11"/>
          <w:sz w:val="44"/>
          <w:szCs w:val="44"/>
        </w:rPr>
        <w:t>2030）</w:t>
      </w:r>
    </w:p>
    <w:p w14:paraId="53C26ABA">
      <w:pPr>
        <w:keepNext w:val="0"/>
        <w:keepLines w:val="0"/>
        <w:pageBreakBefore w:val="0"/>
        <w:widowControl w:val="0"/>
        <w:tabs>
          <w:tab w:val="left" w:pos="993"/>
        </w:tabs>
        <w:kinsoku/>
        <w:wordWrap/>
        <w:overflowPunct/>
        <w:topLinePunct w:val="0"/>
        <w:autoSpaceDE/>
        <w:autoSpaceDN/>
        <w:bidi w:val="0"/>
        <w:adjustRightInd/>
        <w:snapToGrid/>
        <w:spacing w:line="680" w:lineRule="exact"/>
        <w:jc w:val="center"/>
        <w:textAlignment w:val="auto"/>
        <w:rPr>
          <w:rFonts w:hint="default" w:ascii="微软雅黑" w:hAnsi="微软雅黑" w:eastAsia="微软雅黑" w:cs="微软雅黑"/>
          <w:b w:val="0"/>
          <w:bCs/>
          <w:color w:val="000000" w:themeColor="text1"/>
          <w:sz w:val="44"/>
          <w:szCs w:val="44"/>
          <w:lang w:val="en-US" w:eastAsia="zh-CN"/>
          <w14:textFill>
            <w14:solidFill>
              <w14:schemeClr w14:val="tx1"/>
            </w14:solidFill>
          </w14:textFill>
        </w:rPr>
      </w:pPr>
      <w:r>
        <w:rPr>
          <w:rFonts w:hint="eastAsia" w:ascii="微软雅黑" w:hAnsi="微软雅黑" w:eastAsia="微软雅黑" w:cs="微软雅黑"/>
          <w:b w:val="0"/>
          <w:bCs/>
          <w:spacing w:val="-11"/>
          <w:sz w:val="44"/>
          <w:szCs w:val="44"/>
        </w:rPr>
        <w:t>（</w:t>
      </w:r>
      <w:r>
        <w:rPr>
          <w:rFonts w:hint="eastAsia" w:ascii="微软雅黑" w:hAnsi="微软雅黑" w:eastAsia="微软雅黑" w:cs="微软雅黑"/>
          <w:b w:val="0"/>
          <w:bCs/>
          <w:spacing w:val="-11"/>
          <w:sz w:val="44"/>
          <w:szCs w:val="44"/>
          <w:lang w:val="en-US" w:eastAsia="zh-CN"/>
        </w:rPr>
        <w:t>2025年</w:t>
      </w:r>
      <w:r>
        <w:rPr>
          <w:rFonts w:hint="eastAsia" w:ascii="微软雅黑" w:hAnsi="微软雅黑" w:eastAsia="微软雅黑" w:cs="微软雅黑"/>
          <w:b w:val="0"/>
          <w:bCs/>
          <w:spacing w:val="-11"/>
          <w:sz w:val="44"/>
          <w:szCs w:val="44"/>
        </w:rPr>
        <w:t>修订）》</w:t>
      </w:r>
      <w:r>
        <w:rPr>
          <w:rFonts w:hint="eastAsia" w:ascii="微软雅黑" w:hAnsi="微软雅黑" w:eastAsia="微软雅黑" w:cs="微软雅黑"/>
          <w:b w:val="0"/>
          <w:bCs/>
          <w:sz w:val="44"/>
          <w:szCs w:val="44"/>
        </w:rPr>
        <w:t>编</w:t>
      </w:r>
      <w:r>
        <w:rPr>
          <w:rFonts w:hint="eastAsia" w:ascii="微软雅黑" w:hAnsi="微软雅黑" w:eastAsia="微软雅黑" w:cs="微软雅黑"/>
          <w:b w:val="0"/>
          <w:bCs/>
          <w:color w:val="000000" w:themeColor="text1"/>
          <w:sz w:val="44"/>
          <w:szCs w:val="44"/>
          <w14:textFill>
            <w14:solidFill>
              <w14:schemeClr w14:val="tx1"/>
            </w14:solidFill>
          </w14:textFill>
        </w:rPr>
        <w:t>制</w:t>
      </w:r>
      <w:r>
        <w:rPr>
          <w:rFonts w:hint="eastAsia" w:ascii="微软雅黑" w:hAnsi="微软雅黑" w:eastAsia="微软雅黑" w:cs="微软雅黑"/>
          <w:b w:val="0"/>
          <w:bCs/>
          <w:color w:val="000000" w:themeColor="text1"/>
          <w:sz w:val="44"/>
          <w:szCs w:val="44"/>
          <w:lang w:val="en-US" w:eastAsia="zh-CN"/>
          <w14:textFill>
            <w14:solidFill>
              <w14:schemeClr w14:val="tx1"/>
            </w14:solidFill>
          </w14:textFill>
        </w:rPr>
        <w:t>技术指导组</w:t>
      </w:r>
    </w:p>
    <w:p w14:paraId="0AAC2D71">
      <w:pPr>
        <w:ind w:left="3120" w:leftChars="200" w:hanging="2560" w:hangingChars="800"/>
        <w:rPr>
          <w:rFonts w:hint="eastAsia" w:ascii="仿宋_GB2312" w:hAnsi="仿宋_GB2312" w:eastAsia="仿宋_GB2312" w:cs="仿宋_GB2312"/>
          <w:sz w:val="32"/>
          <w:szCs w:val="32"/>
        </w:rPr>
      </w:pPr>
    </w:p>
    <w:p w14:paraId="75EF3C32">
      <w:pPr>
        <w:ind w:left="3120" w:leftChars="200" w:hanging="2560" w:hangingChars="800"/>
        <w:rPr>
          <w:rFonts w:hint="eastAsia" w:ascii="仿宋_GB2312" w:hAnsi="仿宋_GB2312" w:eastAsia="仿宋_GB2312" w:cs="仿宋_GB2312"/>
          <w:sz w:val="32"/>
          <w:szCs w:val="32"/>
        </w:rPr>
      </w:pPr>
    </w:p>
    <w:p w14:paraId="5B76E5D2">
      <w:pPr>
        <w:ind w:left="3529" w:leftChars="228" w:hanging="2891" w:hangingChars="900"/>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rPr>
        <w:t xml:space="preserve">组  </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长：</w:t>
      </w:r>
      <w:r>
        <w:rPr>
          <w:rFonts w:hint="eastAsia" w:ascii="仿宋_GB2312" w:hAnsi="仿宋_GB2312" w:eastAsia="仿宋_GB2312" w:cs="仿宋_GB2312"/>
          <w:sz w:val="32"/>
          <w:szCs w:val="32"/>
        </w:rPr>
        <w:t>姚德鑫</w:t>
      </w:r>
      <w:r>
        <w:rPr>
          <w:rFonts w:hint="eastAsia" w:ascii="仿宋_GB2312" w:hAnsi="仿宋_GB2312" w:eastAsia="仿宋_GB2312" w:cs="仿宋_GB2312"/>
          <w:sz w:val="32"/>
          <w:szCs w:val="32"/>
          <w:highlight w:val="none"/>
        </w:rPr>
        <w:t>（黑龙江省水生动物资源养护中心</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嘉荫县水产总站</w:t>
      </w:r>
      <w:r>
        <w:rPr>
          <w:rFonts w:hint="eastAsia" w:ascii="仿宋_GB2312" w:hAnsi="仿宋_GB2312" w:eastAsia="仿宋_GB2312" w:cs="仿宋_GB2312"/>
          <w:sz w:val="32"/>
          <w:szCs w:val="32"/>
          <w:highlight w:val="none"/>
          <w:lang w:val="en-US" w:eastAsia="zh-CN"/>
        </w:rPr>
        <w:t>副站长</w:t>
      </w:r>
      <w:r>
        <w:rPr>
          <w:rFonts w:hint="eastAsia" w:ascii="仿宋_GB2312" w:hAnsi="仿宋_GB2312" w:eastAsia="仿宋_GB2312" w:cs="仿宋_GB2312"/>
          <w:sz w:val="32"/>
          <w:szCs w:val="32"/>
          <w:highlight w:val="none"/>
        </w:rPr>
        <w:t>）</w:t>
      </w:r>
    </w:p>
    <w:p w14:paraId="231B6ABA">
      <w:pPr>
        <w:ind w:firstLine="643"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lang w:val="en-US" w:eastAsia="zh-CN"/>
        </w:rPr>
        <w:t>副 组 长</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sz w:val="32"/>
          <w:szCs w:val="32"/>
          <w:highlight w:val="none"/>
          <w:lang w:val="en-US" w:eastAsia="zh-CN"/>
        </w:rPr>
        <w:t>孙云峰</w:t>
      </w:r>
      <w:r>
        <w:rPr>
          <w:rFonts w:hint="eastAsia" w:ascii="仿宋_GB2312" w:hAnsi="仿宋_GB2312" w:eastAsia="仿宋_GB2312" w:cs="仿宋_GB2312"/>
          <w:sz w:val="32"/>
          <w:szCs w:val="32"/>
          <w:highlight w:val="none"/>
        </w:rPr>
        <w:t>（嘉荫县水产总站</w:t>
      </w:r>
      <w:r>
        <w:rPr>
          <w:rFonts w:hint="eastAsia" w:ascii="仿宋_GB2312" w:hAnsi="仿宋_GB2312" w:eastAsia="仿宋_GB2312" w:cs="仿宋_GB2312"/>
          <w:sz w:val="32"/>
          <w:szCs w:val="32"/>
          <w:highlight w:val="none"/>
          <w:lang w:val="en-US" w:eastAsia="zh-CN"/>
        </w:rPr>
        <w:t>党支部副书记</w:t>
      </w:r>
      <w:r>
        <w:rPr>
          <w:rFonts w:hint="eastAsia" w:ascii="仿宋_GB2312" w:hAnsi="仿宋_GB2312" w:eastAsia="仿宋_GB2312" w:cs="仿宋_GB2312"/>
          <w:sz w:val="32"/>
          <w:szCs w:val="32"/>
          <w:highlight w:val="none"/>
        </w:rPr>
        <w:t>）</w:t>
      </w:r>
    </w:p>
    <w:p w14:paraId="58AB1C0B">
      <w:pPr>
        <w:ind w:firstLine="643"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lang w:val="en-US" w:eastAsia="zh-CN"/>
        </w:rPr>
        <w:t>组    员：</w:t>
      </w:r>
      <w:r>
        <w:rPr>
          <w:rFonts w:hint="eastAsia" w:ascii="仿宋_GB2312" w:hAnsi="仿宋_GB2312" w:eastAsia="仿宋_GB2312" w:cs="仿宋_GB2312"/>
          <w:sz w:val="32"/>
          <w:szCs w:val="32"/>
          <w:highlight w:val="none"/>
        </w:rPr>
        <w:t>王  锐（嘉荫县水产总站）</w:t>
      </w:r>
    </w:p>
    <w:p w14:paraId="734409E6">
      <w:pPr>
        <w:ind w:firstLine="2240" w:firstLineChars="7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张美琪（嘉荫县水产总站）</w:t>
      </w:r>
    </w:p>
    <w:p w14:paraId="0DFF7E42">
      <w:pPr>
        <w:ind w:firstLine="2256" w:firstLineChars="705"/>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冉舜臣（嘉荫县水产总站）</w:t>
      </w:r>
    </w:p>
    <w:p w14:paraId="29E50798">
      <w:pPr>
        <w:ind w:firstLine="640" w:firstLineChars="200"/>
        <w:rPr>
          <w:rFonts w:hint="eastAsia" w:ascii="仿宋_GB2312" w:hAnsi="仿宋_GB2312" w:eastAsia="仿宋_GB2312" w:cs="仿宋_GB2312"/>
          <w:sz w:val="32"/>
          <w:szCs w:val="32"/>
          <w:highlight w:val="none"/>
          <w:lang w:val="en-US" w:eastAsia="zh-CN"/>
        </w:rPr>
      </w:pPr>
    </w:p>
    <w:p w14:paraId="47EA35F2">
      <w:pPr>
        <w:ind w:firstLine="643"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外聘专家</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sz w:val="32"/>
          <w:szCs w:val="32"/>
          <w:highlight w:val="none"/>
          <w:lang w:val="en-US" w:eastAsia="zh-CN"/>
        </w:rPr>
        <w:t>李  宏 （黑龙江省国土空间规划研究院）</w:t>
      </w:r>
    </w:p>
    <w:p w14:paraId="59B2C0FB">
      <w:pPr>
        <w:tabs>
          <w:tab w:val="left" w:pos="1982"/>
        </w:tabs>
        <w:ind w:firstLine="2240" w:firstLineChars="7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徐革锋 （中国水科院黑龙江水产研究所）</w:t>
      </w:r>
    </w:p>
    <w:p w14:paraId="2EA1C585">
      <w:pPr>
        <w:tabs>
          <w:tab w:val="left" w:pos="1982"/>
        </w:tabs>
        <w:ind w:firstLine="2240" w:firstLineChars="7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杨  秀</w:t>
      </w:r>
      <w:r>
        <w:rPr>
          <w:rFonts w:hint="eastAsia" w:ascii="仿宋_GB2312" w:hAnsi="仿宋_GB2312" w:eastAsia="仿宋_GB2312" w:cs="仿宋_GB2312"/>
          <w:sz w:val="32"/>
          <w:szCs w:val="32"/>
          <w:lang w:val="en-US" w:eastAsia="zh-CN"/>
        </w:rPr>
        <w:t xml:space="preserve"> （黑龙江省水产技术推广总站）</w:t>
      </w:r>
    </w:p>
    <w:p w14:paraId="2B3CC031">
      <w:pPr>
        <w:tabs>
          <w:tab w:val="left" w:pos="1982"/>
        </w:tabs>
        <w:ind w:firstLine="2240" w:firstLineChars="7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陈怀发 （黑龙江省水生动物资源养护中心） </w:t>
      </w:r>
    </w:p>
    <w:p w14:paraId="1EA0C3F7">
      <w:pPr>
        <w:ind w:firstLine="2240" w:firstLineChars="700"/>
        <w:rPr>
          <w:rFonts w:hint="eastAsia" w:ascii="仿宋_GB2312" w:hAnsi="仿宋_GB2312" w:eastAsia="仿宋_GB2312" w:cs="仿宋_GB2312"/>
          <w:sz w:val="32"/>
          <w:szCs w:val="32"/>
          <w:lang w:val="en-US" w:eastAsia="zh-CN"/>
        </w:rPr>
        <w:sectPr>
          <w:pgSz w:w="11907" w:h="16840"/>
          <w:pgMar w:top="1531" w:right="1247" w:bottom="1417" w:left="1417" w:header="851" w:footer="992" w:gutter="0"/>
          <w:pgNumType w:fmt="decimal"/>
          <w:cols w:space="720" w:num="1"/>
          <w:titlePg/>
          <w:rtlGutter w:val="0"/>
          <w:docGrid w:linePitch="312" w:charSpace="0"/>
        </w:sectPr>
      </w:pPr>
      <w:r>
        <w:rPr>
          <w:rFonts w:hint="eastAsia" w:ascii="仿宋_GB2312" w:hAnsi="仿宋_GB2312" w:eastAsia="仿宋_GB2312" w:cs="仿宋_GB2312"/>
          <w:sz w:val="32"/>
          <w:szCs w:val="32"/>
          <w:highlight w:val="none"/>
        </w:rPr>
        <w:t>卢博宇</w:t>
      </w:r>
      <w:r>
        <w:rPr>
          <w:rFonts w:hint="eastAsia" w:ascii="仿宋_GB2312" w:hAnsi="仿宋_GB2312" w:eastAsia="仿宋_GB2312" w:cs="仿宋_GB2312"/>
          <w:sz w:val="32"/>
          <w:szCs w:val="32"/>
          <w:highlight w:val="none"/>
          <w:lang w:val="en-US" w:eastAsia="zh-CN"/>
        </w:rPr>
        <w:t xml:space="preserve"> （黑龙江省农村经济服务与发展研究中心）</w:t>
      </w:r>
    </w:p>
    <w:p w14:paraId="55177357">
      <w:pPr>
        <w:keepNext w:val="0"/>
        <w:keepLines w:val="0"/>
        <w:pageBreakBefore w:val="0"/>
        <w:widowControl w:val="0"/>
        <w:tabs>
          <w:tab w:val="left" w:pos="993"/>
        </w:tabs>
        <w:kinsoku/>
        <w:wordWrap/>
        <w:overflowPunct/>
        <w:topLinePunct w:val="0"/>
        <w:autoSpaceDE/>
        <w:autoSpaceDN/>
        <w:bidi w:val="0"/>
        <w:adjustRightInd/>
        <w:snapToGrid/>
        <w:spacing w:line="680" w:lineRule="exact"/>
        <w:jc w:val="center"/>
        <w:textAlignment w:val="auto"/>
        <w:rPr>
          <w:rFonts w:hint="eastAsia" w:ascii="微软雅黑" w:hAnsi="微软雅黑" w:eastAsia="微软雅黑" w:cs="微软雅黑"/>
          <w:b w:val="0"/>
          <w:bCs/>
          <w:spacing w:val="-11"/>
          <w:sz w:val="44"/>
          <w:szCs w:val="44"/>
        </w:rPr>
      </w:pPr>
      <w:r>
        <w:rPr>
          <w:rFonts w:hint="eastAsia" w:ascii="微软雅黑" w:hAnsi="微软雅黑" w:eastAsia="微软雅黑" w:cs="微软雅黑"/>
          <w:b w:val="0"/>
          <w:bCs/>
          <w:spacing w:val="-11"/>
          <w:sz w:val="44"/>
          <w:szCs w:val="44"/>
        </w:rPr>
        <w:t>《</w:t>
      </w:r>
      <w:r>
        <w:rPr>
          <w:rFonts w:hint="eastAsia" w:ascii="微软雅黑" w:hAnsi="微软雅黑" w:eastAsia="微软雅黑" w:cs="微软雅黑"/>
          <w:b w:val="0"/>
          <w:bCs/>
          <w:spacing w:val="-11"/>
          <w:sz w:val="44"/>
          <w:szCs w:val="44"/>
          <w:lang w:eastAsia="zh-CN"/>
        </w:rPr>
        <w:t>嘉荫县</w:t>
      </w:r>
      <w:r>
        <w:rPr>
          <w:rFonts w:hint="eastAsia" w:ascii="微软雅黑" w:hAnsi="微软雅黑" w:eastAsia="微软雅黑" w:cs="微软雅黑"/>
          <w:b w:val="0"/>
          <w:bCs/>
          <w:spacing w:val="-11"/>
          <w:sz w:val="44"/>
          <w:szCs w:val="44"/>
        </w:rPr>
        <w:t>养殖水域滩涂规划（</w:t>
      </w:r>
      <w:r>
        <w:rPr>
          <w:rFonts w:hint="eastAsia" w:ascii="微软雅黑" w:hAnsi="微软雅黑" w:eastAsia="微软雅黑" w:cs="微软雅黑"/>
          <w:b w:val="0"/>
          <w:bCs/>
          <w:spacing w:val="-11"/>
          <w:sz w:val="44"/>
          <w:szCs w:val="44"/>
          <w:lang w:eastAsia="zh-CN"/>
        </w:rPr>
        <w:t>2018—</w:t>
      </w:r>
      <w:r>
        <w:rPr>
          <w:rFonts w:hint="eastAsia" w:ascii="微软雅黑" w:hAnsi="微软雅黑" w:eastAsia="微软雅黑" w:cs="微软雅黑"/>
          <w:b w:val="0"/>
          <w:bCs/>
          <w:spacing w:val="-11"/>
          <w:sz w:val="44"/>
          <w:szCs w:val="44"/>
        </w:rPr>
        <w:t>2030）</w:t>
      </w:r>
    </w:p>
    <w:p w14:paraId="6102D338">
      <w:pPr>
        <w:keepNext w:val="0"/>
        <w:keepLines w:val="0"/>
        <w:pageBreakBefore w:val="0"/>
        <w:widowControl w:val="0"/>
        <w:tabs>
          <w:tab w:val="left" w:pos="993"/>
        </w:tabs>
        <w:kinsoku/>
        <w:wordWrap/>
        <w:overflowPunct/>
        <w:topLinePunct w:val="0"/>
        <w:autoSpaceDE/>
        <w:autoSpaceDN/>
        <w:bidi w:val="0"/>
        <w:adjustRightInd/>
        <w:snapToGrid/>
        <w:spacing w:line="680" w:lineRule="exact"/>
        <w:jc w:val="center"/>
        <w:textAlignment w:val="auto"/>
        <w:rPr>
          <w:rFonts w:hint="eastAsia" w:ascii="微软雅黑" w:hAnsi="微软雅黑" w:eastAsia="微软雅黑" w:cs="微软雅黑"/>
          <w:b w:val="0"/>
          <w:bCs/>
          <w:sz w:val="44"/>
          <w:szCs w:val="44"/>
          <w:lang w:eastAsia="zh-CN"/>
        </w:rPr>
      </w:pPr>
      <w:r>
        <w:rPr>
          <w:rFonts w:hint="eastAsia" w:ascii="微软雅黑" w:hAnsi="微软雅黑" w:eastAsia="微软雅黑" w:cs="微软雅黑"/>
          <w:b w:val="0"/>
          <w:bCs/>
          <w:spacing w:val="-11"/>
          <w:sz w:val="44"/>
          <w:szCs w:val="44"/>
        </w:rPr>
        <w:t>（</w:t>
      </w:r>
      <w:r>
        <w:rPr>
          <w:rFonts w:hint="eastAsia" w:ascii="微软雅黑" w:hAnsi="微软雅黑" w:eastAsia="微软雅黑" w:cs="微软雅黑"/>
          <w:b w:val="0"/>
          <w:bCs/>
          <w:spacing w:val="-11"/>
          <w:sz w:val="44"/>
          <w:szCs w:val="44"/>
          <w:lang w:val="en-US" w:eastAsia="zh-CN"/>
        </w:rPr>
        <w:t>2025年</w:t>
      </w:r>
      <w:r>
        <w:rPr>
          <w:rFonts w:hint="eastAsia" w:ascii="微软雅黑" w:hAnsi="微软雅黑" w:eastAsia="微软雅黑" w:cs="微软雅黑"/>
          <w:b w:val="0"/>
          <w:bCs/>
          <w:spacing w:val="-11"/>
          <w:sz w:val="44"/>
          <w:szCs w:val="44"/>
        </w:rPr>
        <w:t>修订）》</w:t>
      </w:r>
      <w:r>
        <w:rPr>
          <w:rFonts w:hint="eastAsia" w:ascii="微软雅黑" w:hAnsi="微软雅黑" w:eastAsia="微软雅黑" w:cs="微软雅黑"/>
          <w:b w:val="0"/>
          <w:bCs/>
          <w:sz w:val="44"/>
          <w:szCs w:val="44"/>
          <w:lang w:val="en-US" w:eastAsia="zh-CN"/>
        </w:rPr>
        <w:t>编制单位</w:t>
      </w:r>
    </w:p>
    <w:p w14:paraId="417FBD02">
      <w:pPr>
        <w:ind w:firstLine="565" w:firstLineChars="202"/>
        <w:rPr>
          <w:rFonts w:hint="eastAsia" w:ascii="仿宋" w:hAnsi="仿宋" w:eastAsia="仿宋"/>
          <w:szCs w:val="28"/>
          <w:lang w:val="en-US" w:eastAsia="zh-CN"/>
        </w:rPr>
      </w:pPr>
    </w:p>
    <w:p w14:paraId="255CB766">
      <w:pPr>
        <w:ind w:left="3529" w:leftChars="228" w:hanging="2891" w:hangingChars="9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编制单位：</w:t>
      </w:r>
      <w:r>
        <w:rPr>
          <w:rFonts w:hint="eastAsia" w:ascii="仿宋_GB2312" w:hAnsi="仿宋_GB2312" w:eastAsia="仿宋_GB2312" w:cs="仿宋_GB2312"/>
          <w:sz w:val="32"/>
          <w:szCs w:val="32"/>
          <w:lang w:val="en-US" w:eastAsia="zh-CN"/>
        </w:rPr>
        <w:t>黑龙江绿野工程咨询有限公司</w:t>
      </w:r>
    </w:p>
    <w:p w14:paraId="573FDD1D">
      <w:pPr>
        <w:ind w:firstLine="643"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组    长：</w:t>
      </w:r>
      <w:r>
        <w:rPr>
          <w:rFonts w:hint="eastAsia" w:ascii="仿宋_GB2312" w:hAnsi="仿宋_GB2312" w:eastAsia="仿宋_GB2312" w:cs="仿宋_GB2312"/>
          <w:sz w:val="32"/>
          <w:szCs w:val="32"/>
          <w:lang w:val="en-US" w:eastAsia="zh-CN"/>
        </w:rPr>
        <w:t>付国库  高级工程师</w:t>
      </w:r>
    </w:p>
    <w:p w14:paraId="5544FCA1">
      <w:pPr>
        <w:ind w:firstLine="643"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成    员：</w:t>
      </w:r>
      <w:r>
        <w:rPr>
          <w:rFonts w:hint="eastAsia" w:ascii="仿宋_GB2312" w:hAnsi="仿宋_GB2312" w:eastAsia="仿宋_GB2312" w:cs="仿宋_GB2312"/>
          <w:sz w:val="32"/>
          <w:szCs w:val="32"/>
          <w:lang w:val="en-US" w:eastAsia="zh-CN"/>
        </w:rPr>
        <w:t>千喜俊  工程师</w:t>
      </w:r>
    </w:p>
    <w:p w14:paraId="401D1752">
      <w:pPr>
        <w:ind w:firstLine="2240" w:firstLineChars="7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王福胜  工程师</w:t>
      </w:r>
    </w:p>
    <w:p w14:paraId="317EF24E">
      <w:pPr>
        <w:ind w:firstLine="2240" w:firstLineChars="7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苏冰冰</w:t>
      </w:r>
    </w:p>
    <w:p w14:paraId="0FB51B67">
      <w:pPr>
        <w:ind w:firstLine="2240" w:firstLineChars="7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祝自忠</w:t>
      </w:r>
    </w:p>
    <w:p w14:paraId="4AB2BD48">
      <w:pPr>
        <w:ind w:left="3514" w:leftChars="798" w:hanging="1280" w:hangingChars="400"/>
        <w:rPr>
          <w:rFonts w:hint="eastAsia" w:ascii="仿宋_GB2312" w:hAnsi="仿宋_GB2312" w:eastAsia="仿宋_GB2312" w:cs="仿宋_GB2312"/>
          <w:sz w:val="32"/>
          <w:szCs w:val="32"/>
          <w:lang w:val="en-US" w:eastAsia="zh-CN"/>
        </w:rPr>
        <w:sectPr>
          <w:pgSz w:w="11906" w:h="16838"/>
          <w:pgMar w:top="1531" w:right="1247" w:bottom="1417" w:left="1417" w:header="851" w:footer="992" w:gutter="0"/>
          <w:pgNumType w:fmt="decimal"/>
          <w:cols w:space="425" w:num="1"/>
          <w:rtlGutter w:val="0"/>
          <w:docGrid w:type="lines" w:linePitch="312" w:charSpace="0"/>
        </w:sectPr>
      </w:pPr>
    </w:p>
    <w:sdt>
      <w:sdtPr>
        <w:rPr>
          <w:rFonts w:ascii="宋体" w:hAnsi="宋体" w:eastAsia="宋体" w:cs="Times New Roman"/>
          <w:kern w:val="2"/>
          <w:sz w:val="21"/>
          <w:szCs w:val="22"/>
          <w:lang w:val="en-US" w:eastAsia="zh-CN" w:bidi="ar-SA"/>
        </w:rPr>
        <w:id w:val="147476927"/>
        <w15:color w:val="DBDBDB"/>
        <w:docPartObj>
          <w:docPartGallery w:val="Table of Contents"/>
          <w:docPartUnique/>
        </w:docPartObj>
      </w:sdtPr>
      <w:sdtEndPr>
        <w:rPr>
          <w:rFonts w:hint="eastAsia" w:ascii="黑体" w:hAnsi="黑体" w:eastAsia="黑体" w:cs="Times New Roman"/>
          <w:kern w:val="2"/>
          <w:sz w:val="28"/>
          <w:szCs w:val="32"/>
          <w:highlight w:val="none"/>
          <w:lang w:val="en-US" w:eastAsia="zh-CN" w:bidi="ar-SA"/>
        </w:rPr>
      </w:sdtEndPr>
      <w:sdtContent>
        <w:p w14:paraId="029A2425">
          <w:pPr>
            <w:spacing w:before="0" w:beforeLines="0" w:after="0" w:afterLines="0" w:line="240" w:lineRule="auto"/>
            <w:ind w:left="0" w:leftChars="0" w:right="0" w:rightChars="0" w:firstLine="0" w:firstLineChars="0"/>
            <w:jc w:val="center"/>
          </w:pPr>
          <w:r>
            <w:rPr>
              <w:rFonts w:ascii="宋体" w:hAnsi="宋体" w:eastAsia="宋体"/>
              <w:sz w:val="28"/>
              <w:szCs w:val="28"/>
            </w:rPr>
            <w:t>目</w:t>
          </w:r>
          <w:r>
            <w:rPr>
              <w:rFonts w:hint="eastAsia" w:ascii="宋体" w:hAnsi="宋体" w:eastAsia="宋体"/>
              <w:sz w:val="28"/>
              <w:szCs w:val="28"/>
              <w:lang w:val="en-US" w:eastAsia="zh-CN"/>
            </w:rPr>
            <w:t xml:space="preserve"> </w:t>
          </w:r>
          <w:r>
            <w:rPr>
              <w:rFonts w:hint="eastAsia" w:ascii="宋体" w:hAnsi="宋体"/>
              <w:sz w:val="28"/>
              <w:szCs w:val="28"/>
              <w:lang w:val="en-US" w:eastAsia="zh-CN"/>
            </w:rPr>
            <w:t xml:space="preserve"> </w:t>
          </w:r>
          <w:r>
            <w:rPr>
              <w:rFonts w:ascii="宋体" w:hAnsi="宋体" w:eastAsia="宋体"/>
              <w:sz w:val="28"/>
              <w:szCs w:val="28"/>
            </w:rPr>
            <w:t>录</w:t>
          </w:r>
        </w:p>
        <w:p w14:paraId="49999F4A">
          <w:pPr>
            <w:pStyle w:val="10"/>
            <w:tabs>
              <w:tab w:val="right" w:leader="dot" w:pos="9242"/>
            </w:tabs>
          </w:pPr>
          <w:r>
            <w:rPr>
              <w:rFonts w:hint="eastAsia" w:ascii="黑体" w:hAnsi="黑体" w:eastAsia="黑体"/>
              <w:sz w:val="32"/>
              <w:szCs w:val="32"/>
              <w:highlight w:val="none"/>
              <w:lang w:val="en-US" w:eastAsia="zh-CN"/>
            </w:rPr>
            <w:fldChar w:fldCharType="begin"/>
          </w:r>
          <w:r>
            <w:rPr>
              <w:rFonts w:hint="eastAsia" w:ascii="黑体" w:hAnsi="黑体" w:eastAsia="黑体"/>
              <w:sz w:val="32"/>
              <w:szCs w:val="32"/>
              <w:highlight w:val="none"/>
              <w:lang w:val="en-US" w:eastAsia="zh-CN"/>
            </w:rPr>
            <w:instrText xml:space="preserve">TOC \o "1-2" \h \u </w:instrText>
          </w:r>
          <w:r>
            <w:rPr>
              <w:rFonts w:hint="eastAsia" w:ascii="黑体" w:hAnsi="黑体" w:eastAsia="黑体"/>
              <w:sz w:val="32"/>
              <w:szCs w:val="32"/>
              <w:highlight w:val="none"/>
              <w:lang w:val="en-US" w:eastAsia="zh-CN"/>
            </w:rPr>
            <w:fldChar w:fldCharType="separate"/>
          </w: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_Toc19957 </w:instrText>
          </w:r>
          <w:r>
            <w:rPr>
              <w:rFonts w:hint="eastAsia" w:ascii="黑体" w:hAnsi="黑体" w:eastAsia="黑体"/>
              <w:szCs w:val="32"/>
              <w:highlight w:val="none"/>
              <w:lang w:val="en-US" w:eastAsia="zh-CN"/>
            </w:rPr>
            <w:fldChar w:fldCharType="separate"/>
          </w:r>
          <w:r>
            <w:rPr>
              <w:rFonts w:hint="eastAsia" w:ascii="宋体" w:hAnsi="宋体"/>
            </w:rPr>
            <w:t>第一章</w:t>
          </w:r>
          <w:r>
            <w:rPr>
              <w:rFonts w:hint="eastAsia" w:ascii="宋体" w:hAnsi="宋体"/>
              <w:lang w:val="en-US" w:eastAsia="zh-CN"/>
            </w:rPr>
            <w:t xml:space="preserve"> </w:t>
          </w:r>
          <w:r>
            <w:rPr>
              <w:rFonts w:hint="eastAsia" w:ascii="宋体" w:hAnsi="宋体"/>
            </w:rPr>
            <w:t>总则</w:t>
          </w:r>
          <w:r>
            <w:tab/>
          </w:r>
          <w:r>
            <w:fldChar w:fldCharType="begin"/>
          </w:r>
          <w:r>
            <w:instrText xml:space="preserve"> PAGEREF _Toc19957 \h </w:instrText>
          </w:r>
          <w:r>
            <w:fldChar w:fldCharType="separate"/>
          </w:r>
          <w:r>
            <w:t>1</w:t>
          </w:r>
          <w:r>
            <w:fldChar w:fldCharType="end"/>
          </w:r>
          <w:r>
            <w:rPr>
              <w:rFonts w:hint="eastAsia" w:ascii="黑体" w:hAnsi="黑体" w:eastAsia="黑体"/>
              <w:szCs w:val="32"/>
              <w:highlight w:val="none"/>
              <w:lang w:val="en-US" w:eastAsia="zh-CN"/>
            </w:rPr>
            <w:fldChar w:fldCharType="end"/>
          </w:r>
        </w:p>
        <w:p w14:paraId="280367B9">
          <w:pPr>
            <w:pStyle w:val="11"/>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_Toc21207 </w:instrText>
          </w:r>
          <w:r>
            <w:rPr>
              <w:rFonts w:hint="eastAsia" w:ascii="黑体" w:hAnsi="黑体" w:eastAsia="黑体"/>
              <w:szCs w:val="32"/>
              <w:highlight w:val="none"/>
              <w:lang w:val="en-US" w:eastAsia="zh-CN"/>
            </w:rPr>
            <w:fldChar w:fldCharType="separate"/>
          </w:r>
          <w:r>
            <w:rPr>
              <w:rFonts w:ascii="Times New Roman" w:hAnsi="Times New Roman"/>
            </w:rPr>
            <w:t>1.1</w:t>
          </w:r>
          <w:r>
            <w:rPr>
              <w:rFonts w:hint="eastAsia" w:ascii="Times New Roman" w:hAnsi="Times New Roman"/>
              <w:lang w:val="en-US" w:eastAsia="zh-CN"/>
            </w:rPr>
            <w:t xml:space="preserve"> </w:t>
          </w:r>
          <w:r>
            <w:rPr>
              <w:rFonts w:ascii="Times New Roman" w:hAnsi="宋体"/>
            </w:rPr>
            <w:t>前言</w:t>
          </w:r>
          <w:r>
            <w:tab/>
          </w:r>
          <w:r>
            <w:fldChar w:fldCharType="begin"/>
          </w:r>
          <w:r>
            <w:instrText xml:space="preserve"> PAGEREF _Toc21207 \h </w:instrText>
          </w:r>
          <w:r>
            <w:fldChar w:fldCharType="separate"/>
          </w:r>
          <w:r>
            <w:t>1</w:t>
          </w:r>
          <w:r>
            <w:fldChar w:fldCharType="end"/>
          </w:r>
          <w:r>
            <w:rPr>
              <w:rFonts w:hint="eastAsia" w:ascii="黑体" w:hAnsi="黑体" w:eastAsia="黑体"/>
              <w:szCs w:val="32"/>
              <w:highlight w:val="none"/>
              <w:lang w:val="en-US" w:eastAsia="zh-CN"/>
            </w:rPr>
            <w:fldChar w:fldCharType="end"/>
          </w:r>
        </w:p>
        <w:p w14:paraId="6827FF8B">
          <w:pPr>
            <w:pStyle w:val="11"/>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_Toc11771 </w:instrText>
          </w:r>
          <w:r>
            <w:rPr>
              <w:rFonts w:hint="eastAsia" w:ascii="黑体" w:hAnsi="黑体" w:eastAsia="黑体"/>
              <w:szCs w:val="32"/>
              <w:highlight w:val="none"/>
              <w:lang w:val="en-US" w:eastAsia="zh-CN"/>
            </w:rPr>
            <w:fldChar w:fldCharType="separate"/>
          </w:r>
          <w:r>
            <w:rPr>
              <w:rFonts w:ascii="Times New Roman" w:hAnsi="Times New Roman"/>
              <w:lang w:val="en-US" w:eastAsia="zh-CN"/>
            </w:rPr>
            <w:t xml:space="preserve">1.2 </w:t>
          </w:r>
          <w:r>
            <w:rPr>
              <w:rFonts w:hint="eastAsia" w:ascii="Times New Roman" w:hAnsi="Times New Roman"/>
              <w:lang w:val="en-US" w:eastAsia="zh-CN"/>
            </w:rPr>
            <w:t>修订</w:t>
          </w:r>
          <w:r>
            <w:rPr>
              <w:rFonts w:ascii="Times New Roman" w:hAnsi="Times New Roman"/>
              <w:lang w:val="en-US" w:eastAsia="zh-CN"/>
            </w:rPr>
            <w:t>依据</w:t>
          </w:r>
          <w:r>
            <w:tab/>
          </w:r>
          <w:r>
            <w:fldChar w:fldCharType="begin"/>
          </w:r>
          <w:r>
            <w:instrText xml:space="preserve"> PAGEREF _Toc11771 \h </w:instrText>
          </w:r>
          <w:r>
            <w:fldChar w:fldCharType="separate"/>
          </w:r>
          <w:r>
            <w:t>8</w:t>
          </w:r>
          <w:r>
            <w:fldChar w:fldCharType="end"/>
          </w:r>
          <w:r>
            <w:rPr>
              <w:rFonts w:hint="eastAsia" w:ascii="黑体" w:hAnsi="黑体" w:eastAsia="黑体"/>
              <w:szCs w:val="32"/>
              <w:highlight w:val="none"/>
              <w:lang w:val="en-US" w:eastAsia="zh-CN"/>
            </w:rPr>
            <w:fldChar w:fldCharType="end"/>
          </w:r>
        </w:p>
        <w:p w14:paraId="7D3A9C5B">
          <w:pPr>
            <w:pStyle w:val="11"/>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_Toc21219 </w:instrText>
          </w:r>
          <w:r>
            <w:rPr>
              <w:rFonts w:hint="eastAsia" w:ascii="黑体" w:hAnsi="黑体" w:eastAsia="黑体"/>
              <w:szCs w:val="32"/>
              <w:highlight w:val="none"/>
              <w:lang w:val="en-US" w:eastAsia="zh-CN"/>
            </w:rPr>
            <w:fldChar w:fldCharType="separate"/>
          </w:r>
          <w:r>
            <w:rPr>
              <w:rFonts w:ascii="Times New Roman" w:hAnsi="Times New Roman" w:eastAsia="仿宋"/>
            </w:rPr>
            <w:t xml:space="preserve">1.3 </w:t>
          </w:r>
          <w:r>
            <w:rPr>
              <w:rFonts w:ascii="宋体" w:hAnsi="宋体"/>
            </w:rPr>
            <w:t>目标任务</w:t>
          </w:r>
          <w:r>
            <w:tab/>
          </w:r>
          <w:r>
            <w:fldChar w:fldCharType="begin"/>
          </w:r>
          <w:r>
            <w:instrText xml:space="preserve"> PAGEREF _Toc21219 \h </w:instrText>
          </w:r>
          <w:r>
            <w:fldChar w:fldCharType="separate"/>
          </w:r>
          <w:r>
            <w:t>10</w:t>
          </w:r>
          <w:r>
            <w:fldChar w:fldCharType="end"/>
          </w:r>
          <w:r>
            <w:rPr>
              <w:rFonts w:hint="eastAsia" w:ascii="黑体" w:hAnsi="黑体" w:eastAsia="黑体"/>
              <w:szCs w:val="32"/>
              <w:highlight w:val="none"/>
              <w:lang w:val="en-US" w:eastAsia="zh-CN"/>
            </w:rPr>
            <w:fldChar w:fldCharType="end"/>
          </w:r>
        </w:p>
        <w:p w14:paraId="146BCF14">
          <w:pPr>
            <w:pStyle w:val="11"/>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_Toc9758 </w:instrText>
          </w:r>
          <w:r>
            <w:rPr>
              <w:rFonts w:hint="eastAsia" w:ascii="黑体" w:hAnsi="黑体" w:eastAsia="黑体"/>
              <w:szCs w:val="32"/>
              <w:highlight w:val="none"/>
              <w:lang w:val="en-US" w:eastAsia="zh-CN"/>
            </w:rPr>
            <w:fldChar w:fldCharType="separate"/>
          </w:r>
          <w:r>
            <w:rPr>
              <w:rFonts w:ascii="Times New Roman" w:hAnsi="Times New Roman"/>
            </w:rPr>
            <w:t>1.4</w:t>
          </w:r>
          <w:r>
            <w:rPr>
              <w:rFonts w:hint="eastAsia" w:ascii="Times New Roman" w:hAnsi="Times New Roman"/>
              <w:lang w:val="en-US" w:eastAsia="zh-CN"/>
            </w:rPr>
            <w:t xml:space="preserve"> 规划修订的</w:t>
          </w:r>
          <w:r>
            <w:rPr>
              <w:rFonts w:ascii="Times New Roman" w:hAnsi="宋体"/>
            </w:rPr>
            <w:t>基本原则</w:t>
          </w:r>
          <w:r>
            <w:tab/>
          </w:r>
          <w:r>
            <w:fldChar w:fldCharType="begin"/>
          </w:r>
          <w:r>
            <w:instrText xml:space="preserve"> PAGEREF _Toc9758 \h </w:instrText>
          </w:r>
          <w:r>
            <w:fldChar w:fldCharType="separate"/>
          </w:r>
          <w:r>
            <w:t>12</w:t>
          </w:r>
          <w:r>
            <w:fldChar w:fldCharType="end"/>
          </w:r>
          <w:r>
            <w:rPr>
              <w:rFonts w:hint="eastAsia" w:ascii="黑体" w:hAnsi="黑体" w:eastAsia="黑体"/>
              <w:szCs w:val="32"/>
              <w:highlight w:val="none"/>
              <w:lang w:val="en-US" w:eastAsia="zh-CN"/>
            </w:rPr>
            <w:fldChar w:fldCharType="end"/>
          </w:r>
        </w:p>
        <w:p w14:paraId="790ECC52">
          <w:pPr>
            <w:pStyle w:val="11"/>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_Toc30662 </w:instrText>
          </w:r>
          <w:r>
            <w:rPr>
              <w:rFonts w:hint="eastAsia" w:ascii="黑体" w:hAnsi="黑体" w:eastAsia="黑体"/>
              <w:szCs w:val="32"/>
              <w:highlight w:val="none"/>
              <w:lang w:val="en-US" w:eastAsia="zh-CN"/>
            </w:rPr>
            <w:fldChar w:fldCharType="separate"/>
          </w:r>
          <w:r>
            <w:rPr>
              <w:rFonts w:hint="eastAsia" w:ascii="Times New Roman" w:hAnsi="Times New Roman"/>
              <w:lang w:val="en-US" w:eastAsia="zh-CN"/>
            </w:rPr>
            <w:t>1.5 规划修订的技术路线</w:t>
          </w:r>
          <w:r>
            <w:tab/>
          </w:r>
          <w:r>
            <w:fldChar w:fldCharType="begin"/>
          </w:r>
          <w:r>
            <w:instrText xml:space="preserve"> PAGEREF _Toc30662 \h </w:instrText>
          </w:r>
          <w:r>
            <w:fldChar w:fldCharType="separate"/>
          </w:r>
          <w:r>
            <w:t>13</w:t>
          </w:r>
          <w:r>
            <w:fldChar w:fldCharType="end"/>
          </w:r>
          <w:r>
            <w:rPr>
              <w:rFonts w:hint="eastAsia" w:ascii="黑体" w:hAnsi="黑体" w:eastAsia="黑体"/>
              <w:szCs w:val="32"/>
              <w:highlight w:val="none"/>
              <w:lang w:val="en-US" w:eastAsia="zh-CN"/>
            </w:rPr>
            <w:fldChar w:fldCharType="end"/>
          </w:r>
        </w:p>
        <w:p w14:paraId="1ADBA278">
          <w:pPr>
            <w:pStyle w:val="11"/>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_Toc11574 </w:instrText>
          </w:r>
          <w:r>
            <w:rPr>
              <w:rFonts w:hint="eastAsia" w:ascii="黑体" w:hAnsi="黑体" w:eastAsia="黑体"/>
              <w:szCs w:val="32"/>
              <w:highlight w:val="none"/>
              <w:lang w:val="en-US" w:eastAsia="zh-CN"/>
            </w:rPr>
            <w:fldChar w:fldCharType="separate"/>
          </w:r>
          <w:r>
            <w:rPr>
              <w:rFonts w:ascii="Times New Roman" w:hAnsi="Times New Roman"/>
            </w:rPr>
            <w:t>1.</w:t>
          </w:r>
          <w:r>
            <w:rPr>
              <w:rFonts w:hint="eastAsia" w:ascii="Times New Roman" w:hAnsi="Times New Roman"/>
              <w:lang w:val="en-US" w:eastAsia="zh-CN"/>
            </w:rPr>
            <w:t xml:space="preserve">6 </w:t>
          </w:r>
          <w:r>
            <w:rPr>
              <w:rFonts w:ascii="Times New Roman" w:hAnsi="宋体"/>
            </w:rPr>
            <w:t>规划范围</w:t>
          </w:r>
          <w:r>
            <w:tab/>
          </w:r>
          <w:r>
            <w:fldChar w:fldCharType="begin"/>
          </w:r>
          <w:r>
            <w:instrText xml:space="preserve"> PAGEREF _Toc11574 \h </w:instrText>
          </w:r>
          <w:r>
            <w:fldChar w:fldCharType="separate"/>
          </w:r>
          <w:r>
            <w:t>14</w:t>
          </w:r>
          <w:r>
            <w:fldChar w:fldCharType="end"/>
          </w:r>
          <w:r>
            <w:rPr>
              <w:rFonts w:hint="eastAsia" w:ascii="黑体" w:hAnsi="黑体" w:eastAsia="黑体"/>
              <w:szCs w:val="32"/>
              <w:highlight w:val="none"/>
              <w:lang w:val="en-US" w:eastAsia="zh-CN"/>
            </w:rPr>
            <w:fldChar w:fldCharType="end"/>
          </w:r>
        </w:p>
        <w:p w14:paraId="29998953">
          <w:pPr>
            <w:pStyle w:val="11"/>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_Toc10337 </w:instrText>
          </w:r>
          <w:r>
            <w:rPr>
              <w:rFonts w:hint="eastAsia" w:ascii="黑体" w:hAnsi="黑体" w:eastAsia="黑体"/>
              <w:szCs w:val="32"/>
              <w:highlight w:val="none"/>
              <w:lang w:val="en-US" w:eastAsia="zh-CN"/>
            </w:rPr>
            <w:fldChar w:fldCharType="separate"/>
          </w:r>
          <w:r>
            <w:rPr>
              <w:rFonts w:ascii="Times New Roman" w:hAnsi="Times New Roman"/>
            </w:rPr>
            <w:t>1.</w:t>
          </w:r>
          <w:r>
            <w:rPr>
              <w:rFonts w:hint="eastAsia" w:ascii="Times New Roman" w:hAnsi="Times New Roman"/>
              <w:lang w:val="en-US" w:eastAsia="zh-CN"/>
            </w:rPr>
            <w:t>7 现状调查</w:t>
          </w:r>
          <w:r>
            <w:tab/>
          </w:r>
          <w:r>
            <w:fldChar w:fldCharType="begin"/>
          </w:r>
          <w:r>
            <w:instrText xml:space="preserve"> PAGEREF _Toc10337 \h </w:instrText>
          </w:r>
          <w:r>
            <w:fldChar w:fldCharType="separate"/>
          </w:r>
          <w:r>
            <w:t>15</w:t>
          </w:r>
          <w:r>
            <w:fldChar w:fldCharType="end"/>
          </w:r>
          <w:r>
            <w:rPr>
              <w:rFonts w:hint="eastAsia" w:ascii="黑体" w:hAnsi="黑体" w:eastAsia="黑体"/>
              <w:szCs w:val="32"/>
              <w:highlight w:val="none"/>
              <w:lang w:val="en-US" w:eastAsia="zh-CN"/>
            </w:rPr>
            <w:fldChar w:fldCharType="end"/>
          </w:r>
        </w:p>
        <w:p w14:paraId="3E26B3E4">
          <w:pPr>
            <w:pStyle w:val="10"/>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_Toc21596 </w:instrText>
          </w:r>
          <w:r>
            <w:rPr>
              <w:rFonts w:hint="eastAsia" w:ascii="黑体" w:hAnsi="黑体" w:eastAsia="黑体"/>
              <w:szCs w:val="32"/>
              <w:highlight w:val="none"/>
              <w:lang w:val="en-US" w:eastAsia="zh-CN"/>
            </w:rPr>
            <w:fldChar w:fldCharType="separate"/>
          </w:r>
          <w:r>
            <w:rPr>
              <w:rFonts w:hint="eastAsia"/>
            </w:rPr>
            <w:t>第二章 养殖水域滩涂利用评价</w:t>
          </w:r>
          <w:r>
            <w:tab/>
          </w:r>
          <w:r>
            <w:fldChar w:fldCharType="begin"/>
          </w:r>
          <w:r>
            <w:instrText xml:space="preserve"> PAGEREF _Toc21596 \h </w:instrText>
          </w:r>
          <w:r>
            <w:fldChar w:fldCharType="separate"/>
          </w:r>
          <w:r>
            <w:t>17</w:t>
          </w:r>
          <w:r>
            <w:fldChar w:fldCharType="end"/>
          </w:r>
          <w:r>
            <w:rPr>
              <w:rFonts w:hint="eastAsia" w:ascii="黑体" w:hAnsi="黑体" w:eastAsia="黑体"/>
              <w:szCs w:val="32"/>
              <w:highlight w:val="none"/>
              <w:lang w:val="en-US" w:eastAsia="zh-CN"/>
            </w:rPr>
            <w:fldChar w:fldCharType="end"/>
          </w:r>
        </w:p>
        <w:p w14:paraId="73D1149F">
          <w:pPr>
            <w:pStyle w:val="11"/>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_Toc26657 </w:instrText>
          </w:r>
          <w:r>
            <w:rPr>
              <w:rFonts w:hint="eastAsia" w:ascii="黑体" w:hAnsi="黑体" w:eastAsia="黑体"/>
              <w:szCs w:val="32"/>
              <w:highlight w:val="none"/>
              <w:lang w:val="en-US" w:eastAsia="zh-CN"/>
            </w:rPr>
            <w:fldChar w:fldCharType="separate"/>
          </w:r>
          <w:r>
            <w:rPr>
              <w:rFonts w:ascii="Times New Roman" w:hAnsi="Times New Roman"/>
            </w:rPr>
            <w:t xml:space="preserve">2.1 </w:t>
          </w:r>
          <w:r>
            <w:rPr>
              <w:rFonts w:ascii="Times New Roman" w:hAnsi="宋体"/>
            </w:rPr>
            <w:t>水域滩涂承载力分析</w:t>
          </w:r>
          <w:r>
            <w:tab/>
          </w:r>
          <w:r>
            <w:fldChar w:fldCharType="begin"/>
          </w:r>
          <w:r>
            <w:instrText xml:space="preserve"> PAGEREF _Toc26657 \h </w:instrText>
          </w:r>
          <w:r>
            <w:fldChar w:fldCharType="separate"/>
          </w:r>
          <w:r>
            <w:t>17</w:t>
          </w:r>
          <w:r>
            <w:fldChar w:fldCharType="end"/>
          </w:r>
          <w:r>
            <w:rPr>
              <w:rFonts w:hint="eastAsia" w:ascii="黑体" w:hAnsi="黑体" w:eastAsia="黑体"/>
              <w:szCs w:val="32"/>
              <w:highlight w:val="none"/>
              <w:lang w:val="en-US" w:eastAsia="zh-CN"/>
            </w:rPr>
            <w:fldChar w:fldCharType="end"/>
          </w:r>
        </w:p>
        <w:p w14:paraId="44B0AC43">
          <w:pPr>
            <w:pStyle w:val="11"/>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_Toc21796 </w:instrText>
          </w:r>
          <w:r>
            <w:rPr>
              <w:rFonts w:hint="eastAsia" w:ascii="黑体" w:hAnsi="黑体" w:eastAsia="黑体"/>
              <w:szCs w:val="32"/>
              <w:highlight w:val="none"/>
              <w:lang w:val="en-US" w:eastAsia="zh-CN"/>
            </w:rPr>
            <w:fldChar w:fldCharType="separate"/>
          </w:r>
          <w:r>
            <w:rPr>
              <w:rFonts w:ascii="Times New Roman" w:hAnsi="Times New Roman"/>
            </w:rPr>
            <w:t xml:space="preserve">2.2 </w:t>
          </w:r>
          <w:r>
            <w:rPr>
              <w:rFonts w:ascii="Times New Roman" w:hAnsi="宋体"/>
            </w:rPr>
            <w:t>水产养殖产业发展分析</w:t>
          </w:r>
          <w:r>
            <w:tab/>
          </w:r>
          <w:r>
            <w:fldChar w:fldCharType="begin"/>
          </w:r>
          <w:r>
            <w:instrText xml:space="preserve"> PAGEREF _Toc21796 \h </w:instrText>
          </w:r>
          <w:r>
            <w:fldChar w:fldCharType="separate"/>
          </w:r>
          <w:r>
            <w:t>26</w:t>
          </w:r>
          <w:r>
            <w:fldChar w:fldCharType="end"/>
          </w:r>
          <w:r>
            <w:rPr>
              <w:rFonts w:hint="eastAsia" w:ascii="黑体" w:hAnsi="黑体" w:eastAsia="黑体"/>
              <w:szCs w:val="32"/>
              <w:highlight w:val="none"/>
              <w:lang w:val="en-US" w:eastAsia="zh-CN"/>
            </w:rPr>
            <w:fldChar w:fldCharType="end"/>
          </w:r>
        </w:p>
        <w:p w14:paraId="5353D84A">
          <w:pPr>
            <w:pStyle w:val="11"/>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_Toc1753 </w:instrText>
          </w:r>
          <w:r>
            <w:rPr>
              <w:rFonts w:hint="eastAsia" w:ascii="黑体" w:hAnsi="黑体" w:eastAsia="黑体"/>
              <w:szCs w:val="32"/>
              <w:highlight w:val="none"/>
              <w:lang w:val="en-US" w:eastAsia="zh-CN"/>
            </w:rPr>
            <w:fldChar w:fldCharType="separate"/>
          </w:r>
          <w:r>
            <w:rPr>
              <w:rFonts w:hint="default" w:ascii="Times New Roman" w:hAnsi="Times New Roman"/>
              <w:lang w:val="en-US" w:eastAsia="zh-CN"/>
            </w:rPr>
            <w:t>2.3 养殖水域滩涂开发总体思路</w:t>
          </w:r>
          <w:r>
            <w:tab/>
          </w:r>
          <w:r>
            <w:fldChar w:fldCharType="begin"/>
          </w:r>
          <w:r>
            <w:instrText xml:space="preserve"> PAGEREF _Toc1753 \h </w:instrText>
          </w:r>
          <w:r>
            <w:fldChar w:fldCharType="separate"/>
          </w:r>
          <w:r>
            <w:t>30</w:t>
          </w:r>
          <w:r>
            <w:fldChar w:fldCharType="end"/>
          </w:r>
          <w:r>
            <w:rPr>
              <w:rFonts w:hint="eastAsia" w:ascii="黑体" w:hAnsi="黑体" w:eastAsia="黑体"/>
              <w:szCs w:val="32"/>
              <w:highlight w:val="none"/>
              <w:lang w:val="en-US" w:eastAsia="zh-CN"/>
            </w:rPr>
            <w:fldChar w:fldCharType="end"/>
          </w:r>
        </w:p>
        <w:p w14:paraId="465D991A">
          <w:pPr>
            <w:pStyle w:val="10"/>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_Toc29294 </w:instrText>
          </w:r>
          <w:r>
            <w:rPr>
              <w:rFonts w:hint="eastAsia" w:ascii="黑体" w:hAnsi="黑体" w:eastAsia="黑体"/>
              <w:szCs w:val="32"/>
              <w:highlight w:val="none"/>
              <w:lang w:val="en-US" w:eastAsia="zh-CN"/>
            </w:rPr>
            <w:fldChar w:fldCharType="separate"/>
          </w:r>
          <w:r>
            <w:rPr>
              <w:rFonts w:hint="eastAsia"/>
            </w:rPr>
            <w:t>第三章 养殖水域滩涂功能区划</w:t>
          </w:r>
          <w:r>
            <w:rPr>
              <w:rFonts w:hint="eastAsia"/>
              <w:lang w:val="en-US" w:eastAsia="zh-CN"/>
            </w:rPr>
            <w:t>定</w:t>
          </w:r>
          <w:r>
            <w:tab/>
          </w:r>
          <w:r>
            <w:fldChar w:fldCharType="begin"/>
          </w:r>
          <w:r>
            <w:instrText xml:space="preserve"> PAGEREF _Toc29294 \h </w:instrText>
          </w:r>
          <w:r>
            <w:fldChar w:fldCharType="separate"/>
          </w:r>
          <w:r>
            <w:t>34</w:t>
          </w:r>
          <w:r>
            <w:fldChar w:fldCharType="end"/>
          </w:r>
          <w:r>
            <w:rPr>
              <w:rFonts w:hint="eastAsia" w:ascii="黑体" w:hAnsi="黑体" w:eastAsia="黑体"/>
              <w:szCs w:val="32"/>
              <w:highlight w:val="none"/>
              <w:lang w:val="en-US" w:eastAsia="zh-CN"/>
            </w:rPr>
            <w:fldChar w:fldCharType="end"/>
          </w:r>
        </w:p>
        <w:p w14:paraId="03F1A203">
          <w:pPr>
            <w:pStyle w:val="11"/>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_Toc11454 </w:instrText>
          </w:r>
          <w:r>
            <w:rPr>
              <w:rFonts w:hint="eastAsia" w:ascii="黑体" w:hAnsi="黑体" w:eastAsia="黑体"/>
              <w:szCs w:val="32"/>
              <w:highlight w:val="none"/>
              <w:lang w:val="en-US" w:eastAsia="zh-CN"/>
            </w:rPr>
            <w:fldChar w:fldCharType="separate"/>
          </w:r>
          <w:r>
            <w:rPr>
              <w:rFonts w:ascii="Times New Roman" w:hAnsi="Times New Roman"/>
            </w:rPr>
            <w:t xml:space="preserve">3.1 </w:t>
          </w:r>
          <w:r>
            <w:rPr>
              <w:rFonts w:ascii="Times New Roman" w:hAnsi="宋体"/>
            </w:rPr>
            <w:t>功能区划</w:t>
          </w:r>
          <w:r>
            <w:rPr>
              <w:rFonts w:hint="eastAsia" w:ascii="Times New Roman" w:hAnsi="宋体"/>
              <w:lang w:val="en-US" w:eastAsia="zh-CN"/>
            </w:rPr>
            <w:t>定标准</w:t>
          </w:r>
          <w:r>
            <w:tab/>
          </w:r>
          <w:r>
            <w:fldChar w:fldCharType="begin"/>
          </w:r>
          <w:r>
            <w:instrText xml:space="preserve"> PAGEREF _Toc11454 \h </w:instrText>
          </w:r>
          <w:r>
            <w:fldChar w:fldCharType="separate"/>
          </w:r>
          <w:r>
            <w:t>34</w:t>
          </w:r>
          <w:r>
            <w:fldChar w:fldCharType="end"/>
          </w:r>
          <w:r>
            <w:rPr>
              <w:rFonts w:hint="eastAsia" w:ascii="黑体" w:hAnsi="黑体" w:eastAsia="黑体"/>
              <w:szCs w:val="32"/>
              <w:highlight w:val="none"/>
              <w:lang w:val="en-US" w:eastAsia="zh-CN"/>
            </w:rPr>
            <w:fldChar w:fldCharType="end"/>
          </w:r>
        </w:p>
        <w:p w14:paraId="7E5BE5A6">
          <w:pPr>
            <w:pStyle w:val="11"/>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_Toc18710 </w:instrText>
          </w:r>
          <w:r>
            <w:rPr>
              <w:rFonts w:hint="eastAsia" w:ascii="黑体" w:hAnsi="黑体" w:eastAsia="黑体"/>
              <w:szCs w:val="32"/>
              <w:highlight w:val="none"/>
              <w:lang w:val="en-US" w:eastAsia="zh-CN"/>
            </w:rPr>
            <w:fldChar w:fldCharType="separate"/>
          </w:r>
          <w:r>
            <w:rPr>
              <w:rFonts w:hint="eastAsia" w:ascii="Times New Roman" w:hAnsi="Times New Roman"/>
              <w:highlight w:val="none"/>
              <w:lang w:val="en-US" w:eastAsia="zh-CN"/>
            </w:rPr>
            <w:t>3.2 “三区三线”划定情况</w:t>
          </w:r>
          <w:r>
            <w:tab/>
          </w:r>
          <w:r>
            <w:fldChar w:fldCharType="begin"/>
          </w:r>
          <w:r>
            <w:instrText xml:space="preserve"> PAGEREF _Toc18710 \h </w:instrText>
          </w:r>
          <w:r>
            <w:fldChar w:fldCharType="separate"/>
          </w:r>
          <w:r>
            <w:t>37</w:t>
          </w:r>
          <w:r>
            <w:fldChar w:fldCharType="end"/>
          </w:r>
          <w:r>
            <w:rPr>
              <w:rFonts w:hint="eastAsia" w:ascii="黑体" w:hAnsi="黑体" w:eastAsia="黑体"/>
              <w:szCs w:val="32"/>
              <w:highlight w:val="none"/>
              <w:lang w:val="en-US" w:eastAsia="zh-CN"/>
            </w:rPr>
            <w:fldChar w:fldCharType="end"/>
          </w:r>
        </w:p>
        <w:p w14:paraId="2AF060B2">
          <w:pPr>
            <w:pStyle w:val="11"/>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_Toc2794 </w:instrText>
          </w:r>
          <w:r>
            <w:rPr>
              <w:rFonts w:hint="eastAsia" w:ascii="黑体" w:hAnsi="黑体" w:eastAsia="黑体"/>
              <w:szCs w:val="32"/>
              <w:highlight w:val="none"/>
              <w:lang w:val="en-US" w:eastAsia="zh-CN"/>
            </w:rPr>
            <w:fldChar w:fldCharType="separate"/>
          </w:r>
          <w:r>
            <w:rPr>
              <w:rFonts w:hint="eastAsia" w:ascii="Times New Roman" w:hAnsi="Times New Roman"/>
              <w:highlight w:val="none"/>
              <w:lang w:val="en-US" w:eastAsia="zh-CN"/>
            </w:rPr>
            <w:t>3.3 规划修订方案</w:t>
          </w:r>
          <w:r>
            <w:tab/>
          </w:r>
          <w:r>
            <w:fldChar w:fldCharType="begin"/>
          </w:r>
          <w:r>
            <w:instrText xml:space="preserve"> PAGEREF _Toc2794 \h </w:instrText>
          </w:r>
          <w:r>
            <w:fldChar w:fldCharType="separate"/>
          </w:r>
          <w:r>
            <w:t>38</w:t>
          </w:r>
          <w:r>
            <w:fldChar w:fldCharType="end"/>
          </w:r>
          <w:r>
            <w:rPr>
              <w:rFonts w:hint="eastAsia" w:ascii="黑体" w:hAnsi="黑体" w:eastAsia="黑体"/>
              <w:szCs w:val="32"/>
              <w:highlight w:val="none"/>
              <w:lang w:val="en-US" w:eastAsia="zh-CN"/>
            </w:rPr>
            <w:fldChar w:fldCharType="end"/>
          </w:r>
        </w:p>
        <w:p w14:paraId="06807678">
          <w:pPr>
            <w:pStyle w:val="11"/>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_Toc22215 </w:instrText>
          </w:r>
          <w:r>
            <w:rPr>
              <w:rFonts w:hint="eastAsia" w:ascii="黑体" w:hAnsi="黑体" w:eastAsia="黑体"/>
              <w:szCs w:val="32"/>
              <w:highlight w:val="none"/>
              <w:lang w:val="en-US" w:eastAsia="zh-CN"/>
            </w:rPr>
            <w:fldChar w:fldCharType="separate"/>
          </w:r>
          <w:r>
            <w:rPr>
              <w:rFonts w:ascii="Times New Roman" w:hAnsi="Times New Roman"/>
            </w:rPr>
            <w:t>3.</w:t>
          </w:r>
          <w:r>
            <w:rPr>
              <w:rFonts w:hint="eastAsia" w:ascii="Times New Roman" w:hAnsi="Times New Roman"/>
              <w:lang w:val="en-US" w:eastAsia="zh-CN"/>
            </w:rPr>
            <w:t>4</w:t>
          </w:r>
          <w:r>
            <w:rPr>
              <w:rFonts w:ascii="Times New Roman" w:hAnsi="Times New Roman"/>
            </w:rPr>
            <w:t xml:space="preserve"> 禁止养殖区</w:t>
          </w:r>
          <w:r>
            <w:rPr>
              <w:rFonts w:hint="eastAsia" w:ascii="Times New Roman" w:hAnsi="Times New Roman"/>
              <w:lang w:val="en-US" w:eastAsia="zh-CN"/>
            </w:rPr>
            <w:t>划定</w:t>
          </w:r>
          <w:r>
            <w:tab/>
          </w:r>
          <w:r>
            <w:fldChar w:fldCharType="begin"/>
          </w:r>
          <w:r>
            <w:instrText xml:space="preserve"> PAGEREF _Toc22215 \h </w:instrText>
          </w:r>
          <w:r>
            <w:fldChar w:fldCharType="separate"/>
          </w:r>
          <w:r>
            <w:t>40</w:t>
          </w:r>
          <w:r>
            <w:fldChar w:fldCharType="end"/>
          </w:r>
          <w:r>
            <w:rPr>
              <w:rFonts w:hint="eastAsia" w:ascii="黑体" w:hAnsi="黑体" w:eastAsia="黑体"/>
              <w:szCs w:val="32"/>
              <w:highlight w:val="none"/>
              <w:lang w:val="en-US" w:eastAsia="zh-CN"/>
            </w:rPr>
            <w:fldChar w:fldCharType="end"/>
          </w:r>
        </w:p>
        <w:p w14:paraId="24E18CDF">
          <w:pPr>
            <w:pStyle w:val="11"/>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_Toc32081 </w:instrText>
          </w:r>
          <w:r>
            <w:rPr>
              <w:rFonts w:hint="eastAsia" w:ascii="黑体" w:hAnsi="黑体" w:eastAsia="黑体"/>
              <w:szCs w:val="32"/>
              <w:highlight w:val="none"/>
              <w:lang w:val="en-US" w:eastAsia="zh-CN"/>
            </w:rPr>
            <w:fldChar w:fldCharType="separate"/>
          </w:r>
          <w:r>
            <w:rPr>
              <w:rFonts w:hint="eastAsia" w:ascii="Times New Roman" w:hAnsi="Times New Roman"/>
            </w:rPr>
            <w:t>3.</w:t>
          </w:r>
          <w:r>
            <w:rPr>
              <w:rFonts w:hint="eastAsia" w:ascii="Times New Roman" w:hAnsi="Times New Roman"/>
              <w:lang w:val="en-US" w:eastAsia="zh-CN"/>
            </w:rPr>
            <w:t>5</w:t>
          </w:r>
          <w:r>
            <w:rPr>
              <w:rFonts w:hint="eastAsia" w:ascii="Times New Roman" w:hAnsi="Times New Roman"/>
            </w:rPr>
            <w:t xml:space="preserve"> 限制养殖区</w:t>
          </w:r>
          <w:r>
            <w:rPr>
              <w:rFonts w:hint="eastAsia" w:ascii="Times New Roman" w:hAnsi="Times New Roman"/>
              <w:lang w:val="en-US" w:eastAsia="zh-CN"/>
            </w:rPr>
            <w:t>划定</w:t>
          </w:r>
          <w:r>
            <w:tab/>
          </w:r>
          <w:r>
            <w:fldChar w:fldCharType="begin"/>
          </w:r>
          <w:r>
            <w:instrText xml:space="preserve"> PAGEREF _Toc32081 \h </w:instrText>
          </w:r>
          <w:r>
            <w:fldChar w:fldCharType="separate"/>
          </w:r>
          <w:r>
            <w:t>54</w:t>
          </w:r>
          <w:r>
            <w:fldChar w:fldCharType="end"/>
          </w:r>
          <w:r>
            <w:rPr>
              <w:rFonts w:hint="eastAsia" w:ascii="黑体" w:hAnsi="黑体" w:eastAsia="黑体"/>
              <w:szCs w:val="32"/>
              <w:highlight w:val="none"/>
              <w:lang w:val="en-US" w:eastAsia="zh-CN"/>
            </w:rPr>
            <w:fldChar w:fldCharType="end"/>
          </w:r>
        </w:p>
        <w:p w14:paraId="4915AD9C">
          <w:pPr>
            <w:pStyle w:val="11"/>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_Toc28860 </w:instrText>
          </w:r>
          <w:r>
            <w:rPr>
              <w:rFonts w:hint="eastAsia" w:ascii="黑体" w:hAnsi="黑体" w:eastAsia="黑体"/>
              <w:szCs w:val="32"/>
              <w:highlight w:val="none"/>
              <w:lang w:val="en-US" w:eastAsia="zh-CN"/>
            </w:rPr>
            <w:fldChar w:fldCharType="separate"/>
          </w:r>
          <w:r>
            <w:rPr>
              <w:rFonts w:hint="eastAsia" w:ascii="Times New Roman" w:hAnsi="Times New Roman"/>
            </w:rPr>
            <w:t>3.</w:t>
          </w:r>
          <w:r>
            <w:rPr>
              <w:rFonts w:hint="eastAsia" w:ascii="Times New Roman" w:hAnsi="Times New Roman"/>
              <w:lang w:val="en-US" w:eastAsia="zh-CN"/>
            </w:rPr>
            <w:t>6</w:t>
          </w:r>
          <w:r>
            <w:rPr>
              <w:rFonts w:hint="eastAsia" w:ascii="Times New Roman" w:hAnsi="Times New Roman"/>
            </w:rPr>
            <w:t xml:space="preserve"> 养殖区</w:t>
          </w:r>
          <w:r>
            <w:tab/>
          </w:r>
          <w:r>
            <w:fldChar w:fldCharType="begin"/>
          </w:r>
          <w:r>
            <w:instrText xml:space="preserve"> PAGEREF _Toc28860 \h </w:instrText>
          </w:r>
          <w:r>
            <w:fldChar w:fldCharType="separate"/>
          </w:r>
          <w:r>
            <w:t>61</w:t>
          </w:r>
          <w:r>
            <w:fldChar w:fldCharType="end"/>
          </w:r>
          <w:r>
            <w:rPr>
              <w:rFonts w:hint="eastAsia" w:ascii="黑体" w:hAnsi="黑体" w:eastAsia="黑体"/>
              <w:szCs w:val="32"/>
              <w:highlight w:val="none"/>
              <w:lang w:val="en-US" w:eastAsia="zh-CN"/>
            </w:rPr>
            <w:fldChar w:fldCharType="end"/>
          </w:r>
        </w:p>
        <w:p w14:paraId="0F98E416">
          <w:pPr>
            <w:pStyle w:val="10"/>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_Toc4372 </w:instrText>
          </w:r>
          <w:r>
            <w:rPr>
              <w:rFonts w:hint="eastAsia" w:ascii="黑体" w:hAnsi="黑体" w:eastAsia="黑体"/>
              <w:szCs w:val="32"/>
              <w:highlight w:val="none"/>
              <w:lang w:val="en-US" w:eastAsia="zh-CN"/>
            </w:rPr>
            <w:fldChar w:fldCharType="separate"/>
          </w:r>
          <w:r>
            <w:rPr>
              <w:rFonts w:hint="eastAsia"/>
            </w:rPr>
            <w:t>第四章 保障措施</w:t>
          </w:r>
          <w:r>
            <w:tab/>
          </w:r>
          <w:r>
            <w:fldChar w:fldCharType="begin"/>
          </w:r>
          <w:r>
            <w:instrText xml:space="preserve"> PAGEREF _Toc4372 \h </w:instrText>
          </w:r>
          <w:r>
            <w:fldChar w:fldCharType="separate"/>
          </w:r>
          <w:r>
            <w:t>63</w:t>
          </w:r>
          <w:r>
            <w:fldChar w:fldCharType="end"/>
          </w:r>
          <w:r>
            <w:rPr>
              <w:rFonts w:hint="eastAsia" w:ascii="黑体" w:hAnsi="黑体" w:eastAsia="黑体"/>
              <w:szCs w:val="32"/>
              <w:highlight w:val="none"/>
              <w:lang w:val="en-US" w:eastAsia="zh-CN"/>
            </w:rPr>
            <w:fldChar w:fldCharType="end"/>
          </w:r>
        </w:p>
        <w:p w14:paraId="59F52F8C">
          <w:pPr>
            <w:pStyle w:val="11"/>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_Toc28981 </w:instrText>
          </w:r>
          <w:r>
            <w:rPr>
              <w:rFonts w:hint="eastAsia" w:ascii="黑体" w:hAnsi="黑体" w:eastAsia="黑体"/>
              <w:szCs w:val="32"/>
              <w:highlight w:val="none"/>
              <w:lang w:val="en-US" w:eastAsia="zh-CN"/>
            </w:rPr>
            <w:fldChar w:fldCharType="separate"/>
          </w:r>
          <w:r>
            <w:rPr>
              <w:rFonts w:ascii="Times New Roman" w:hAnsi="Times New Roman"/>
            </w:rPr>
            <w:t xml:space="preserve">4.1 </w:t>
          </w:r>
          <w:r>
            <w:rPr>
              <w:rFonts w:ascii="Times New Roman" w:hAnsi="宋体"/>
            </w:rPr>
            <w:t>加强组织领导</w:t>
          </w:r>
          <w:r>
            <w:tab/>
          </w:r>
          <w:r>
            <w:fldChar w:fldCharType="begin"/>
          </w:r>
          <w:r>
            <w:instrText xml:space="preserve"> PAGEREF _Toc28981 \h </w:instrText>
          </w:r>
          <w:r>
            <w:fldChar w:fldCharType="separate"/>
          </w:r>
          <w:r>
            <w:t>63</w:t>
          </w:r>
          <w:r>
            <w:fldChar w:fldCharType="end"/>
          </w:r>
          <w:r>
            <w:rPr>
              <w:rFonts w:hint="eastAsia" w:ascii="黑体" w:hAnsi="黑体" w:eastAsia="黑体"/>
              <w:szCs w:val="32"/>
              <w:highlight w:val="none"/>
              <w:lang w:val="en-US" w:eastAsia="zh-CN"/>
            </w:rPr>
            <w:fldChar w:fldCharType="end"/>
          </w:r>
        </w:p>
        <w:p w14:paraId="31699C09">
          <w:pPr>
            <w:pStyle w:val="11"/>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_Toc14982 </w:instrText>
          </w:r>
          <w:r>
            <w:rPr>
              <w:rFonts w:hint="eastAsia" w:ascii="黑体" w:hAnsi="黑体" w:eastAsia="黑体"/>
              <w:szCs w:val="32"/>
              <w:highlight w:val="none"/>
              <w:lang w:val="en-US" w:eastAsia="zh-CN"/>
            </w:rPr>
            <w:fldChar w:fldCharType="separate"/>
          </w:r>
          <w:r>
            <w:rPr>
              <w:rFonts w:hint="eastAsia" w:ascii="Times New Roman" w:hAnsi="Times New Roman"/>
            </w:rPr>
            <w:t xml:space="preserve">4.2 </w:t>
          </w:r>
          <w:r>
            <w:rPr>
              <w:rFonts w:hint="eastAsia" w:ascii="Times New Roman" w:hAnsi="Times New Roman"/>
              <w:lang w:val="en-US" w:eastAsia="zh-CN"/>
            </w:rPr>
            <w:t>技术保障</w:t>
          </w:r>
          <w:r>
            <w:tab/>
          </w:r>
          <w:r>
            <w:fldChar w:fldCharType="begin"/>
          </w:r>
          <w:r>
            <w:instrText xml:space="preserve"> PAGEREF _Toc14982 \h </w:instrText>
          </w:r>
          <w:r>
            <w:fldChar w:fldCharType="separate"/>
          </w:r>
          <w:r>
            <w:t>63</w:t>
          </w:r>
          <w:r>
            <w:fldChar w:fldCharType="end"/>
          </w:r>
          <w:r>
            <w:rPr>
              <w:rFonts w:hint="eastAsia" w:ascii="黑体" w:hAnsi="黑体" w:eastAsia="黑体"/>
              <w:szCs w:val="32"/>
              <w:highlight w:val="none"/>
              <w:lang w:val="en-US" w:eastAsia="zh-CN"/>
            </w:rPr>
            <w:fldChar w:fldCharType="end"/>
          </w:r>
        </w:p>
        <w:p w14:paraId="21686F87">
          <w:pPr>
            <w:pStyle w:val="11"/>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_Toc23016 </w:instrText>
          </w:r>
          <w:r>
            <w:rPr>
              <w:rFonts w:hint="eastAsia" w:ascii="黑体" w:hAnsi="黑体" w:eastAsia="黑体"/>
              <w:szCs w:val="32"/>
              <w:highlight w:val="none"/>
              <w:lang w:val="en-US" w:eastAsia="zh-CN"/>
            </w:rPr>
            <w:fldChar w:fldCharType="separate"/>
          </w:r>
          <w:r>
            <w:rPr>
              <w:rFonts w:hint="eastAsia" w:ascii="Times New Roman" w:hAnsi="Times New Roman"/>
            </w:rPr>
            <w:t xml:space="preserve">4.3 </w:t>
          </w:r>
          <w:r>
            <w:rPr>
              <w:rFonts w:hint="eastAsia" w:ascii="Times New Roman" w:hAnsi="Times New Roman"/>
              <w:lang w:val="en-US" w:eastAsia="zh-CN"/>
            </w:rPr>
            <w:t>经费保障</w:t>
          </w:r>
          <w:r>
            <w:tab/>
          </w:r>
          <w:r>
            <w:fldChar w:fldCharType="begin"/>
          </w:r>
          <w:r>
            <w:instrText xml:space="preserve"> PAGEREF _Toc23016 \h </w:instrText>
          </w:r>
          <w:r>
            <w:fldChar w:fldCharType="separate"/>
          </w:r>
          <w:r>
            <w:t>63</w:t>
          </w:r>
          <w:r>
            <w:fldChar w:fldCharType="end"/>
          </w:r>
          <w:r>
            <w:rPr>
              <w:rFonts w:hint="eastAsia" w:ascii="黑体" w:hAnsi="黑体" w:eastAsia="黑体"/>
              <w:szCs w:val="32"/>
              <w:highlight w:val="none"/>
              <w:lang w:val="en-US" w:eastAsia="zh-CN"/>
            </w:rPr>
            <w:fldChar w:fldCharType="end"/>
          </w:r>
        </w:p>
        <w:p w14:paraId="07F19EA0">
          <w:pPr>
            <w:pStyle w:val="11"/>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_Toc8303 </w:instrText>
          </w:r>
          <w:r>
            <w:rPr>
              <w:rFonts w:hint="eastAsia" w:ascii="黑体" w:hAnsi="黑体" w:eastAsia="黑体"/>
              <w:szCs w:val="32"/>
              <w:highlight w:val="none"/>
              <w:lang w:val="en-US" w:eastAsia="zh-CN"/>
            </w:rPr>
            <w:fldChar w:fldCharType="separate"/>
          </w:r>
          <w:r>
            <w:rPr>
              <w:rFonts w:hint="eastAsia" w:ascii="Times New Roman" w:hAnsi="Times New Roman"/>
            </w:rPr>
            <w:t xml:space="preserve">4.4 </w:t>
          </w:r>
          <w:r>
            <w:rPr>
              <w:rFonts w:hint="eastAsia" w:ascii="Times New Roman" w:hAnsi="Times New Roman"/>
              <w:lang w:val="en-US" w:eastAsia="zh-CN"/>
            </w:rPr>
            <w:t>风险管理与应对</w:t>
          </w:r>
          <w:r>
            <w:tab/>
          </w:r>
          <w:r>
            <w:fldChar w:fldCharType="begin"/>
          </w:r>
          <w:r>
            <w:instrText xml:space="preserve"> PAGEREF _Toc8303 \h </w:instrText>
          </w:r>
          <w:r>
            <w:fldChar w:fldCharType="separate"/>
          </w:r>
          <w:r>
            <w:t>64</w:t>
          </w:r>
          <w:r>
            <w:fldChar w:fldCharType="end"/>
          </w:r>
          <w:r>
            <w:rPr>
              <w:rFonts w:hint="eastAsia" w:ascii="黑体" w:hAnsi="黑体" w:eastAsia="黑体"/>
              <w:szCs w:val="32"/>
              <w:highlight w:val="none"/>
              <w:lang w:val="en-US" w:eastAsia="zh-CN"/>
            </w:rPr>
            <w:fldChar w:fldCharType="end"/>
          </w:r>
        </w:p>
        <w:p w14:paraId="7E8111A0">
          <w:pPr>
            <w:pStyle w:val="10"/>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_Toc23232 </w:instrText>
          </w:r>
          <w:r>
            <w:rPr>
              <w:rFonts w:hint="eastAsia" w:ascii="黑体" w:hAnsi="黑体" w:eastAsia="黑体"/>
              <w:szCs w:val="32"/>
              <w:highlight w:val="none"/>
              <w:lang w:val="en-US" w:eastAsia="zh-CN"/>
            </w:rPr>
            <w:fldChar w:fldCharType="separate"/>
          </w:r>
          <w:r>
            <w:rPr>
              <w:rFonts w:hint="eastAsia"/>
            </w:rPr>
            <w:t>第五章 附则</w:t>
          </w:r>
          <w:r>
            <w:tab/>
          </w:r>
          <w:r>
            <w:fldChar w:fldCharType="begin"/>
          </w:r>
          <w:r>
            <w:instrText xml:space="preserve"> PAGEREF _Toc23232 \h </w:instrText>
          </w:r>
          <w:r>
            <w:fldChar w:fldCharType="separate"/>
          </w:r>
          <w:r>
            <w:t>66</w:t>
          </w:r>
          <w:r>
            <w:fldChar w:fldCharType="end"/>
          </w:r>
          <w:r>
            <w:rPr>
              <w:rFonts w:hint="eastAsia" w:ascii="黑体" w:hAnsi="黑体" w:eastAsia="黑体"/>
              <w:szCs w:val="32"/>
              <w:highlight w:val="none"/>
              <w:lang w:val="en-US" w:eastAsia="zh-CN"/>
            </w:rPr>
            <w:fldChar w:fldCharType="end"/>
          </w:r>
        </w:p>
        <w:p w14:paraId="02A37A92">
          <w:pPr>
            <w:pStyle w:val="11"/>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_Toc20045 </w:instrText>
          </w:r>
          <w:r>
            <w:rPr>
              <w:rFonts w:hint="eastAsia" w:ascii="黑体" w:hAnsi="黑体" w:eastAsia="黑体"/>
              <w:szCs w:val="32"/>
              <w:highlight w:val="none"/>
              <w:lang w:val="en-US" w:eastAsia="zh-CN"/>
            </w:rPr>
            <w:fldChar w:fldCharType="separate"/>
          </w:r>
          <w:r>
            <w:rPr>
              <w:rFonts w:ascii="Times New Roman" w:hAnsi="Times New Roman"/>
            </w:rPr>
            <w:t xml:space="preserve">5.1 </w:t>
          </w:r>
          <w:r>
            <w:rPr>
              <w:rFonts w:ascii="Times New Roman" w:hAnsi="宋体"/>
            </w:rPr>
            <w:t>关于规划效力</w:t>
          </w:r>
          <w:r>
            <w:tab/>
          </w:r>
          <w:r>
            <w:fldChar w:fldCharType="begin"/>
          </w:r>
          <w:r>
            <w:instrText xml:space="preserve"> PAGEREF _Toc20045 \h </w:instrText>
          </w:r>
          <w:r>
            <w:fldChar w:fldCharType="separate"/>
          </w:r>
          <w:r>
            <w:t>66</w:t>
          </w:r>
          <w:r>
            <w:fldChar w:fldCharType="end"/>
          </w:r>
          <w:r>
            <w:rPr>
              <w:rFonts w:hint="eastAsia" w:ascii="黑体" w:hAnsi="黑体" w:eastAsia="黑体"/>
              <w:szCs w:val="32"/>
              <w:highlight w:val="none"/>
              <w:lang w:val="en-US" w:eastAsia="zh-CN"/>
            </w:rPr>
            <w:fldChar w:fldCharType="end"/>
          </w:r>
        </w:p>
        <w:p w14:paraId="6BE5AFE3">
          <w:pPr>
            <w:pStyle w:val="11"/>
            <w:tabs>
              <w:tab w:val="right" w:leader="dot" w:pos="9242"/>
            </w:tabs>
          </w:pPr>
          <w:r>
            <w:rPr>
              <w:rFonts w:hint="eastAsia" w:ascii="黑体" w:hAnsi="黑体" w:eastAsia="黑体"/>
              <w:szCs w:val="32"/>
              <w:highlight w:val="none"/>
              <w:lang w:val="en-US" w:eastAsia="zh-CN"/>
            </w:rPr>
            <w:fldChar w:fldCharType="begin"/>
          </w:r>
          <w:r>
            <w:rPr>
              <w:rFonts w:hint="eastAsia" w:ascii="黑体" w:hAnsi="黑体" w:eastAsia="黑体"/>
              <w:szCs w:val="32"/>
              <w:highlight w:val="none"/>
              <w:lang w:val="en-US" w:eastAsia="zh-CN"/>
            </w:rPr>
            <w:instrText xml:space="preserve"> HYPERLINK \l _Toc26518 </w:instrText>
          </w:r>
          <w:r>
            <w:rPr>
              <w:rFonts w:hint="eastAsia" w:ascii="黑体" w:hAnsi="黑体" w:eastAsia="黑体"/>
              <w:szCs w:val="32"/>
              <w:highlight w:val="none"/>
              <w:lang w:val="en-US" w:eastAsia="zh-CN"/>
            </w:rPr>
            <w:fldChar w:fldCharType="separate"/>
          </w:r>
          <w:r>
            <w:rPr>
              <w:rFonts w:ascii="Times New Roman" w:hAnsi="Times New Roman"/>
            </w:rPr>
            <w:t xml:space="preserve">5.2 </w:t>
          </w:r>
          <w:r>
            <w:rPr>
              <w:rFonts w:ascii="Times New Roman" w:hAnsi="宋体"/>
            </w:rPr>
            <w:t>关于规划图件</w:t>
          </w:r>
          <w:r>
            <w:tab/>
          </w:r>
          <w:r>
            <w:fldChar w:fldCharType="begin"/>
          </w:r>
          <w:r>
            <w:instrText xml:space="preserve"> PAGEREF _Toc26518 \h </w:instrText>
          </w:r>
          <w:r>
            <w:fldChar w:fldCharType="separate"/>
          </w:r>
          <w:r>
            <w:t>66</w:t>
          </w:r>
          <w:r>
            <w:fldChar w:fldCharType="end"/>
          </w:r>
          <w:r>
            <w:rPr>
              <w:rFonts w:hint="eastAsia" w:ascii="黑体" w:hAnsi="黑体" w:eastAsia="黑体"/>
              <w:szCs w:val="32"/>
              <w:highlight w:val="none"/>
              <w:lang w:val="en-US" w:eastAsia="zh-CN"/>
            </w:rPr>
            <w:fldChar w:fldCharType="end"/>
          </w:r>
        </w:p>
        <w:p w14:paraId="044D4642">
          <w:pPr>
            <w:jc w:val="center"/>
            <w:rPr>
              <w:rFonts w:hint="eastAsia" w:ascii="黑体" w:hAnsi="黑体" w:eastAsia="黑体" w:cs="Times New Roman"/>
              <w:kern w:val="2"/>
              <w:sz w:val="28"/>
              <w:szCs w:val="32"/>
              <w:highlight w:val="none"/>
              <w:lang w:val="en-US" w:eastAsia="zh-CN" w:bidi="ar-SA"/>
            </w:rPr>
          </w:pPr>
          <w:r>
            <w:rPr>
              <w:rFonts w:hint="eastAsia" w:ascii="黑体" w:hAnsi="黑体" w:eastAsia="黑体"/>
              <w:szCs w:val="32"/>
              <w:highlight w:val="none"/>
              <w:lang w:val="en-US" w:eastAsia="zh-CN"/>
            </w:rPr>
            <w:fldChar w:fldCharType="end"/>
          </w:r>
        </w:p>
      </w:sdtContent>
    </w:sdt>
    <w:p w14:paraId="493F206F">
      <w:pPr>
        <w:jc w:val="center"/>
        <w:rPr>
          <w:rFonts w:hint="eastAsia" w:ascii="黑体" w:hAnsi="黑体" w:eastAsia="黑体" w:cs="Times New Roman"/>
          <w:kern w:val="2"/>
          <w:sz w:val="28"/>
          <w:szCs w:val="32"/>
          <w:highlight w:val="none"/>
          <w:lang w:val="en-US" w:eastAsia="zh-CN" w:bidi="ar-SA"/>
        </w:rPr>
        <w:sectPr>
          <w:headerReference r:id="rId6" w:type="default"/>
          <w:footerReference r:id="rId7" w:type="default"/>
          <w:pgSz w:w="11906" w:h="16838"/>
          <w:pgMar w:top="1531" w:right="1247" w:bottom="1417" w:left="1417" w:header="851" w:footer="992" w:gutter="0"/>
          <w:pgNumType w:fmt="upperRoman" w:start="1"/>
          <w:cols w:space="425" w:num="1"/>
          <w:rtlGutter w:val="0"/>
          <w:docGrid w:type="lines" w:linePitch="312" w:charSpace="0"/>
        </w:sectPr>
      </w:pPr>
    </w:p>
    <w:p w14:paraId="714606E1">
      <w:pPr>
        <w:pStyle w:val="2"/>
        <w:spacing w:before="120" w:after="120"/>
        <w:rPr>
          <w:rFonts w:ascii="宋体" w:hAnsi="宋体"/>
        </w:rPr>
      </w:pPr>
      <w:bookmarkStart w:id="0" w:name="_Toc16276"/>
      <w:bookmarkStart w:id="1" w:name="_Toc19957"/>
      <w:r>
        <w:rPr>
          <w:rFonts w:hint="eastAsia" w:ascii="宋体" w:hAnsi="宋体"/>
        </w:rPr>
        <w:t>第一章</w:t>
      </w:r>
      <w:r>
        <w:rPr>
          <w:rFonts w:hint="eastAsia" w:ascii="宋体" w:hAnsi="宋体"/>
          <w:lang w:val="en-US" w:eastAsia="zh-CN"/>
        </w:rPr>
        <w:t xml:space="preserve"> </w:t>
      </w:r>
      <w:r>
        <w:rPr>
          <w:rFonts w:hint="eastAsia" w:ascii="宋体" w:hAnsi="宋体"/>
        </w:rPr>
        <w:t>总则</w:t>
      </w:r>
      <w:bookmarkEnd w:id="0"/>
      <w:bookmarkEnd w:id="1"/>
    </w:p>
    <w:p w14:paraId="2649CE1C">
      <w:pPr>
        <w:pStyle w:val="3"/>
        <w:rPr>
          <w:rFonts w:ascii="Times New Roman" w:hAnsi="宋体"/>
        </w:rPr>
      </w:pPr>
      <w:bookmarkStart w:id="2" w:name="_Toc1138"/>
      <w:bookmarkStart w:id="3" w:name="_Toc21207"/>
      <w:r>
        <w:rPr>
          <w:rFonts w:ascii="Times New Roman" w:hAnsi="Times New Roman"/>
        </w:rPr>
        <w:t>1.1</w:t>
      </w:r>
      <w:r>
        <w:rPr>
          <w:rFonts w:hint="eastAsia" w:ascii="Times New Roman" w:hAnsi="Times New Roman"/>
          <w:lang w:val="en-US" w:eastAsia="zh-CN"/>
        </w:rPr>
        <w:t xml:space="preserve"> </w:t>
      </w:r>
      <w:r>
        <w:rPr>
          <w:rFonts w:ascii="Times New Roman" w:hAnsi="宋体"/>
        </w:rPr>
        <w:t>前言</w:t>
      </w:r>
      <w:bookmarkEnd w:id="2"/>
      <w:bookmarkEnd w:id="3"/>
      <w:bookmarkStart w:id="4" w:name="_Toc9962"/>
    </w:p>
    <w:p w14:paraId="6DAD5B1C">
      <w:pPr>
        <w:bidi w:val="0"/>
        <w:rPr>
          <w:rFonts w:hint="eastAsia"/>
          <w:lang w:val="en-US" w:eastAsia="zh-CN"/>
        </w:rPr>
      </w:pPr>
      <w:r>
        <w:rPr>
          <w:rFonts w:hint="eastAsia"/>
          <w:lang w:val="en-US" w:eastAsia="zh-CN"/>
        </w:rPr>
        <w:t>1.1.1 上一轮规划的批复情况</w:t>
      </w:r>
      <w:bookmarkEnd w:id="4"/>
    </w:p>
    <w:p w14:paraId="4FF08EDF">
      <w:pPr>
        <w:bidi w:val="0"/>
        <w:ind w:firstLine="560" w:firstLineChars="200"/>
        <w:rPr>
          <w:rFonts w:hint="eastAsia" w:ascii="宋体" w:hAnsi="宋体" w:eastAsia="宋体" w:cs="宋体"/>
          <w:lang w:val="en-US"/>
        </w:rPr>
      </w:pPr>
      <w:r>
        <w:rPr>
          <w:rFonts w:hint="eastAsia" w:ascii="宋体" w:hAnsi="宋体" w:cs="宋体"/>
          <w:lang w:eastAsia="zh-CN"/>
        </w:rPr>
        <w:t>嘉荫县</w:t>
      </w:r>
      <w:r>
        <w:rPr>
          <w:rFonts w:hint="eastAsia" w:ascii="宋体" w:hAnsi="宋体" w:eastAsia="宋体" w:cs="宋体"/>
        </w:rPr>
        <w:t>养殖水域滩涂规划（</w:t>
      </w:r>
      <w:r>
        <w:rPr>
          <w:rFonts w:hint="eastAsia" w:ascii="宋体" w:hAnsi="宋体" w:cs="宋体"/>
          <w:lang w:eastAsia="zh-CN"/>
        </w:rPr>
        <w:t>2018—</w:t>
      </w:r>
      <w:r>
        <w:rPr>
          <w:rFonts w:hint="eastAsia" w:ascii="宋体" w:hAnsi="宋体" w:eastAsia="宋体" w:cs="宋体"/>
        </w:rPr>
        <w:t>2030年）</w:t>
      </w:r>
      <w:r>
        <w:rPr>
          <w:rFonts w:hint="eastAsia" w:ascii="宋体" w:hAnsi="宋体" w:eastAsia="宋体" w:cs="宋体"/>
          <w:lang w:val="en-US" w:eastAsia="zh-CN"/>
        </w:rPr>
        <w:t>已于</w:t>
      </w:r>
      <w:r>
        <w:rPr>
          <w:rFonts w:hint="eastAsia" w:ascii="宋体" w:hAnsi="宋体" w:eastAsia="宋体" w:cs="宋体"/>
        </w:rPr>
        <w:t>2018年</w:t>
      </w:r>
      <w:r>
        <w:rPr>
          <w:rFonts w:hint="eastAsia" w:ascii="宋体" w:hAnsi="宋体" w:cs="宋体"/>
          <w:lang w:val="en-US" w:eastAsia="zh-CN"/>
        </w:rPr>
        <w:t>11</w:t>
      </w:r>
      <w:r>
        <w:rPr>
          <w:rFonts w:hint="eastAsia" w:ascii="宋体" w:hAnsi="宋体" w:eastAsia="宋体" w:cs="宋体"/>
        </w:rPr>
        <w:t>月</w:t>
      </w:r>
      <w:r>
        <w:rPr>
          <w:rFonts w:hint="eastAsia" w:ascii="宋体" w:hAnsi="宋体" w:cs="宋体"/>
          <w:lang w:val="en-US" w:eastAsia="zh-CN"/>
        </w:rPr>
        <w:t>2</w:t>
      </w:r>
      <w:r>
        <w:rPr>
          <w:rFonts w:hint="eastAsia" w:ascii="宋体" w:hAnsi="宋体" w:eastAsia="宋体" w:cs="宋体"/>
        </w:rPr>
        <w:t>日</w:t>
      </w:r>
      <w:r>
        <w:rPr>
          <w:rFonts w:hint="eastAsia" w:ascii="宋体" w:hAnsi="宋体" w:cs="宋体"/>
          <w:lang w:val="en-US" w:eastAsia="zh-CN"/>
        </w:rPr>
        <w:t>经</w:t>
      </w:r>
      <w:r>
        <w:rPr>
          <w:rFonts w:hint="eastAsia" w:ascii="宋体" w:hAnsi="宋体" w:eastAsia="宋体" w:cs="宋体"/>
        </w:rPr>
        <w:t>县政府</w:t>
      </w:r>
      <w:r>
        <w:rPr>
          <w:rFonts w:hint="eastAsia" w:ascii="宋体" w:hAnsi="宋体" w:cs="宋体"/>
          <w:lang w:val="en-US" w:eastAsia="zh-CN"/>
        </w:rPr>
        <w:t>同意，并发布实施</w:t>
      </w:r>
      <w:r>
        <w:rPr>
          <w:rFonts w:hint="eastAsia" w:ascii="宋体" w:hAnsi="宋体" w:eastAsia="宋体" w:cs="宋体"/>
        </w:rPr>
        <w:t>。</w:t>
      </w:r>
    </w:p>
    <w:p w14:paraId="539A13C7">
      <w:pPr>
        <w:jc w:val="center"/>
        <w:rPr>
          <w:rFonts w:hint="eastAsia" w:eastAsia="宋体"/>
          <w:lang w:val="en-US" w:eastAsia="zh-CN"/>
        </w:rPr>
      </w:pPr>
      <w:r>
        <w:rPr>
          <w:rFonts w:hint="eastAsia" w:eastAsia="宋体"/>
          <w:lang w:val="en-US" w:eastAsia="zh-CN"/>
        </w:rPr>
        <w:drawing>
          <wp:inline distT="0" distB="0" distL="114300" distR="114300">
            <wp:extent cx="4700905" cy="6269355"/>
            <wp:effectExtent l="0" t="0" r="4445" b="17145"/>
            <wp:docPr id="5" name="图片 5" descr="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批复"/>
                    <pic:cNvPicPr>
                      <a:picLocks noChangeAspect="1"/>
                    </pic:cNvPicPr>
                  </pic:nvPicPr>
                  <pic:blipFill>
                    <a:blip r:embed="rId16"/>
                    <a:stretch>
                      <a:fillRect/>
                    </a:stretch>
                  </pic:blipFill>
                  <pic:spPr>
                    <a:xfrm>
                      <a:off x="0" y="0"/>
                      <a:ext cx="4700905" cy="6269355"/>
                    </a:xfrm>
                    <a:prstGeom prst="rect">
                      <a:avLst/>
                    </a:prstGeom>
                  </pic:spPr>
                </pic:pic>
              </a:graphicData>
            </a:graphic>
          </wp:inline>
        </w:drawing>
      </w:r>
    </w:p>
    <w:p w14:paraId="5C4BB42D">
      <w:pPr>
        <w:ind w:firstLine="420" w:firstLineChars="200"/>
        <w:jc w:val="center"/>
        <w:rPr>
          <w:rFonts w:hint="default" w:eastAsia="宋体"/>
          <w:sz w:val="21"/>
          <w:szCs w:val="21"/>
          <w:lang w:val="en-US" w:eastAsia="zh-CN"/>
        </w:rPr>
      </w:pPr>
      <w:r>
        <w:rPr>
          <w:rFonts w:hint="eastAsia"/>
          <w:sz w:val="21"/>
          <w:szCs w:val="21"/>
          <w:lang w:val="en-US" w:eastAsia="zh-CN"/>
        </w:rPr>
        <w:t>图1-1 上一轮规划发布通知</w:t>
      </w:r>
    </w:p>
    <w:p w14:paraId="21910952">
      <w:pPr>
        <w:pStyle w:val="5"/>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1.1.1.1</w:t>
      </w:r>
      <w:r>
        <w:rPr>
          <w:rFonts w:hint="eastAsia" w:ascii="Times New Roman" w:hAnsi="Times New Roman"/>
          <w:highlight w:val="none"/>
          <w:lang w:val="en-US" w:eastAsia="zh-CN"/>
        </w:rPr>
        <w:t xml:space="preserve"> </w:t>
      </w:r>
      <w:r>
        <w:rPr>
          <w:rFonts w:hint="eastAsia" w:ascii="Times New Roman" w:hAnsi="Times New Roman" w:eastAsia="宋体"/>
          <w:highlight w:val="none"/>
          <w:lang w:val="en-US" w:eastAsia="zh-CN"/>
        </w:rPr>
        <w:t>上一轮规划范围</w:t>
      </w:r>
    </w:p>
    <w:p w14:paraId="21C2C485">
      <w:pPr>
        <w:ind w:firstLine="560" w:firstLineChars="200"/>
        <w:rPr>
          <w:rFonts w:hint="eastAsia"/>
          <w:lang w:val="en-US" w:eastAsia="zh-CN"/>
        </w:rPr>
      </w:pPr>
      <w:r>
        <w:rPr>
          <w:rFonts w:hint="eastAsia"/>
          <w:lang w:val="en-US" w:eastAsia="zh-CN"/>
        </w:rPr>
        <w:t>嘉荫县县属行政辖区，共四镇五乡一农场，不包含行政区域内森工系统。</w:t>
      </w:r>
    </w:p>
    <w:p w14:paraId="2121EC0A">
      <w:pPr>
        <w:pStyle w:val="5"/>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1.1.1.2</w:t>
      </w:r>
      <w:r>
        <w:rPr>
          <w:rFonts w:hint="eastAsia" w:ascii="Times New Roman" w:hAnsi="Times New Roman"/>
          <w:highlight w:val="none"/>
          <w:lang w:val="en-US" w:eastAsia="zh-CN"/>
        </w:rPr>
        <w:t xml:space="preserve"> </w:t>
      </w:r>
      <w:r>
        <w:rPr>
          <w:rFonts w:hint="eastAsia" w:ascii="Times New Roman" w:hAnsi="Times New Roman" w:eastAsia="宋体"/>
          <w:highlight w:val="none"/>
          <w:lang w:val="en-US" w:eastAsia="zh-CN"/>
        </w:rPr>
        <w:t>禁止养殖区情况</w:t>
      </w:r>
    </w:p>
    <w:p w14:paraId="20428CD3">
      <w:pPr>
        <w:ind w:firstLine="560" w:firstLineChars="200"/>
        <w:rPr>
          <w:rFonts w:hint="default"/>
          <w:lang w:val="en-US" w:eastAsia="zh-CN"/>
        </w:rPr>
      </w:pPr>
      <w:r>
        <w:rPr>
          <w:rFonts w:hint="eastAsia"/>
          <w:lang w:val="en-US" w:eastAsia="zh-CN"/>
        </w:rPr>
        <w:t>嘉荫县禁止养殖区主要类型为：自然保护地、一级水源地保护区、嘉荫县划定的禁捕区等。全县禁止养殖区内自然保护地为黑龙江平阳河省级自然保护区、黑龙江新青白头鹤国家级自然保护区、黑龙江茅兰沟国家级自然保护区、黑龙江嘉荫恐龙化石省级自然保护区、黑龙江伊春茅兰河口国家湿地公园、黑龙江嘉荫段黑斑狗鱼雅罗鱼国家级水产种质资源保护区核心区；一级水源保护区为嘉荫县朝阳镇水源地保护区；为了保护鱼类资源的繁衍生息，设定6处鱼类禁捕区，分别为常胜乡桦树林子村736标到布拉罕岛西小河口、河口村739标到通河镇葛贡河、乌云水厂白山东下705标到葡萄岛707标、朝阳永安583标到大同村上563标、保兴戈布钦岛西头到保兴砖厂和下站河529标到嘉荫河口。上轮规划将以上区域设定为禁养区。</w:t>
      </w:r>
    </w:p>
    <w:p w14:paraId="43EB8C71">
      <w:pPr>
        <w:ind w:firstLine="560" w:firstLineChars="200"/>
        <w:rPr>
          <w:rFonts w:hint="eastAsia"/>
          <w:lang w:val="en-US" w:eastAsia="zh-CN"/>
        </w:rPr>
      </w:pPr>
      <w:r>
        <w:rPr>
          <w:rFonts w:hint="eastAsia"/>
          <w:lang w:val="en-US" w:eastAsia="zh-CN"/>
        </w:rPr>
        <w:t>严格按照全国生态环境保护大会的要求和《中华人民共和国自然保护区条例》规定，在禁养区水域范围内，禁止从事网箱、围网、栏网养殖以及其他可能污染饮用水水体的水产养殖活动。不再审批养殖许可证，对无证养殖的按照《中华人民共和国渔业法》坚决清理。在禁养区内已办理养殖证的水域，养殖证使用期满后将不再办理。深入贯彻《中华人民共和国渔业法》，充分发挥渔政机构的执法力度，在加强监测的基础上，及时发现和处理水域污染事件，严厉打击电、毒、炸等非法捕捞行为，加大流域综合治理力度，强化渔业水域生态环境和渔业资源保护措施，控制捕捞强度，开展人工增殖放流活动，恢复水产生物资源，维持生物多样性，确保水质整体优良和饮水安全。</w:t>
      </w:r>
    </w:p>
    <w:p w14:paraId="1F680A73">
      <w:pPr>
        <w:pStyle w:val="5"/>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1.1.1.3</w:t>
      </w:r>
      <w:r>
        <w:rPr>
          <w:rFonts w:hint="eastAsia" w:ascii="Times New Roman" w:hAnsi="Times New Roman"/>
          <w:highlight w:val="none"/>
          <w:lang w:val="en-US" w:eastAsia="zh-CN"/>
        </w:rPr>
        <w:t xml:space="preserve"> </w:t>
      </w:r>
      <w:r>
        <w:rPr>
          <w:rFonts w:hint="eastAsia" w:ascii="Times New Roman" w:hAnsi="Times New Roman" w:eastAsia="宋体"/>
          <w:highlight w:val="none"/>
          <w:lang w:val="en-US" w:eastAsia="zh-CN"/>
        </w:rPr>
        <w:t>限制养殖区情况</w:t>
      </w:r>
    </w:p>
    <w:p w14:paraId="63BB322F">
      <w:pPr>
        <w:ind w:firstLine="560" w:firstLineChars="200"/>
        <w:jc w:val="both"/>
        <w:rPr>
          <w:rFonts w:hint="eastAsia"/>
          <w:lang w:val="en-US" w:eastAsia="zh-CN"/>
        </w:rPr>
      </w:pPr>
      <w:r>
        <w:rPr>
          <w:rFonts w:hint="eastAsia"/>
          <w:lang w:val="en-US" w:eastAsia="zh-CN"/>
        </w:rPr>
        <w:t>嘉荫县限制养殖区主要类型为：饮用水二级保护区、水产种质资源保护区实验区。</w:t>
      </w:r>
    </w:p>
    <w:p w14:paraId="02ABC6EA">
      <w:pPr>
        <w:ind w:firstLine="560" w:firstLineChars="200"/>
        <w:jc w:val="both"/>
        <w:rPr>
          <w:rFonts w:hint="eastAsia"/>
          <w:lang w:val="en-US" w:eastAsia="zh-CN"/>
        </w:rPr>
      </w:pPr>
      <w:r>
        <w:rPr>
          <w:rFonts w:hint="eastAsia"/>
          <w:lang w:val="en-US" w:eastAsia="zh-CN"/>
        </w:rPr>
        <w:t>嘉荫县朝阳镇水源地二级保护区北侧以黑龙江国界为界，东侧以朝阳镇工农路为界，并向南、北延伸，南侧以黑龙江阶地与丘陵区的地貌界线为界，西侧以1号、2号、7号井为圆心，以2000米为半径的3个相交圆的外切多边形的边长为界，所确定的多边形为二级保护区，保护区面积为642公顷，其中陆域面积443公顷，水域面积199公顷。黑龙江省嘉荫段黑斑狗鱼雅罗鱼国家级水产种质资源保护区实验区面积1078.1公顷。实验区位于黑龙江干流航道516千—530千米的14千米江段和黑龙江干流我国一侧的莲江口河、无名河、小马莲站河、上莲江河等四条支流及滩涂、沼泽。</w:t>
      </w:r>
    </w:p>
    <w:p w14:paraId="5B7E7BC0">
      <w:pPr>
        <w:ind w:firstLine="560" w:firstLineChars="200"/>
        <w:jc w:val="both"/>
        <w:rPr>
          <w:rFonts w:hint="eastAsia"/>
          <w:lang w:val="en-US" w:eastAsia="zh-CN"/>
        </w:rPr>
      </w:pPr>
      <w:r>
        <w:rPr>
          <w:rFonts w:hint="eastAsia"/>
          <w:lang w:val="en-US" w:eastAsia="zh-CN"/>
        </w:rPr>
        <w:t>在限制养殖区内进行水产养殖，必须经过环境评估、生产实时监测、相关资质审批后，才能进行生产作业。从事养殖活动时，应当保护水域生态环境，科学确定养殖密度，合理投饵和使用药物，采取措施，防止污染水体。确保养殖水域排放的水体达到国家依照《地表水环境质量标准》（GB3838-2002）中规定Ⅲ类标准。</w:t>
      </w:r>
    </w:p>
    <w:p w14:paraId="1E2EF95B">
      <w:pPr>
        <w:pStyle w:val="5"/>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1.1.1.4</w:t>
      </w:r>
      <w:r>
        <w:rPr>
          <w:rFonts w:hint="eastAsia" w:ascii="Times New Roman" w:hAnsi="Times New Roman"/>
          <w:highlight w:val="none"/>
          <w:lang w:val="en-US" w:eastAsia="zh-CN"/>
        </w:rPr>
        <w:t xml:space="preserve"> </w:t>
      </w:r>
      <w:r>
        <w:rPr>
          <w:rFonts w:hint="eastAsia" w:ascii="Times New Roman" w:hAnsi="Times New Roman" w:eastAsia="宋体"/>
          <w:highlight w:val="none"/>
          <w:lang w:val="en-US" w:eastAsia="zh-CN"/>
        </w:rPr>
        <w:t>养殖区情况</w:t>
      </w:r>
    </w:p>
    <w:p w14:paraId="19CAE2EA">
      <w:pPr>
        <w:ind w:firstLine="560" w:firstLineChars="200"/>
        <w:rPr>
          <w:rFonts w:hint="eastAsia"/>
          <w:lang w:val="en-US" w:eastAsia="zh-CN"/>
        </w:rPr>
      </w:pPr>
      <w:r>
        <w:rPr>
          <w:rFonts w:hint="eastAsia"/>
          <w:lang w:val="en-US" w:eastAsia="zh-CN"/>
        </w:rPr>
        <w:t>规划划定</w:t>
      </w:r>
      <w:r>
        <w:rPr>
          <w:rFonts w:hint="default"/>
          <w:lang w:val="en-US" w:eastAsia="zh-CN"/>
        </w:rPr>
        <w:t>全县</w:t>
      </w:r>
      <w:r>
        <w:rPr>
          <w:rFonts w:hint="eastAsia"/>
          <w:lang w:val="en-US" w:eastAsia="zh-CN"/>
        </w:rPr>
        <w:t>养殖区类型共有池塘养殖区、水库养殖区、泡沼养殖区、稻田养殖区、湖泊养殖区和河道养殖区6类。</w:t>
      </w:r>
    </w:p>
    <w:p w14:paraId="518EC25D">
      <w:pPr>
        <w:ind w:firstLine="560" w:firstLineChars="200"/>
        <w:rPr>
          <w:rFonts w:hint="default"/>
          <w:lang w:val="en-US" w:eastAsia="zh-CN"/>
        </w:rPr>
      </w:pPr>
      <w:r>
        <w:rPr>
          <w:rFonts w:hint="eastAsia"/>
          <w:lang w:val="en-US" w:eastAsia="zh-CN"/>
        </w:rPr>
        <w:t>嘉荫县共有</w:t>
      </w:r>
      <w:r>
        <w:rPr>
          <w:rFonts w:hint="default"/>
          <w:lang w:val="en-US" w:eastAsia="zh-CN"/>
        </w:rPr>
        <w:t>池塘190个（可开发利用和已养区的池塘），总面积为</w:t>
      </w:r>
      <w:r>
        <w:rPr>
          <w:rFonts w:hint="eastAsia"/>
          <w:lang w:val="en-US" w:eastAsia="zh-CN"/>
        </w:rPr>
        <w:t>187.41公顷</w:t>
      </w:r>
      <w:r>
        <w:rPr>
          <w:rFonts w:hint="default"/>
          <w:lang w:val="en-US" w:eastAsia="zh-CN"/>
        </w:rPr>
        <w:t>，分布在全县各个乡镇及农场</w:t>
      </w:r>
      <w:r>
        <w:rPr>
          <w:rFonts w:hint="eastAsia"/>
          <w:lang w:val="en-US" w:eastAsia="zh-CN"/>
        </w:rPr>
        <w:t>。</w:t>
      </w:r>
      <w:r>
        <w:rPr>
          <w:rFonts w:hint="default"/>
          <w:lang w:val="en-US" w:eastAsia="zh-CN"/>
        </w:rPr>
        <w:t>全县的池塘因建造年代久远，又经过多年的使用，淤泥沉积，致使池塘环境已不符合现代渔业健康养殖标准的要求，</w:t>
      </w:r>
      <w:r>
        <w:rPr>
          <w:rFonts w:hint="eastAsia"/>
          <w:lang w:val="en-US" w:eastAsia="zh-CN"/>
        </w:rPr>
        <w:t>必须</w:t>
      </w:r>
      <w:r>
        <w:rPr>
          <w:rFonts w:hint="default"/>
          <w:lang w:val="en-US" w:eastAsia="zh-CN"/>
        </w:rPr>
        <w:t>加以改造和修整</w:t>
      </w:r>
      <w:r>
        <w:rPr>
          <w:rFonts w:hint="eastAsia"/>
          <w:lang w:val="en-US" w:eastAsia="zh-CN"/>
        </w:rPr>
        <w:t>，</w:t>
      </w:r>
      <w:r>
        <w:rPr>
          <w:rFonts w:hint="default"/>
          <w:lang w:val="en-US" w:eastAsia="zh-CN"/>
        </w:rPr>
        <w:t>才能充分挖掘原有养殖水体单产潜力，重点发展健康高效集约化池塘养殖</w:t>
      </w:r>
      <w:r>
        <w:rPr>
          <w:rFonts w:hint="eastAsia"/>
          <w:lang w:val="en-US" w:eastAsia="zh-CN"/>
        </w:rPr>
        <w:t>。</w:t>
      </w:r>
      <w:r>
        <w:rPr>
          <w:rFonts w:hint="default"/>
          <w:lang w:val="en-US" w:eastAsia="zh-CN"/>
        </w:rPr>
        <w:t>在抓好大宗淡水鱼生产同时，优化品种结构，加强养殖品种结构调整，实行渔业智能化管理，达到现代化管理水平，实现渔业增产增效。</w:t>
      </w:r>
    </w:p>
    <w:p w14:paraId="483720BA">
      <w:pPr>
        <w:ind w:firstLine="560" w:firstLineChars="200"/>
        <w:rPr>
          <w:rFonts w:hint="default"/>
          <w:lang w:val="en-US" w:eastAsia="zh-CN"/>
        </w:rPr>
      </w:pPr>
      <w:r>
        <w:rPr>
          <w:rFonts w:hint="eastAsia"/>
          <w:lang w:val="en-US" w:eastAsia="zh-CN"/>
        </w:rPr>
        <w:t>嘉荫县水库多为平原型水库，皆为小型水库，主要功能用于蓄洪、灌溉和发展养鱼业，全县水库共有4个，水库总面积为309.18公顷，都是由河道拦截而成的水库。</w:t>
      </w:r>
    </w:p>
    <w:p w14:paraId="48D2446C">
      <w:pPr>
        <w:ind w:firstLine="560" w:firstLineChars="200"/>
        <w:rPr>
          <w:rFonts w:hint="eastAsia"/>
          <w:lang w:val="en-US" w:eastAsia="zh-CN"/>
        </w:rPr>
      </w:pPr>
      <w:r>
        <w:rPr>
          <w:rFonts w:hint="eastAsia"/>
          <w:lang w:val="en-US" w:eastAsia="zh-CN"/>
        </w:rPr>
        <w:t>泡沼养殖区规划的泡沼个体面积为1500平方米以上，仅保留距嘉荫河、乌拉嘎河、结烈河和乌云河两岸100米以外，具有连片开发价值且小于1500平方米的泡沼。全县可开发利用的泡沼799个，总面积为633.87公顷。</w:t>
      </w:r>
    </w:p>
    <w:p w14:paraId="7DAD6467">
      <w:pPr>
        <w:ind w:firstLine="560" w:firstLineChars="200"/>
        <w:rPr>
          <w:rFonts w:hint="eastAsia"/>
          <w:lang w:val="en-US" w:eastAsia="zh-CN"/>
        </w:rPr>
      </w:pPr>
      <w:r>
        <w:rPr>
          <w:rFonts w:hint="eastAsia"/>
          <w:lang w:val="en-US" w:eastAsia="zh-CN"/>
        </w:rPr>
        <w:t>嘉荫县稻田地1338.07公顷，主要分布在红光乡、向阳乡、保兴镇，建议开展稻田养鱼，使一水双用、一地双收，实现稻鱼双赢。</w:t>
      </w:r>
    </w:p>
    <w:p w14:paraId="6A2C4BD6">
      <w:pPr>
        <w:ind w:firstLine="560" w:firstLineChars="200"/>
        <w:rPr>
          <w:rFonts w:hint="eastAsia"/>
          <w:lang w:val="en-US" w:eastAsia="zh-CN"/>
        </w:rPr>
      </w:pPr>
      <w:r>
        <w:rPr>
          <w:rFonts w:hint="eastAsia"/>
          <w:lang w:val="en-US" w:eastAsia="zh-CN"/>
        </w:rPr>
        <w:t>嘉荫县境内湖泊有23个，总面积639.88公顷，主要分布在乌云镇、常胜乡和向阳乡。</w:t>
      </w:r>
    </w:p>
    <w:p w14:paraId="5B62B603">
      <w:pPr>
        <w:ind w:firstLine="560" w:firstLineChars="200"/>
        <w:rPr>
          <w:rFonts w:hint="default"/>
          <w:lang w:val="en-US" w:eastAsia="zh-CN"/>
        </w:rPr>
      </w:pPr>
      <w:r>
        <w:rPr>
          <w:rFonts w:hint="eastAsia"/>
          <w:lang w:val="en-US" w:eastAsia="zh-CN"/>
        </w:rPr>
        <w:t>河道养殖区按功能区分为河道的增殖捕捞区、河道的拦网（筑堤）养殖区、河道的网箱养殖区，总面积158.9公顷。</w:t>
      </w:r>
    </w:p>
    <w:p w14:paraId="356AA5C3">
      <w:pPr>
        <w:pStyle w:val="4"/>
        <w:rPr>
          <w:rFonts w:hint="eastAsia" w:ascii="Times New Roman" w:hAnsi="Times New Roman"/>
          <w:lang w:val="en-US" w:eastAsia="zh-CN"/>
        </w:rPr>
      </w:pPr>
      <w:r>
        <w:rPr>
          <w:rFonts w:hint="eastAsia" w:ascii="Times New Roman" w:hAnsi="Times New Roman"/>
          <w:lang w:val="en-US" w:eastAsia="zh-CN"/>
        </w:rPr>
        <w:t>1.1.2 面临形势</w:t>
      </w:r>
    </w:p>
    <w:p w14:paraId="25D7D48A">
      <w:pPr>
        <w:tabs>
          <w:tab w:val="left" w:pos="8280"/>
        </w:tabs>
        <w:ind w:right="28" w:firstLine="560" w:firstLineChars="200"/>
        <w:rPr>
          <w:rFonts w:hint="eastAsia" w:ascii="宋体" w:hAnsi="宋体"/>
          <w:szCs w:val="28"/>
        </w:rPr>
      </w:pPr>
      <w:r>
        <w:rPr>
          <w:rFonts w:hint="eastAsia" w:ascii="宋体" w:hAnsi="宋体"/>
          <w:szCs w:val="28"/>
        </w:rPr>
        <w:t>养殖水域滩涂规划是渔业管理的基本制度，是水产养殖业发展的布局依据，是推进产业转型升级的重要抓手。当前，我国渔业结构进一步优化，产业素质明显提高，由于国家对渔业经济体制和价格体制进行改革，极大地调动渔民发展生产的积极性，使渔业走上一个快速发展的阶段。并且我国渔业经济增长方式开始从过去单纯追求产量增长，转向更加注重质量和效益的提高；注重资源的可持续发展。特别是随着我国农业供给侧结构性改革，将开创渔业现代化建设新局面。</w:t>
      </w:r>
    </w:p>
    <w:p w14:paraId="4B2550CC">
      <w:pPr>
        <w:tabs>
          <w:tab w:val="left" w:pos="8280"/>
        </w:tabs>
        <w:ind w:right="28" w:firstLine="560" w:firstLineChars="200"/>
      </w:pPr>
      <w:r>
        <w:rPr>
          <w:rFonts w:hint="eastAsia" w:ascii="宋体" w:hAnsi="宋体"/>
          <w:szCs w:val="28"/>
        </w:rPr>
        <w:t>近年来，我国渔业持续较快发展，水产品产量大幅增长，市场供应充足，为保障国家食物安全、促进农渔民增收和经济社会发展</w:t>
      </w:r>
      <w:r>
        <w:rPr>
          <w:rFonts w:hint="eastAsia" w:ascii="宋体" w:hAnsi="宋体"/>
          <w:szCs w:val="28"/>
          <w:lang w:eastAsia="zh-CN"/>
        </w:rPr>
        <w:t>做出</w:t>
      </w:r>
      <w:r>
        <w:rPr>
          <w:rFonts w:hint="eastAsia" w:ascii="宋体" w:hAnsi="宋体"/>
          <w:szCs w:val="28"/>
        </w:rPr>
        <w:t>了重要贡献。但是，渔业发展方式粗放，设施装备落后，资源日益衰竭，水域污染严重，效益持续下滑，质量安全存在隐患，现代渔业发展面临诸多挑战。</w:t>
      </w:r>
    </w:p>
    <w:p w14:paraId="78057468">
      <w:pPr>
        <w:pStyle w:val="4"/>
        <w:rPr>
          <w:rFonts w:ascii="Times New Roman" w:hAnsi="Times New Roman"/>
        </w:rPr>
      </w:pPr>
      <w:bookmarkStart w:id="5" w:name="_Toc23421"/>
      <w:r>
        <w:rPr>
          <w:rFonts w:ascii="Times New Roman" w:hAnsi="Times New Roman"/>
        </w:rPr>
        <w:t>1.1.</w:t>
      </w:r>
      <w:r>
        <w:rPr>
          <w:rFonts w:hint="eastAsia" w:ascii="Times New Roman" w:hAnsi="Times New Roman"/>
          <w:lang w:val="en-US" w:eastAsia="zh-CN"/>
        </w:rPr>
        <w:t>3</w:t>
      </w:r>
      <w:r>
        <w:rPr>
          <w:rFonts w:hint="eastAsia"/>
          <w:lang w:val="en-US" w:eastAsia="zh-CN"/>
        </w:rPr>
        <w:t xml:space="preserve"> </w:t>
      </w:r>
      <w:r>
        <w:rPr>
          <w:rFonts w:hint="eastAsia" w:ascii="Times New Roman" w:hAnsi="Times New Roman"/>
          <w:lang w:val="en-US" w:eastAsia="zh-CN"/>
        </w:rPr>
        <w:t>规划修订</w:t>
      </w:r>
      <w:r>
        <w:rPr>
          <w:rFonts w:ascii="Times New Roman" w:hAnsi="宋体"/>
        </w:rPr>
        <w:t>背景</w:t>
      </w:r>
      <w:bookmarkEnd w:id="5"/>
    </w:p>
    <w:p w14:paraId="0F45E70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szCs w:val="28"/>
          <w:lang w:val="en-US" w:eastAsia="zh-CN"/>
        </w:rPr>
      </w:pPr>
      <w:r>
        <w:rPr>
          <w:rFonts w:hint="eastAsia" w:ascii="宋体" w:hAnsi="宋体"/>
          <w:szCs w:val="28"/>
        </w:rPr>
        <w:t>20</w:t>
      </w:r>
      <w:r>
        <w:rPr>
          <w:rFonts w:hint="eastAsia" w:ascii="宋体" w:hAnsi="宋体"/>
          <w:szCs w:val="28"/>
          <w:lang w:val="en-US" w:eastAsia="zh-CN"/>
        </w:rPr>
        <w:t>18</w:t>
      </w:r>
      <w:r>
        <w:rPr>
          <w:rFonts w:hint="eastAsia" w:ascii="宋体" w:hAnsi="宋体"/>
          <w:szCs w:val="28"/>
        </w:rPr>
        <w:t>年</w:t>
      </w:r>
      <w:r>
        <w:rPr>
          <w:rFonts w:hint="eastAsia" w:ascii="宋体" w:hAnsi="宋体"/>
          <w:szCs w:val="28"/>
          <w:lang w:val="en-US" w:eastAsia="zh-CN"/>
        </w:rPr>
        <w:t>10</w:t>
      </w:r>
      <w:r>
        <w:rPr>
          <w:rFonts w:hint="eastAsia" w:ascii="宋体" w:hAnsi="宋体"/>
          <w:szCs w:val="28"/>
        </w:rPr>
        <w:t>月，</w:t>
      </w:r>
      <w:r>
        <w:rPr>
          <w:rFonts w:hint="eastAsia" w:ascii="宋体" w:hAnsi="宋体"/>
          <w:szCs w:val="28"/>
          <w:lang w:val="en-US" w:eastAsia="zh-CN"/>
        </w:rPr>
        <w:t>嘉荫县人民政府</w:t>
      </w:r>
      <w:r>
        <w:rPr>
          <w:rFonts w:hint="eastAsia" w:ascii="宋体" w:hAnsi="宋体"/>
          <w:szCs w:val="28"/>
        </w:rPr>
        <w:t>编制并发布了《</w:t>
      </w:r>
      <w:r>
        <w:rPr>
          <w:rFonts w:hint="eastAsia" w:ascii="宋体" w:hAnsi="宋体"/>
          <w:szCs w:val="28"/>
          <w:lang w:val="en-US" w:eastAsia="zh-CN"/>
        </w:rPr>
        <w:t>嘉荫县</w:t>
      </w:r>
      <w:r>
        <w:rPr>
          <w:rFonts w:hint="eastAsia" w:ascii="宋体" w:hAnsi="宋体"/>
          <w:szCs w:val="28"/>
        </w:rPr>
        <w:t>养殖水域滩涂规划（20</w:t>
      </w:r>
      <w:r>
        <w:rPr>
          <w:rFonts w:hint="eastAsia" w:ascii="宋体" w:hAnsi="宋体"/>
          <w:szCs w:val="28"/>
          <w:lang w:val="en-US" w:eastAsia="zh-CN"/>
        </w:rPr>
        <w:t>18</w:t>
      </w:r>
      <w:r>
        <w:rPr>
          <w:rFonts w:hint="eastAsia" w:ascii="宋体" w:hAnsi="宋体"/>
          <w:szCs w:val="28"/>
        </w:rPr>
        <w:t>—2030）》</w:t>
      </w:r>
      <w:r>
        <w:rPr>
          <w:rFonts w:hint="eastAsia" w:ascii="宋体" w:hAnsi="宋体"/>
          <w:szCs w:val="28"/>
          <w:lang w:val="en-US" w:eastAsia="zh-CN"/>
        </w:rPr>
        <w:t>（以下简称《规划》）</w:t>
      </w:r>
      <w:r>
        <w:rPr>
          <w:rFonts w:hint="eastAsia" w:ascii="宋体" w:hAnsi="宋体"/>
          <w:szCs w:val="28"/>
          <w:lang w:eastAsia="zh-CN"/>
        </w:rPr>
        <w:t>，</w:t>
      </w:r>
      <w:r>
        <w:rPr>
          <w:rFonts w:hint="eastAsia" w:ascii="宋体" w:hAnsi="宋体"/>
          <w:szCs w:val="28"/>
          <w:lang w:val="en-US" w:eastAsia="zh-CN"/>
        </w:rPr>
        <w:t>为稳定全县水产养殖空间、优化渔业产业发展布局和保障渔民合法权益提供了有力保障。</w:t>
      </w:r>
    </w:p>
    <w:p w14:paraId="1FD9493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szCs w:val="28"/>
          <w:lang w:val="en-US" w:eastAsia="zh-CN"/>
        </w:rPr>
      </w:pPr>
      <w:r>
        <w:rPr>
          <w:rFonts w:hint="eastAsia" w:ascii="宋体" w:hAnsi="宋体"/>
          <w:szCs w:val="28"/>
          <w:lang w:val="en-US" w:eastAsia="zh-CN"/>
        </w:rPr>
        <w:t>2020年12月，黑龙江省农业农村厅编制并发布了《黑龙江省养殖水域滩涂规划（2020—2030）》（以下简称《省级规划》）。至此，省、市、县三级水域滩涂规划全部编制完成。自《省级规划》发布实施以来，为全省水产养殖业发展提供了有力支撑，在推进全省水产业转型升级、保障渔业可持续发展以及维护生态安全方面发挥了积极作用。</w:t>
      </w:r>
    </w:p>
    <w:p w14:paraId="02E05D0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szCs w:val="28"/>
          <w:lang w:val="en-US" w:eastAsia="zh-CN"/>
        </w:rPr>
      </w:pPr>
      <w:r>
        <w:rPr>
          <w:rFonts w:hint="eastAsia" w:ascii="宋体" w:hAnsi="宋体"/>
          <w:szCs w:val="28"/>
          <w:lang w:val="en-US" w:eastAsia="zh-CN"/>
        </w:rPr>
        <w:t>由于《省级规划》编制时，黑龙江省农垦和森工系统行政职能移交属地改革正在实施，《黑龙江省国土空间规划（2021—2035年）》（以下简称《省级国土空间规划》）还处于编制阶段，同时，黑龙江省第三次国土调查和自然保护地整合工作尚未完成，导致《规划》在覆盖范围、与上位及本级相关规划的衔接及协调性方面存在不足。</w:t>
      </w:r>
    </w:p>
    <w:p w14:paraId="291A42B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宋体" w:hAnsi="宋体" w:eastAsia="宋体" w:cs="宋体"/>
          <w:lang w:val="en-US"/>
        </w:rPr>
      </w:pPr>
      <w:r>
        <w:rPr>
          <w:rFonts w:hint="eastAsia" w:ascii="宋体" w:hAnsi="宋体" w:eastAsia="宋体" w:cs="宋体"/>
          <w:lang w:val="en-US" w:eastAsia="zh-CN"/>
        </w:rPr>
        <w:t>因</w:t>
      </w:r>
      <w:r>
        <w:rPr>
          <w:rFonts w:hint="eastAsia" w:ascii="宋体" w:hAnsi="宋体" w:eastAsia="宋体" w:cs="宋体"/>
        </w:rPr>
        <w:t>《</w:t>
      </w:r>
      <w:r>
        <w:rPr>
          <w:rFonts w:hint="eastAsia" w:ascii="宋体" w:hAnsi="宋体" w:eastAsia="宋体" w:cs="宋体"/>
          <w:lang w:val="en-US" w:eastAsia="zh-CN"/>
        </w:rPr>
        <w:t>省级规划</w:t>
      </w:r>
      <w:r>
        <w:rPr>
          <w:rFonts w:hint="eastAsia" w:ascii="宋体" w:hAnsi="宋体" w:eastAsia="宋体" w:cs="宋体"/>
        </w:rPr>
        <w:t>》“第十七节规划效力”阐明在规划时限内，国家和我省</w:t>
      </w:r>
      <w:r>
        <w:rPr>
          <w:rFonts w:hint="eastAsia" w:ascii="宋体" w:hAnsi="宋体" w:cs="宋体"/>
          <w:lang w:eastAsia="zh-CN"/>
        </w:rPr>
        <w:t>国民经济和社会发展</w:t>
      </w:r>
      <w:r>
        <w:rPr>
          <w:rFonts w:hint="eastAsia" w:ascii="宋体" w:hAnsi="宋体" w:eastAsia="宋体" w:cs="宋体"/>
        </w:rPr>
        <w:t>、国土空间规划，自然保护地优化等如有调整，水域滩涂规划也将申请进行相应调整修订。</w:t>
      </w:r>
      <w:r>
        <w:rPr>
          <w:rFonts w:hint="eastAsia" w:ascii="宋体" w:hAnsi="宋体" w:eastAsia="宋体" w:cs="宋体"/>
          <w:lang w:val="en-US" w:eastAsia="zh-CN"/>
        </w:rPr>
        <w:t>目前，</w:t>
      </w:r>
      <w:r>
        <w:rPr>
          <w:rFonts w:hint="eastAsia" w:ascii="宋体" w:hAnsi="宋体" w:eastAsia="宋体" w:cs="宋体"/>
        </w:rPr>
        <w:t>《</w:t>
      </w:r>
      <w:r>
        <w:rPr>
          <w:rFonts w:hint="eastAsia" w:ascii="宋体" w:hAnsi="宋体" w:eastAsia="宋体" w:cs="宋体"/>
          <w:lang w:val="en-US" w:eastAsia="zh-CN"/>
        </w:rPr>
        <w:t>省级</w:t>
      </w:r>
      <w:r>
        <w:rPr>
          <w:rFonts w:hint="eastAsia" w:ascii="宋体" w:hAnsi="宋体" w:eastAsia="宋体" w:cs="宋体"/>
        </w:rPr>
        <w:t>国土空间规划》</w:t>
      </w:r>
      <w:r>
        <w:rPr>
          <w:rFonts w:hint="eastAsia" w:ascii="宋体" w:hAnsi="宋体" w:eastAsia="宋体" w:cs="宋体"/>
          <w:lang w:val="en-US" w:eastAsia="zh-CN"/>
        </w:rPr>
        <w:t>已正式发布，第三次国土调查、自然保护地整合、农垦和森工系统行政职能也均已改革完成</w:t>
      </w:r>
      <w:r>
        <w:rPr>
          <w:rFonts w:hint="eastAsia" w:ascii="宋体" w:hAnsi="宋体" w:cs="宋体"/>
          <w:lang w:val="en-US" w:eastAsia="zh-CN"/>
        </w:rPr>
        <w:t>。</w:t>
      </w:r>
      <w:r>
        <w:rPr>
          <w:rFonts w:hint="eastAsia" w:ascii="宋体" w:hAnsi="宋体" w:eastAsia="宋体" w:cs="宋体"/>
          <w:lang w:val="en-US" w:eastAsia="zh-CN"/>
        </w:rPr>
        <w:t>因此</w:t>
      </w:r>
      <w:r>
        <w:rPr>
          <w:rFonts w:hint="eastAsia" w:ascii="宋体" w:hAnsi="宋体" w:cs="宋体"/>
          <w:lang w:val="en-US" w:eastAsia="zh-CN"/>
        </w:rPr>
        <w:t>，</w:t>
      </w:r>
      <w:r>
        <w:rPr>
          <w:rFonts w:hint="eastAsia" w:ascii="宋体" w:hAnsi="宋体" w:eastAsia="宋体" w:cs="宋体"/>
          <w:lang w:val="en-US" w:eastAsia="zh-CN"/>
        </w:rPr>
        <w:t>原规划有必要及时进行修订</w:t>
      </w:r>
      <w:r>
        <w:rPr>
          <w:rFonts w:hint="eastAsia" w:ascii="宋体" w:hAnsi="宋体" w:cs="宋体"/>
          <w:lang w:val="en-US" w:eastAsia="zh-CN"/>
        </w:rPr>
        <w:t>，</w:t>
      </w:r>
      <w:r>
        <w:rPr>
          <w:rFonts w:hint="eastAsia" w:ascii="宋体" w:hAnsi="宋体" w:eastAsia="宋体" w:cs="宋体"/>
          <w:lang w:val="en-US" w:eastAsia="zh-CN"/>
        </w:rPr>
        <w:t>特别</w:t>
      </w:r>
      <w:r>
        <w:rPr>
          <w:rFonts w:hint="eastAsia" w:ascii="宋体" w:hAnsi="宋体"/>
          <w:szCs w:val="28"/>
          <w:lang w:val="en-US" w:eastAsia="zh-CN"/>
        </w:rPr>
        <w:t>是2023年中央审计署在黑龙江省开展畜牧水产品稳定保供相关资金专项审计后，反馈黑龙江省养殖水域滩涂规划编制覆盖不完全，黑龙江省自然保护地整合及国土空间规划发布后，水域滩涂规划未进行相应调整修订等问题，为此，经黑龙江省农业农村厅研究，决定启动全省水域滩涂规划修订工作，以提高规划的实效性、可操作性和覆盖度。</w:t>
      </w:r>
    </w:p>
    <w:p w14:paraId="3E4A2251">
      <w:pPr>
        <w:pStyle w:val="4"/>
        <w:rPr>
          <w:rFonts w:hint="eastAsia" w:ascii="Times New Roman" w:hAnsi="Times New Roman" w:eastAsia="宋体" w:cs="Times New Roman"/>
          <w:lang w:val="en-US" w:eastAsia="zh-CN"/>
        </w:rPr>
      </w:pPr>
      <w:bookmarkStart w:id="6" w:name="_Toc23622"/>
      <w:r>
        <w:rPr>
          <w:rFonts w:hint="eastAsia" w:ascii="Times New Roman" w:hAnsi="Times New Roman" w:eastAsia="宋体" w:cs="Times New Roman"/>
          <w:lang w:val="en-US" w:eastAsia="zh-CN"/>
        </w:rPr>
        <w:t>1.1.4</w:t>
      </w:r>
      <w:r>
        <w:rPr>
          <w:rFonts w:hint="eastAsia" w:cs="Times New Roman"/>
          <w:lang w:val="en-US" w:eastAsia="zh-CN"/>
        </w:rPr>
        <w:t xml:space="preserve"> </w:t>
      </w:r>
      <w:r>
        <w:rPr>
          <w:rFonts w:hint="eastAsia" w:ascii="Times New Roman" w:hAnsi="Times New Roman" w:eastAsia="宋体" w:cs="Times New Roman"/>
          <w:lang w:val="en-US" w:eastAsia="zh-CN"/>
        </w:rPr>
        <w:t>规划修订的指导思想</w:t>
      </w:r>
      <w:bookmarkEnd w:id="6"/>
    </w:p>
    <w:p w14:paraId="1049939E">
      <w:pPr>
        <w:numPr>
          <w:ilvl w:val="0"/>
          <w:numId w:val="0"/>
        </w:numPr>
        <w:ind w:firstLine="560" w:firstLineChars="200"/>
        <w:rPr>
          <w:rFonts w:hint="default"/>
          <w:lang w:val="en-US" w:eastAsia="zh-CN"/>
        </w:rPr>
      </w:pPr>
      <w:r>
        <w:rPr>
          <w:rFonts w:hint="default"/>
          <w:kern w:val="2"/>
          <w:sz w:val="28"/>
          <w:szCs w:val="22"/>
          <w:lang w:val="en-US" w:eastAsia="zh-CN" w:bidi="ar-SA"/>
        </w:rPr>
        <w:t>1.</w:t>
      </w:r>
      <w:r>
        <w:rPr>
          <w:rFonts w:hint="eastAsia"/>
          <w:lang w:val="en-US" w:eastAsia="zh-CN"/>
        </w:rPr>
        <w:t>依法依规修订规划</w:t>
      </w:r>
    </w:p>
    <w:p w14:paraId="3157BC2C">
      <w:pPr>
        <w:numPr>
          <w:ilvl w:val="0"/>
          <w:numId w:val="0"/>
        </w:numPr>
        <w:ind w:firstLine="560" w:firstLineChars="200"/>
        <w:rPr>
          <w:rFonts w:hint="default"/>
          <w:lang w:val="en-US" w:eastAsia="zh-CN"/>
        </w:rPr>
      </w:pPr>
      <w:r>
        <w:rPr>
          <w:rFonts w:hint="default"/>
          <w:lang w:val="en-US" w:eastAsia="zh-CN"/>
        </w:rPr>
        <w:t>依法划定可以用于水产养殖业的水域滩涂、有序布局水产养殖发展空间，维护广大渔民切身利益。规划修订过程中功能区划定要依法依规、尊重历史，不随意改变原有养殖水域滩涂用途，没有法律法规明确禁止的，不随意划为禁养区，不搞禁限养扩大化，防止</w:t>
      </w:r>
      <w:r>
        <w:rPr>
          <w:rFonts w:hint="eastAsia"/>
          <w:lang w:val="en-US" w:eastAsia="zh-CN"/>
        </w:rPr>
        <w:t>搞</w:t>
      </w:r>
      <w:r>
        <w:rPr>
          <w:rFonts w:hint="default"/>
          <w:lang w:val="en-US" w:eastAsia="zh-CN"/>
        </w:rPr>
        <w:t>一刀切，避免因此产生新的社会问题和矛盾。指定专人负责并按时推进，高质量完成规划修订及发布工作。</w:t>
      </w:r>
    </w:p>
    <w:p w14:paraId="5D1BC23A">
      <w:pPr>
        <w:numPr>
          <w:ilvl w:val="0"/>
          <w:numId w:val="0"/>
        </w:numPr>
        <w:ind w:left="0" w:leftChars="0" w:firstLine="560" w:firstLineChars="200"/>
        <w:rPr>
          <w:rFonts w:hint="default"/>
          <w:lang w:val="en-US" w:eastAsia="zh-CN"/>
        </w:rPr>
      </w:pPr>
      <w:r>
        <w:rPr>
          <w:rFonts w:hint="default"/>
          <w:kern w:val="2"/>
          <w:sz w:val="28"/>
          <w:szCs w:val="22"/>
          <w:lang w:val="en-US" w:eastAsia="zh-CN" w:bidi="ar-SA"/>
        </w:rPr>
        <w:t>2.</w:t>
      </w:r>
      <w:r>
        <w:rPr>
          <w:rFonts w:hint="default"/>
          <w:lang w:val="en-US" w:eastAsia="zh-CN"/>
        </w:rPr>
        <w:t>科学修订完善本级水域滩涂规划内容</w:t>
      </w:r>
    </w:p>
    <w:p w14:paraId="43590184">
      <w:pPr>
        <w:ind w:firstLine="560" w:firstLineChars="200"/>
        <w:jc w:val="both"/>
        <w:rPr>
          <w:rFonts w:hint="default"/>
          <w:lang w:val="en-US" w:eastAsia="zh-CN"/>
        </w:rPr>
      </w:pPr>
      <w:r>
        <w:rPr>
          <w:rFonts w:hint="default"/>
          <w:lang w:val="en-US" w:eastAsia="zh-CN"/>
        </w:rPr>
        <w:t>本次水域滩涂规划修订的主要内容包括：一是理顺本级规划与上级及同级</w:t>
      </w:r>
      <w:r>
        <w:rPr>
          <w:rFonts w:ascii="宋体" w:hAnsi="宋体"/>
          <w:szCs w:val="28"/>
          <w:highlight w:val="none"/>
        </w:rPr>
        <w:t>《</w:t>
      </w:r>
      <w:r>
        <w:rPr>
          <w:rFonts w:hint="eastAsia" w:ascii="宋体" w:hAnsi="宋体"/>
          <w:szCs w:val="28"/>
          <w:highlight w:val="none"/>
          <w:lang w:val="en-US" w:eastAsia="zh-CN"/>
        </w:rPr>
        <w:t>嘉荫县国土空间</w:t>
      </w:r>
      <w:r>
        <w:rPr>
          <w:rFonts w:ascii="宋体" w:hAnsi="宋体"/>
          <w:szCs w:val="28"/>
          <w:highlight w:val="none"/>
        </w:rPr>
        <w:t>总体规划（20</w:t>
      </w:r>
      <w:r>
        <w:rPr>
          <w:rFonts w:hint="eastAsia" w:ascii="宋体" w:hAnsi="宋体"/>
          <w:szCs w:val="28"/>
          <w:highlight w:val="none"/>
          <w:lang w:val="en-US" w:eastAsia="zh-CN"/>
        </w:rPr>
        <w:t>21—</w:t>
      </w:r>
      <w:r>
        <w:rPr>
          <w:rFonts w:ascii="宋体" w:hAnsi="宋体"/>
          <w:szCs w:val="28"/>
          <w:highlight w:val="none"/>
        </w:rPr>
        <w:t>20</w:t>
      </w:r>
      <w:r>
        <w:rPr>
          <w:rFonts w:hint="eastAsia" w:ascii="宋体" w:hAnsi="宋体"/>
          <w:szCs w:val="28"/>
          <w:highlight w:val="none"/>
          <w:lang w:val="en-US" w:eastAsia="zh-CN"/>
        </w:rPr>
        <w:t>35</w:t>
      </w:r>
      <w:r>
        <w:rPr>
          <w:rFonts w:ascii="宋体" w:hAnsi="宋体"/>
          <w:szCs w:val="28"/>
          <w:highlight w:val="none"/>
        </w:rPr>
        <w:t>年）》</w:t>
      </w:r>
      <w:r>
        <w:rPr>
          <w:rFonts w:hint="eastAsia" w:ascii="宋体" w:hAnsi="宋体"/>
          <w:szCs w:val="28"/>
          <w:lang w:val="en-US" w:eastAsia="zh-CN"/>
        </w:rPr>
        <w:t>（以下简称《国土空间规划》）</w:t>
      </w:r>
      <w:r>
        <w:rPr>
          <w:rFonts w:hint="default"/>
          <w:lang w:val="en-US" w:eastAsia="zh-CN"/>
        </w:rPr>
        <w:t>的关系，确保功能区划分符合要求。二是与整合后的自然保护地有机衔接，功能区划数据完全契合。三是做到应划尽划，确保规划真正实现全覆盖。四是数据修订使用国土空间规划及</w:t>
      </w:r>
      <w:r>
        <w:rPr>
          <w:rFonts w:hint="eastAsia"/>
          <w:lang w:val="en-US" w:eastAsia="zh-CN"/>
        </w:rPr>
        <w:t>第三次全国国土调查（简称‘国土三调’）</w:t>
      </w:r>
      <w:r>
        <w:rPr>
          <w:rFonts w:hint="default"/>
          <w:lang w:val="en-US" w:eastAsia="zh-CN"/>
        </w:rPr>
        <w:t>的平台、数据及矢量图表，补全功能区信息数据。修订工作依据《黑龙江省养殖水域滩涂规划（2020</w:t>
      </w:r>
      <w:r>
        <w:rPr>
          <w:rFonts w:hint="eastAsia"/>
          <w:lang w:val="en-US" w:eastAsia="zh-CN"/>
        </w:rPr>
        <w:t>—</w:t>
      </w:r>
      <w:r>
        <w:rPr>
          <w:rFonts w:hint="default"/>
          <w:lang w:val="en-US" w:eastAsia="zh-CN"/>
        </w:rPr>
        <w:t>2030）》修订技术指南开展，并与本级其他相关专项规划相衔接，确保修订规划的规范性、科学性和可操作性。</w:t>
      </w:r>
    </w:p>
    <w:p w14:paraId="62A4B920">
      <w:pPr>
        <w:numPr>
          <w:ilvl w:val="0"/>
          <w:numId w:val="0"/>
        </w:numPr>
        <w:ind w:left="0" w:leftChars="0" w:firstLine="560" w:firstLineChars="200"/>
        <w:rPr>
          <w:rFonts w:hint="default"/>
          <w:lang w:val="en-US" w:eastAsia="zh-CN"/>
        </w:rPr>
      </w:pPr>
      <w:r>
        <w:rPr>
          <w:rFonts w:hint="default"/>
          <w:kern w:val="2"/>
          <w:sz w:val="28"/>
          <w:szCs w:val="22"/>
          <w:lang w:val="en-US" w:eastAsia="zh-CN" w:bidi="ar-SA"/>
        </w:rPr>
        <w:t>3.</w:t>
      </w:r>
      <w:r>
        <w:rPr>
          <w:rFonts w:hint="eastAsia"/>
          <w:lang w:val="en-US" w:eastAsia="zh-CN"/>
        </w:rPr>
        <w:t>按要求</w:t>
      </w:r>
      <w:r>
        <w:rPr>
          <w:rFonts w:hint="default"/>
          <w:lang w:val="en-US" w:eastAsia="zh-CN"/>
        </w:rPr>
        <w:t>保质保量完成规划修订工作任务</w:t>
      </w:r>
    </w:p>
    <w:p w14:paraId="3D72BEF7">
      <w:pPr>
        <w:ind w:firstLine="560" w:firstLineChars="200"/>
        <w:rPr>
          <w:rFonts w:hint="default"/>
          <w:lang w:val="en-US" w:eastAsia="zh-CN"/>
        </w:rPr>
      </w:pPr>
      <w:r>
        <w:rPr>
          <w:rFonts w:hint="default"/>
          <w:lang w:val="en-US" w:eastAsia="zh-CN"/>
        </w:rPr>
        <w:t>严格把握规划修订工作完成时限</w:t>
      </w:r>
      <w:r>
        <w:rPr>
          <w:rFonts w:hint="eastAsia"/>
          <w:lang w:val="en-US" w:eastAsia="zh-CN"/>
        </w:rPr>
        <w:t>。</w:t>
      </w:r>
      <w:r>
        <w:rPr>
          <w:rFonts w:hint="default"/>
          <w:lang w:val="en-US" w:eastAsia="zh-CN"/>
        </w:rPr>
        <w:t>加强组织领导，</w:t>
      </w:r>
      <w:r>
        <w:rPr>
          <w:rFonts w:hint="eastAsia"/>
          <w:lang w:val="en-US" w:eastAsia="zh-CN"/>
        </w:rPr>
        <w:t>明确任务分工，组建技术团队</w:t>
      </w:r>
      <w:r>
        <w:rPr>
          <w:rFonts w:hint="default"/>
          <w:lang w:val="en-US" w:eastAsia="zh-CN"/>
        </w:rPr>
        <w:t>，确保规划修订工作任务按时高质量完成。</w:t>
      </w:r>
      <w:r>
        <w:rPr>
          <w:rFonts w:hint="eastAsia"/>
          <w:lang w:val="en-US" w:eastAsia="zh-CN"/>
        </w:rPr>
        <w:t>按照</w:t>
      </w:r>
      <w:r>
        <w:rPr>
          <w:rFonts w:hint="default"/>
          <w:lang w:val="en-US" w:eastAsia="zh-CN"/>
        </w:rPr>
        <w:t>季度调度和年度通报工作机制</w:t>
      </w:r>
      <w:r>
        <w:rPr>
          <w:rFonts w:hint="eastAsia"/>
          <w:lang w:val="en-US" w:eastAsia="zh-CN"/>
        </w:rPr>
        <w:t>要求，</w:t>
      </w:r>
      <w:r>
        <w:rPr>
          <w:rFonts w:hint="default"/>
          <w:lang w:val="en-US" w:eastAsia="zh-CN"/>
        </w:rPr>
        <w:t>于每季度末前组织填写</w:t>
      </w:r>
      <w:r>
        <w:rPr>
          <w:rFonts w:hint="eastAsia"/>
          <w:lang w:val="en-US" w:eastAsia="zh-CN"/>
        </w:rPr>
        <w:t>并上报</w:t>
      </w:r>
      <w:r>
        <w:rPr>
          <w:rFonts w:hint="default"/>
          <w:lang w:val="en-US" w:eastAsia="zh-CN"/>
        </w:rPr>
        <w:t>《规划修订发布工作进展情况季报表》。</w:t>
      </w:r>
    </w:p>
    <w:p w14:paraId="0704C0DB">
      <w:pPr>
        <w:numPr>
          <w:ilvl w:val="0"/>
          <w:numId w:val="0"/>
        </w:numPr>
        <w:ind w:left="0" w:leftChars="0" w:firstLine="560" w:firstLineChars="200"/>
        <w:rPr>
          <w:rFonts w:hint="default"/>
          <w:lang w:val="en-US" w:eastAsia="zh-CN"/>
        </w:rPr>
      </w:pPr>
      <w:r>
        <w:rPr>
          <w:rFonts w:hint="default"/>
          <w:kern w:val="2"/>
          <w:sz w:val="28"/>
          <w:szCs w:val="22"/>
          <w:lang w:val="en-US" w:eastAsia="zh-CN" w:bidi="ar-SA"/>
        </w:rPr>
        <w:t>4.</w:t>
      </w:r>
      <w:r>
        <w:rPr>
          <w:rFonts w:hint="default"/>
          <w:lang w:val="en-US" w:eastAsia="zh-CN"/>
        </w:rPr>
        <w:t>加强领导服务，定期调度规划修订进展情况</w:t>
      </w:r>
    </w:p>
    <w:p w14:paraId="511D4C54">
      <w:pPr>
        <w:numPr>
          <w:ilvl w:val="0"/>
          <w:numId w:val="0"/>
        </w:numPr>
        <w:ind w:firstLine="560" w:firstLineChars="200"/>
        <w:rPr>
          <w:rFonts w:hint="default"/>
          <w:lang w:val="en-US" w:eastAsia="zh-CN"/>
        </w:rPr>
      </w:pPr>
      <w:r>
        <w:rPr>
          <w:rFonts w:hint="default"/>
          <w:lang w:val="en-US" w:eastAsia="zh-CN"/>
        </w:rPr>
        <w:t>成立由人民政府主管领导任组长，由农业农村</w:t>
      </w:r>
      <w:r>
        <w:rPr>
          <w:rFonts w:hint="eastAsia"/>
          <w:lang w:val="en-US" w:eastAsia="zh-CN"/>
        </w:rPr>
        <w:t>局</w:t>
      </w:r>
      <w:r>
        <w:rPr>
          <w:rFonts w:hint="default"/>
          <w:lang w:val="en-US" w:eastAsia="zh-CN"/>
        </w:rPr>
        <w:t>等相关部门主要负责同志任副组长的工作领导小组，统筹解决规划编制修订所需要的人力、财力、物力，协调国土、规划等相关部门，审定工作方案，按时推进各项工作落实。</w:t>
      </w:r>
    </w:p>
    <w:p w14:paraId="68301ADD">
      <w:pPr>
        <w:pStyle w:val="4"/>
        <w:rPr>
          <w:rFonts w:ascii="Times New Roman" w:hAnsi="宋体"/>
        </w:rPr>
      </w:pPr>
      <w:bookmarkStart w:id="7" w:name="_Toc26387"/>
      <w:r>
        <w:rPr>
          <w:rFonts w:ascii="Times New Roman" w:hAnsi="Times New Roman"/>
        </w:rPr>
        <w:t>1.1.</w:t>
      </w:r>
      <w:r>
        <w:rPr>
          <w:rFonts w:hint="eastAsia" w:ascii="Times New Roman" w:hAnsi="Times New Roman"/>
          <w:lang w:val="en-US" w:eastAsia="zh-CN"/>
        </w:rPr>
        <w:t>5</w:t>
      </w:r>
      <w:r>
        <w:rPr>
          <w:rFonts w:hint="eastAsia"/>
          <w:lang w:val="en-US" w:eastAsia="zh-CN"/>
        </w:rPr>
        <w:t xml:space="preserve"> </w:t>
      </w:r>
      <w:r>
        <w:rPr>
          <w:rFonts w:hint="eastAsia" w:ascii="Times New Roman" w:hAnsi="Times New Roman"/>
          <w:lang w:val="en-US" w:eastAsia="zh-CN"/>
        </w:rPr>
        <w:t>规划修订的</w:t>
      </w:r>
      <w:r>
        <w:rPr>
          <w:rFonts w:ascii="Times New Roman" w:hAnsi="宋体"/>
        </w:rPr>
        <w:t>目的</w:t>
      </w:r>
      <w:r>
        <w:rPr>
          <w:rFonts w:hint="eastAsia" w:ascii="Times New Roman" w:hAnsi="宋体"/>
          <w:lang w:val="en-US" w:eastAsia="zh-CN"/>
        </w:rPr>
        <w:t>及</w:t>
      </w:r>
      <w:r>
        <w:rPr>
          <w:rFonts w:ascii="Times New Roman" w:hAnsi="宋体"/>
        </w:rPr>
        <w:t>意义</w:t>
      </w:r>
      <w:bookmarkEnd w:id="7"/>
    </w:p>
    <w:p w14:paraId="5FD1C0AD">
      <w:pPr>
        <w:tabs>
          <w:tab w:val="left" w:pos="8280"/>
        </w:tabs>
        <w:ind w:right="28" w:firstLine="560" w:firstLineChars="200"/>
        <w:rPr>
          <w:rFonts w:hint="eastAsia" w:ascii="宋体" w:hAnsi="宋体"/>
          <w:szCs w:val="28"/>
        </w:rPr>
      </w:pPr>
      <w:r>
        <w:rPr>
          <w:rFonts w:hint="eastAsia" w:ascii="宋体" w:hAnsi="宋体"/>
          <w:szCs w:val="28"/>
        </w:rPr>
        <w:t>一是加快渔业转型升级的需要。现代渔业的发展必须尽快从主要追求产量和依赖资源消耗的粗放经营转到数量质量效益并重、注重提高竞争力、注重养殖产业科技创新、注重可持续发展的集约发展上来，走产出高效、产品安全、资源节约、环境友好的现代渔业产业发展道路。立足当地资源优势，推进渔业综合开发布局调整。通过政策支持和规划引导，加</w:t>
      </w:r>
      <w:r>
        <w:rPr>
          <w:rFonts w:hint="eastAsia" w:ascii="宋体" w:hAnsi="宋体"/>
          <w:szCs w:val="28"/>
          <w:lang w:val="en-US" w:eastAsia="zh-CN"/>
        </w:rPr>
        <w:t>快</w:t>
      </w:r>
      <w:r>
        <w:rPr>
          <w:rFonts w:hint="eastAsia" w:ascii="宋体" w:hAnsi="宋体"/>
          <w:szCs w:val="28"/>
        </w:rPr>
        <w:t>推进规模化、集约化、标准化养殖，增强养殖业竞争力，推动养殖产业转型升级。二是推动</w:t>
      </w:r>
      <w:r>
        <w:rPr>
          <w:rFonts w:hint="eastAsia" w:ascii="宋体" w:hAnsi="宋体"/>
          <w:szCs w:val="28"/>
          <w:lang w:val="en-US" w:eastAsia="zh-CN"/>
        </w:rPr>
        <w:t>嘉荫县</w:t>
      </w:r>
      <w:r>
        <w:rPr>
          <w:rFonts w:hint="eastAsia" w:ascii="宋体" w:hAnsi="宋体"/>
          <w:szCs w:val="28"/>
        </w:rPr>
        <w:t>经济结构调整、推动区域经济发展的需要。</w:t>
      </w:r>
      <w:r>
        <w:rPr>
          <w:rFonts w:hint="eastAsia" w:ascii="宋体" w:hAnsi="宋体"/>
          <w:szCs w:val="28"/>
          <w:lang w:val="en-US" w:eastAsia="zh-CN"/>
        </w:rPr>
        <w:t>本次</w:t>
      </w:r>
      <w:r>
        <w:rPr>
          <w:rFonts w:hint="eastAsia" w:ascii="宋体" w:hAnsi="宋体"/>
          <w:szCs w:val="28"/>
        </w:rPr>
        <w:t>养殖水域滩涂规划</w:t>
      </w:r>
      <w:r>
        <w:rPr>
          <w:rFonts w:hint="eastAsia" w:ascii="宋体" w:hAnsi="宋体"/>
          <w:szCs w:val="28"/>
          <w:lang w:val="en-US" w:eastAsia="zh-CN"/>
        </w:rPr>
        <w:t>修订</w:t>
      </w:r>
      <w:r>
        <w:rPr>
          <w:rFonts w:hint="eastAsia" w:ascii="宋体" w:hAnsi="宋体"/>
          <w:szCs w:val="28"/>
        </w:rPr>
        <w:t>是配合</w:t>
      </w:r>
      <w:r>
        <w:rPr>
          <w:rFonts w:hint="eastAsia" w:ascii="宋体" w:hAnsi="宋体"/>
          <w:szCs w:val="28"/>
          <w:lang w:val="en-US" w:eastAsia="zh-CN"/>
        </w:rPr>
        <w:t>嘉荫县</w:t>
      </w:r>
      <w:r>
        <w:rPr>
          <w:rFonts w:hint="eastAsia" w:ascii="宋体" w:hAnsi="宋体"/>
          <w:szCs w:val="28"/>
        </w:rPr>
        <w:t>现代农业、健康养生产业和旅游业发展的需要，是实施富民强民战略的一项重要举措。</w:t>
      </w:r>
    </w:p>
    <w:p w14:paraId="3E4EEA7C">
      <w:pPr>
        <w:tabs>
          <w:tab w:val="left" w:pos="8280"/>
        </w:tabs>
        <w:ind w:right="28" w:firstLine="560" w:firstLineChars="200"/>
        <w:rPr>
          <w:rFonts w:hint="eastAsia" w:ascii="宋体" w:hAnsi="宋体"/>
          <w:szCs w:val="28"/>
        </w:rPr>
      </w:pPr>
      <w:r>
        <w:rPr>
          <w:rFonts w:hint="eastAsia" w:ascii="宋体" w:hAnsi="宋体"/>
          <w:szCs w:val="28"/>
        </w:rPr>
        <w:t>规划</w:t>
      </w:r>
      <w:r>
        <w:rPr>
          <w:rFonts w:hint="eastAsia" w:ascii="宋体" w:hAnsi="宋体"/>
          <w:szCs w:val="28"/>
          <w:lang w:val="en-US" w:eastAsia="zh-CN"/>
        </w:rPr>
        <w:t>修订</w:t>
      </w:r>
      <w:r>
        <w:rPr>
          <w:rFonts w:hint="eastAsia" w:ascii="宋体" w:hAnsi="宋体"/>
          <w:szCs w:val="28"/>
        </w:rPr>
        <w:t>坚持以创新、协调、</w:t>
      </w:r>
      <w:r>
        <w:rPr>
          <w:rFonts w:hint="eastAsia" w:ascii="宋体" w:hAnsi="宋体"/>
          <w:szCs w:val="28"/>
          <w:lang w:eastAsia="zh-CN"/>
        </w:rPr>
        <w:t>绿色、开放、共享的新发展理念</w:t>
      </w:r>
      <w:r>
        <w:rPr>
          <w:rFonts w:hint="eastAsia" w:ascii="宋体" w:hAnsi="宋体"/>
          <w:szCs w:val="28"/>
        </w:rPr>
        <w:t>为引领，以提质增效、减量增收、绿色发展、富裕渔民为目标，深入推进农业供给侧结构性改革，促进全</w:t>
      </w:r>
      <w:r>
        <w:rPr>
          <w:rFonts w:hint="eastAsia" w:ascii="宋体" w:hAnsi="宋体"/>
          <w:szCs w:val="28"/>
          <w:lang w:val="en-US" w:eastAsia="zh-CN"/>
        </w:rPr>
        <w:t>县</w:t>
      </w:r>
      <w:r>
        <w:rPr>
          <w:rFonts w:hint="eastAsia" w:ascii="宋体" w:hAnsi="宋体"/>
          <w:szCs w:val="28"/>
        </w:rPr>
        <w:t>水产产业转型升级。对全</w:t>
      </w:r>
      <w:r>
        <w:rPr>
          <w:rFonts w:hint="eastAsia" w:ascii="宋体" w:hAnsi="宋体"/>
          <w:szCs w:val="28"/>
          <w:lang w:val="en-US" w:eastAsia="zh-CN"/>
        </w:rPr>
        <w:t>县</w:t>
      </w:r>
      <w:r>
        <w:rPr>
          <w:rFonts w:hint="eastAsia" w:ascii="宋体" w:hAnsi="宋体"/>
          <w:szCs w:val="28"/>
        </w:rPr>
        <w:t>特色水产养殖发展、渔业经济增长、渔业资源的开发利用、渔业产业结构优化、新农村开发建设、农（渔）民收入增加以及生态环境改善等方面具有重要的先导意义和实践意义。</w:t>
      </w:r>
      <w:bookmarkStart w:id="8" w:name="_Toc9506"/>
    </w:p>
    <w:p w14:paraId="54C4506C">
      <w:pPr>
        <w:pStyle w:val="3"/>
        <w:rPr>
          <w:rFonts w:ascii="Times New Roman" w:hAnsi="Times New Roman"/>
          <w:lang w:val="en-US" w:eastAsia="zh-CN"/>
        </w:rPr>
      </w:pPr>
      <w:bookmarkStart w:id="9" w:name="_Toc11771"/>
      <w:r>
        <w:rPr>
          <w:rFonts w:ascii="Times New Roman" w:hAnsi="Times New Roman"/>
          <w:lang w:val="en-US" w:eastAsia="zh-CN"/>
        </w:rPr>
        <w:t xml:space="preserve">1.2 </w:t>
      </w:r>
      <w:r>
        <w:rPr>
          <w:rFonts w:hint="eastAsia" w:ascii="Times New Roman" w:hAnsi="Times New Roman"/>
          <w:lang w:val="en-US" w:eastAsia="zh-CN"/>
        </w:rPr>
        <w:t>修订</w:t>
      </w:r>
      <w:r>
        <w:rPr>
          <w:rFonts w:ascii="Times New Roman" w:hAnsi="Times New Roman"/>
          <w:lang w:val="en-US" w:eastAsia="zh-CN"/>
        </w:rPr>
        <w:t>依据</w:t>
      </w:r>
      <w:bookmarkEnd w:id="8"/>
      <w:bookmarkEnd w:id="9"/>
    </w:p>
    <w:p w14:paraId="31151CEF">
      <w:pPr>
        <w:pStyle w:val="4"/>
        <w:rPr>
          <w:rFonts w:ascii="Times New Roman" w:hAnsi="Times New Roman"/>
        </w:rPr>
      </w:pPr>
      <w:bookmarkStart w:id="10" w:name="_Toc32194"/>
      <w:bookmarkStart w:id="11" w:name="_Toc510100679"/>
      <w:r>
        <w:rPr>
          <w:rFonts w:ascii="Times New Roman" w:hAnsi="Times New Roman"/>
        </w:rPr>
        <w:t xml:space="preserve">1.2.1 </w:t>
      </w:r>
      <w:r>
        <w:rPr>
          <w:rFonts w:hint="eastAsia" w:ascii="Times New Roman" w:hAnsi="宋体"/>
        </w:rPr>
        <w:t>相关</w:t>
      </w:r>
      <w:r>
        <w:rPr>
          <w:rFonts w:ascii="Times New Roman" w:hAnsi="宋体"/>
        </w:rPr>
        <w:t>法律法规</w:t>
      </w:r>
      <w:bookmarkEnd w:id="10"/>
      <w:bookmarkEnd w:id="11"/>
    </w:p>
    <w:p w14:paraId="1970885C">
      <w:pPr>
        <w:numPr>
          <w:ilvl w:val="0"/>
          <w:numId w:val="0"/>
        </w:numPr>
        <w:spacing w:line="360" w:lineRule="auto"/>
        <w:ind w:leftChars="0" w:firstLine="560" w:firstLineChars="200"/>
        <w:rPr>
          <w:rFonts w:hint="eastAsia" w:ascii="宋体" w:hAnsi="宋体" w:eastAsia="宋体" w:cs="宋体"/>
          <w:color w:val="auto"/>
          <w:sz w:val="28"/>
          <w:szCs w:val="28"/>
          <w:lang w:val="en-US" w:eastAsia="zh-CN"/>
        </w:rPr>
      </w:pPr>
      <w:bookmarkStart w:id="12" w:name="_Toc510100680"/>
      <w:r>
        <w:rPr>
          <w:rFonts w:hint="eastAsia" w:ascii="宋体" w:hAnsi="宋体" w:eastAsia="宋体" w:cs="宋体"/>
          <w:color w:val="auto"/>
          <w:sz w:val="28"/>
          <w:szCs w:val="28"/>
          <w:lang w:val="en-US" w:eastAsia="zh-CN"/>
        </w:rPr>
        <w:t>1.《中华人民共和国渔业法》（20</w:t>
      </w:r>
      <w:r>
        <w:rPr>
          <w:rFonts w:hint="eastAsia" w:ascii="宋体" w:hAnsi="宋体" w:cs="宋体"/>
          <w:color w:val="auto"/>
          <w:sz w:val="28"/>
          <w:szCs w:val="28"/>
          <w:lang w:val="en-US" w:eastAsia="zh-CN"/>
        </w:rPr>
        <w:t>25.12.27修订</w:t>
      </w:r>
      <w:r>
        <w:rPr>
          <w:rFonts w:hint="eastAsia" w:ascii="宋体" w:hAnsi="宋体" w:eastAsia="宋体" w:cs="宋体"/>
          <w:color w:val="auto"/>
          <w:sz w:val="28"/>
          <w:szCs w:val="28"/>
          <w:lang w:val="en-US" w:eastAsia="zh-CN"/>
        </w:rPr>
        <w:t>）；</w:t>
      </w:r>
    </w:p>
    <w:p w14:paraId="5AF50ECB">
      <w:pPr>
        <w:numPr>
          <w:ilvl w:val="0"/>
          <w:numId w:val="0"/>
        </w:numPr>
        <w:spacing w:line="360" w:lineRule="auto"/>
        <w:ind w:leftChars="0"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2.《中华人民共和国环境保护法》（2015.1.1）；</w:t>
      </w:r>
    </w:p>
    <w:p w14:paraId="29D0873B">
      <w:pPr>
        <w:numPr>
          <w:ilvl w:val="0"/>
          <w:numId w:val="0"/>
        </w:numPr>
        <w:spacing w:line="360" w:lineRule="auto"/>
        <w:ind w:leftChars="0"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3.《中华人民共和国水法》</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en-US" w:eastAsia="zh-CN"/>
        </w:rPr>
        <w:t>2016.7.2</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en-US" w:eastAsia="zh-CN"/>
        </w:rPr>
        <w:t>；</w:t>
      </w:r>
    </w:p>
    <w:p w14:paraId="08FDDA85">
      <w:pPr>
        <w:numPr>
          <w:ilvl w:val="0"/>
          <w:numId w:val="0"/>
        </w:numPr>
        <w:spacing w:line="360" w:lineRule="auto"/>
        <w:ind w:leftChars="0"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4.《中华人民共和国水污染防治法》（2018.1.1）；</w:t>
      </w:r>
    </w:p>
    <w:p w14:paraId="1F5A3E74">
      <w:pPr>
        <w:numPr>
          <w:ilvl w:val="0"/>
          <w:numId w:val="0"/>
        </w:numPr>
        <w:spacing w:line="360" w:lineRule="auto"/>
        <w:ind w:leftChars="0"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5.《中华人民共和国城乡规划法》</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en-US" w:eastAsia="zh-CN"/>
        </w:rPr>
        <w:t>2019.4.23</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en-US" w:eastAsia="zh-CN"/>
        </w:rPr>
        <w:t>；</w:t>
      </w:r>
    </w:p>
    <w:p w14:paraId="2AEFDC2D">
      <w:pPr>
        <w:numPr>
          <w:ilvl w:val="0"/>
          <w:numId w:val="0"/>
        </w:numPr>
        <w:spacing w:line="360" w:lineRule="auto"/>
        <w:ind w:leftChars="0"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6.《中华人民共和国自然保护区条例》</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en-US" w:eastAsia="zh-CN"/>
        </w:rPr>
        <w:t>2017.10.7</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en-US" w:eastAsia="zh-CN"/>
        </w:rPr>
        <w:t>；</w:t>
      </w:r>
    </w:p>
    <w:p w14:paraId="45EA8092">
      <w:pPr>
        <w:numPr>
          <w:ilvl w:val="0"/>
          <w:numId w:val="0"/>
        </w:numPr>
        <w:spacing w:line="360" w:lineRule="auto"/>
        <w:ind w:leftChars="0"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7.《中华人民共和国湿地保护法》</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en-US" w:eastAsia="zh-CN"/>
        </w:rPr>
        <w:t>2022.6.1</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en-US" w:eastAsia="zh-CN"/>
        </w:rPr>
        <w:t>。</w:t>
      </w:r>
    </w:p>
    <w:p w14:paraId="785E6B3D">
      <w:pPr>
        <w:pStyle w:val="4"/>
        <w:rPr>
          <w:rFonts w:hint="eastAsia" w:ascii="宋体" w:hAnsi="宋体" w:eastAsia="宋体" w:cs="宋体"/>
          <w:color w:val="auto"/>
          <w:sz w:val="28"/>
          <w:szCs w:val="28"/>
          <w:lang w:val="en-US" w:eastAsia="zh-CN"/>
        </w:rPr>
      </w:pPr>
      <w:bookmarkStart w:id="13" w:name="_Toc28904"/>
      <w:r>
        <w:rPr>
          <w:rFonts w:ascii="Times New Roman" w:hAnsi="Times New Roman"/>
          <w:color w:val="auto"/>
        </w:rPr>
        <w:t>1.2.2</w:t>
      </w:r>
      <w:r>
        <w:rPr>
          <w:rFonts w:hint="eastAsia" w:ascii="Times New Roman" w:hAnsi="Times New Roman"/>
          <w:color w:val="auto"/>
        </w:rPr>
        <w:t xml:space="preserve"> </w:t>
      </w:r>
      <w:r>
        <w:rPr>
          <w:rFonts w:hint="eastAsia" w:ascii="Times New Roman" w:hAnsi="宋体"/>
          <w:color w:val="auto"/>
        </w:rPr>
        <w:t>相</w:t>
      </w:r>
      <w:r>
        <w:rPr>
          <w:rFonts w:ascii="Times New Roman" w:hAnsi="宋体"/>
          <w:color w:val="auto"/>
        </w:rPr>
        <w:t>关政策文件</w:t>
      </w:r>
      <w:bookmarkEnd w:id="12"/>
      <w:bookmarkEnd w:id="13"/>
      <w:bookmarkStart w:id="14" w:name="_Toc510100681"/>
    </w:p>
    <w:p w14:paraId="003B3CF9">
      <w:pPr>
        <w:numPr>
          <w:ilvl w:val="0"/>
          <w:numId w:val="0"/>
        </w:numPr>
        <w:spacing w:line="360" w:lineRule="auto"/>
        <w:ind w:leftChars="0"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1.《生态环境部关于印发</w:t>
      </w:r>
      <w:r>
        <w:rPr>
          <w:rFonts w:hint="eastAsia" w:ascii="宋体" w:hAnsi="宋体" w:cs="宋体"/>
          <w:color w:val="auto"/>
          <w:sz w:val="28"/>
          <w:szCs w:val="28"/>
          <w:highlight w:val="none"/>
          <w:lang w:val="en-US" w:eastAsia="zh-CN"/>
        </w:rPr>
        <w:t>〈</w:t>
      </w:r>
      <w:r>
        <w:rPr>
          <w:rFonts w:hint="eastAsia" w:ascii="宋体" w:hAnsi="宋体" w:eastAsia="宋体" w:cs="宋体"/>
          <w:color w:val="auto"/>
          <w:sz w:val="28"/>
          <w:szCs w:val="28"/>
          <w:highlight w:val="none"/>
          <w:lang w:val="en-US" w:eastAsia="zh-CN"/>
        </w:rPr>
        <w:t>生态保护红线生态环境监督办法（试行）</w:t>
      </w:r>
      <w:r>
        <w:rPr>
          <w:rFonts w:hint="eastAsia" w:ascii="宋体" w:hAnsi="宋体" w:cs="宋体"/>
          <w:color w:val="auto"/>
          <w:sz w:val="28"/>
          <w:szCs w:val="28"/>
          <w:highlight w:val="none"/>
          <w:lang w:val="en-US" w:eastAsia="zh-CN"/>
        </w:rPr>
        <w:t>〉的通知》</w:t>
      </w:r>
      <w:r>
        <w:rPr>
          <w:rFonts w:hint="eastAsia" w:ascii="宋体" w:hAnsi="宋体" w:eastAsia="宋体" w:cs="宋体"/>
          <w:color w:val="auto"/>
          <w:sz w:val="28"/>
          <w:szCs w:val="28"/>
          <w:highlight w:val="none"/>
          <w:lang w:val="en-US" w:eastAsia="zh-CN"/>
        </w:rPr>
        <w:t>（国环规生态〔2022〕2号）；</w:t>
      </w:r>
    </w:p>
    <w:p w14:paraId="673B8908">
      <w:pPr>
        <w:numPr>
          <w:ilvl w:val="0"/>
          <w:numId w:val="0"/>
        </w:numPr>
        <w:spacing w:line="360" w:lineRule="auto"/>
        <w:ind w:leftChars="0"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w:t>
      </w:r>
      <w:r>
        <w:rPr>
          <w:rFonts w:hint="eastAsia" w:ascii="宋体" w:hAnsi="宋体" w:cs="宋体"/>
          <w:color w:val="auto"/>
          <w:sz w:val="28"/>
          <w:szCs w:val="28"/>
          <w:highlight w:val="none"/>
          <w:lang w:val="en-US" w:eastAsia="zh-CN"/>
        </w:rPr>
        <w:t>《中共中央办公厅 国务院办公厅</w:t>
      </w:r>
      <w:r>
        <w:rPr>
          <w:rFonts w:hint="eastAsia" w:ascii="宋体" w:hAnsi="宋体" w:eastAsia="宋体" w:cs="宋体"/>
          <w:color w:val="auto"/>
          <w:sz w:val="28"/>
          <w:szCs w:val="28"/>
          <w:highlight w:val="none"/>
          <w:lang w:val="en-US" w:eastAsia="zh-CN"/>
        </w:rPr>
        <w:t>关于加强生态环境分区管控的意见》（2024.3.6）；</w:t>
      </w:r>
    </w:p>
    <w:p w14:paraId="2DED7307">
      <w:pPr>
        <w:numPr>
          <w:ilvl w:val="0"/>
          <w:numId w:val="0"/>
        </w:numPr>
        <w:spacing w:line="360" w:lineRule="auto"/>
        <w:ind w:leftChars="0"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3.《自然资源部生态环境部国家林业和草原局关于加强生态保护红线管理的通知（试行）》（自然资发〔2022〕142号）；</w:t>
      </w:r>
    </w:p>
    <w:p w14:paraId="76C9C950">
      <w:pPr>
        <w:numPr>
          <w:ilvl w:val="0"/>
          <w:numId w:val="0"/>
        </w:numPr>
        <w:spacing w:line="360" w:lineRule="auto"/>
        <w:ind w:leftChars="0"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4.国家林业和草原局关于印发《国家级自然公园管理办法（试行）》的通知（林保规〔2023〕4号）；</w:t>
      </w:r>
    </w:p>
    <w:p w14:paraId="1D37B324">
      <w:pPr>
        <w:numPr>
          <w:ilvl w:val="0"/>
          <w:numId w:val="0"/>
        </w:numPr>
        <w:spacing w:line="360" w:lineRule="auto"/>
        <w:ind w:leftChars="0"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5.环境保护部</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国家发展改革委《生态保护红线划定指南》（2017.5）；</w:t>
      </w:r>
    </w:p>
    <w:p w14:paraId="5132747E">
      <w:pPr>
        <w:numPr>
          <w:ilvl w:val="0"/>
          <w:numId w:val="0"/>
        </w:numPr>
        <w:spacing w:line="360" w:lineRule="auto"/>
        <w:ind w:leftChars="0"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6.《黑龙江省人民政府关于印发〈黑龙江省国土空间规划（2021—2035 年）〉的通知》（黑政发〔2024〕10号）；</w:t>
      </w:r>
    </w:p>
    <w:p w14:paraId="179406D6">
      <w:pPr>
        <w:numPr>
          <w:ilvl w:val="0"/>
          <w:numId w:val="0"/>
        </w:numPr>
        <w:spacing w:line="360" w:lineRule="auto"/>
        <w:ind w:leftChars="0" w:firstLine="560" w:firstLineChars="200"/>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7.黑龙江省林业和草原局《黑龙江省自然保护地整合优化方案》（2023.3）</w:t>
      </w:r>
      <w:r>
        <w:rPr>
          <w:rFonts w:hint="eastAsia" w:ascii="宋体" w:hAnsi="宋体" w:cs="宋体"/>
          <w:color w:val="auto"/>
          <w:sz w:val="28"/>
          <w:szCs w:val="28"/>
          <w:highlight w:val="none"/>
          <w:lang w:val="en-US" w:eastAsia="zh-CN"/>
        </w:rPr>
        <w:t>。</w:t>
      </w:r>
    </w:p>
    <w:p w14:paraId="5EBDDC95">
      <w:pPr>
        <w:pStyle w:val="4"/>
        <w:rPr>
          <w:rFonts w:hint="eastAsia" w:ascii="Times New Roman" w:hAnsi="Times New Roman" w:eastAsia="宋体"/>
          <w:color w:val="auto"/>
          <w:lang w:val="en-US" w:eastAsia="zh-CN"/>
        </w:rPr>
      </w:pPr>
      <w:bookmarkStart w:id="15" w:name="_Toc16408"/>
      <w:r>
        <w:rPr>
          <w:rFonts w:ascii="Times New Roman" w:hAnsi="Times New Roman"/>
          <w:color w:val="auto"/>
        </w:rPr>
        <w:t>1.2.3</w:t>
      </w:r>
      <w:r>
        <w:rPr>
          <w:rFonts w:hint="eastAsia" w:ascii="Times New Roman" w:hAnsi="Times New Roman"/>
          <w:color w:val="auto"/>
        </w:rPr>
        <w:t xml:space="preserve"> </w:t>
      </w:r>
      <w:r>
        <w:rPr>
          <w:rFonts w:hint="eastAsia"/>
          <w:color w:val="auto"/>
          <w:lang w:eastAsia="zh-CN"/>
        </w:rPr>
        <w:t>地方性法规</w:t>
      </w:r>
      <w:bookmarkEnd w:id="14"/>
      <w:bookmarkEnd w:id="15"/>
      <w:r>
        <w:rPr>
          <w:rFonts w:hint="eastAsia" w:hAnsi="宋体"/>
          <w:color w:val="auto"/>
          <w:lang w:val="en-US" w:eastAsia="zh-CN"/>
        </w:rPr>
        <w:t xml:space="preserve"> </w:t>
      </w:r>
    </w:p>
    <w:p w14:paraId="0269526F">
      <w:pPr>
        <w:numPr>
          <w:ilvl w:val="0"/>
          <w:numId w:val="0"/>
        </w:numPr>
        <w:spacing w:line="360" w:lineRule="auto"/>
        <w:ind w:leftChars="0" w:firstLine="560" w:firstLineChars="200"/>
        <w:rPr>
          <w:rFonts w:hint="eastAsia" w:ascii="宋体" w:hAnsi="宋体" w:eastAsia="宋体" w:cs="宋体"/>
          <w:color w:val="auto"/>
          <w:sz w:val="28"/>
          <w:szCs w:val="28"/>
          <w:lang w:val="en-US" w:eastAsia="zh-CN"/>
        </w:rPr>
      </w:pPr>
      <w:bookmarkStart w:id="16" w:name="_Toc510100682"/>
      <w:r>
        <w:rPr>
          <w:rFonts w:hint="eastAsia" w:ascii="宋体" w:hAnsi="宋体" w:eastAsia="宋体" w:cs="宋体"/>
          <w:color w:val="auto"/>
          <w:sz w:val="28"/>
          <w:szCs w:val="28"/>
          <w:lang w:val="en-US" w:eastAsia="zh-CN"/>
        </w:rPr>
        <w:t>1.《黑龙江省水产资源繁殖保护条例》（2020.5.6）；</w:t>
      </w:r>
    </w:p>
    <w:p w14:paraId="3B1CA2AB">
      <w:pPr>
        <w:numPr>
          <w:ilvl w:val="0"/>
          <w:numId w:val="0"/>
        </w:numPr>
        <w:spacing w:line="360" w:lineRule="auto"/>
        <w:ind w:leftChars="0"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2.《黑龙江省实施《渔业捕捞许可管理规定》办法》（2023.5.31）；</w:t>
      </w:r>
    </w:p>
    <w:p w14:paraId="7BFEA71A">
      <w:pPr>
        <w:numPr>
          <w:ilvl w:val="0"/>
          <w:numId w:val="0"/>
        </w:numPr>
        <w:spacing w:line="360" w:lineRule="auto"/>
        <w:ind w:leftChars="0"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3.《黑龙江省土地管理条例》（2023.3）；</w:t>
      </w:r>
    </w:p>
    <w:p w14:paraId="0AF4C461">
      <w:pPr>
        <w:numPr>
          <w:ilvl w:val="0"/>
          <w:numId w:val="0"/>
        </w:numPr>
        <w:spacing w:line="360" w:lineRule="auto"/>
        <w:ind w:leftChars="0"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4.《黑龙江省湿地保护条例》（2016.1）；</w:t>
      </w:r>
    </w:p>
    <w:p w14:paraId="4ED6B194">
      <w:pPr>
        <w:numPr>
          <w:ilvl w:val="0"/>
          <w:numId w:val="0"/>
        </w:numPr>
        <w:spacing w:line="360" w:lineRule="auto"/>
        <w:ind w:leftChars="0" w:firstLine="560" w:firstLineChars="200"/>
        <w:rPr>
          <w:rFonts w:hint="eastAsia" w:ascii="宋体" w:hAnsi="宋体" w:eastAsia="宋体" w:cs="宋体"/>
          <w:sz w:val="28"/>
          <w:szCs w:val="28"/>
          <w:highlight w:val="none"/>
          <w:lang w:val="en-US" w:eastAsia="zh-CN"/>
        </w:rPr>
      </w:pPr>
      <w:r>
        <w:rPr>
          <w:rFonts w:hint="eastAsia" w:ascii="宋体" w:hAnsi="宋体" w:cs="宋体"/>
          <w:sz w:val="28"/>
          <w:szCs w:val="28"/>
          <w:highlight w:val="none"/>
          <w:lang w:val="en-US" w:eastAsia="zh-CN"/>
        </w:rPr>
        <w:t>5</w:t>
      </w:r>
      <w:r>
        <w:rPr>
          <w:rFonts w:hint="eastAsia" w:ascii="宋体" w:hAnsi="宋体" w:eastAsia="宋体" w:cs="宋体"/>
          <w:sz w:val="28"/>
          <w:szCs w:val="28"/>
          <w:highlight w:val="none"/>
          <w:lang w:val="en-US" w:eastAsia="zh-CN"/>
        </w:rPr>
        <w:t>.《黑龙江省河道管理条例》（2025.3.27）；</w:t>
      </w:r>
    </w:p>
    <w:p w14:paraId="095A65EA">
      <w:pPr>
        <w:numPr>
          <w:ilvl w:val="0"/>
          <w:numId w:val="0"/>
        </w:numPr>
        <w:spacing w:line="360" w:lineRule="auto"/>
        <w:ind w:leftChars="0" w:firstLine="560" w:firstLineChars="200"/>
        <w:rPr>
          <w:rFonts w:ascii="Times New Roman" w:hAnsi="Times New Roman"/>
          <w:highlight w:val="none"/>
        </w:rPr>
      </w:pPr>
      <w:r>
        <w:rPr>
          <w:rFonts w:hint="eastAsia" w:ascii="宋体" w:hAnsi="宋体" w:cs="宋体"/>
          <w:sz w:val="28"/>
          <w:szCs w:val="28"/>
          <w:highlight w:val="none"/>
          <w:lang w:val="en-US" w:eastAsia="zh-CN"/>
        </w:rPr>
        <w:t>6</w:t>
      </w:r>
      <w:r>
        <w:rPr>
          <w:rFonts w:hint="eastAsia" w:ascii="宋体" w:hAnsi="宋体" w:eastAsia="宋体" w:cs="宋体"/>
          <w:sz w:val="28"/>
          <w:szCs w:val="28"/>
          <w:highlight w:val="none"/>
          <w:lang w:val="en-US" w:eastAsia="zh-CN"/>
        </w:rPr>
        <w:t>.《黑龙江省地方级自然公园管理办法（试行）（黑林草规〔2024〕4号）。</w:t>
      </w:r>
    </w:p>
    <w:p w14:paraId="464E5432">
      <w:pPr>
        <w:pStyle w:val="4"/>
        <w:rPr>
          <w:rFonts w:ascii="Times New Roman" w:hAnsi="Times New Roman"/>
        </w:rPr>
      </w:pPr>
      <w:bookmarkStart w:id="17" w:name="_Toc14734"/>
      <w:r>
        <w:rPr>
          <w:rFonts w:ascii="Times New Roman" w:hAnsi="Times New Roman"/>
        </w:rPr>
        <w:t>1.2.4</w:t>
      </w:r>
      <w:r>
        <w:rPr>
          <w:rFonts w:hint="eastAsia" w:ascii="Times New Roman" w:hAnsi="Times New Roman"/>
        </w:rPr>
        <w:t xml:space="preserve"> </w:t>
      </w:r>
      <w:r>
        <w:rPr>
          <w:rFonts w:ascii="Times New Roman" w:hAnsi="宋体"/>
        </w:rPr>
        <w:t>部门规章</w:t>
      </w:r>
      <w:bookmarkEnd w:id="16"/>
      <w:bookmarkEnd w:id="17"/>
    </w:p>
    <w:p w14:paraId="52E84EF4">
      <w:pPr>
        <w:numPr>
          <w:ilvl w:val="0"/>
          <w:numId w:val="0"/>
        </w:numPr>
        <w:spacing w:line="360" w:lineRule="auto"/>
        <w:ind w:leftChars="0" w:firstLine="560" w:firstLineChars="200"/>
        <w:rPr>
          <w:rFonts w:hint="eastAsia" w:ascii="宋体" w:hAnsi="宋体" w:eastAsia="宋体" w:cs="宋体"/>
          <w:sz w:val="28"/>
          <w:szCs w:val="28"/>
          <w:lang w:val="en-US" w:eastAsia="zh-CN"/>
        </w:rPr>
      </w:pPr>
      <w:bookmarkStart w:id="18" w:name="_Toc510100683"/>
      <w:r>
        <w:rPr>
          <w:rFonts w:hint="eastAsia" w:ascii="宋体" w:hAnsi="宋体" w:eastAsia="宋体" w:cs="宋体"/>
          <w:sz w:val="28"/>
          <w:szCs w:val="28"/>
          <w:lang w:val="en-US" w:eastAsia="zh-CN"/>
        </w:rPr>
        <w:t>1.《水域滩涂养殖发证登记办法》（2010.7）；</w:t>
      </w:r>
    </w:p>
    <w:p w14:paraId="0FCF9CEC">
      <w:pPr>
        <w:numPr>
          <w:ilvl w:val="0"/>
          <w:numId w:val="0"/>
        </w:numPr>
        <w:spacing w:line="360" w:lineRule="auto"/>
        <w:ind w:leftChars="0" w:firstLine="560" w:firstLineChars="200"/>
        <w:rPr>
          <w:rFonts w:ascii="Times New Roman" w:hAnsi="Times New Roman"/>
        </w:rPr>
      </w:pPr>
      <w:r>
        <w:rPr>
          <w:rFonts w:hint="eastAsia" w:ascii="宋体" w:hAnsi="宋体" w:eastAsia="宋体" w:cs="宋体"/>
          <w:sz w:val="28"/>
          <w:szCs w:val="28"/>
          <w:lang w:val="en-US" w:eastAsia="zh-CN"/>
        </w:rPr>
        <w:t>2.《水产养殖质量安全管理规定》（2003.9）。</w:t>
      </w:r>
    </w:p>
    <w:p w14:paraId="0A519789">
      <w:pPr>
        <w:pStyle w:val="4"/>
        <w:rPr>
          <w:rFonts w:ascii="Times New Roman" w:hAnsi="Times New Roman"/>
        </w:rPr>
      </w:pPr>
      <w:bookmarkStart w:id="19" w:name="_Toc13645"/>
      <w:r>
        <w:rPr>
          <w:rFonts w:ascii="Times New Roman" w:hAnsi="Times New Roman"/>
        </w:rPr>
        <w:t>1.2.5</w:t>
      </w:r>
      <w:r>
        <w:rPr>
          <w:rFonts w:hint="eastAsia" w:ascii="Times New Roman" w:hAnsi="Times New Roman"/>
        </w:rPr>
        <w:t xml:space="preserve"> </w:t>
      </w:r>
      <w:r>
        <w:rPr>
          <w:rFonts w:ascii="Times New Roman" w:hAnsi="宋体"/>
        </w:rPr>
        <w:t>规范性文件</w:t>
      </w:r>
      <w:bookmarkEnd w:id="18"/>
      <w:bookmarkEnd w:id="19"/>
    </w:p>
    <w:p w14:paraId="7C071300">
      <w:pPr>
        <w:tabs>
          <w:tab w:val="left" w:pos="8280"/>
        </w:tabs>
        <w:ind w:right="28" w:firstLine="560" w:firstLineChars="200"/>
        <w:rPr>
          <w:rFonts w:ascii="宋体" w:hAnsi="宋体"/>
          <w:szCs w:val="28"/>
          <w:highlight w:val="none"/>
        </w:rPr>
      </w:pPr>
      <w:r>
        <w:rPr>
          <w:rFonts w:ascii="宋体" w:hAnsi="宋体"/>
          <w:szCs w:val="28"/>
          <w:highlight w:val="none"/>
        </w:rPr>
        <w:t>1.《“十</w:t>
      </w:r>
      <w:r>
        <w:rPr>
          <w:rFonts w:hint="eastAsia" w:ascii="宋体" w:hAnsi="宋体"/>
          <w:szCs w:val="28"/>
          <w:highlight w:val="none"/>
          <w:lang w:val="en-US" w:eastAsia="zh-CN"/>
        </w:rPr>
        <w:t>四</w:t>
      </w:r>
      <w:r>
        <w:rPr>
          <w:rFonts w:ascii="宋体" w:hAnsi="宋体"/>
          <w:szCs w:val="28"/>
          <w:highlight w:val="none"/>
        </w:rPr>
        <w:t>五”</w:t>
      </w:r>
      <w:r>
        <w:rPr>
          <w:rFonts w:hint="eastAsia" w:ascii="宋体" w:hAnsi="宋体"/>
          <w:szCs w:val="28"/>
          <w:highlight w:val="none"/>
          <w:lang w:val="en-US" w:eastAsia="zh-CN"/>
        </w:rPr>
        <w:t>全国</w:t>
      </w:r>
      <w:r>
        <w:rPr>
          <w:rFonts w:ascii="宋体" w:hAnsi="宋体"/>
          <w:szCs w:val="28"/>
          <w:highlight w:val="none"/>
        </w:rPr>
        <w:t>渔业发展规划》（农渔发〔20</w:t>
      </w:r>
      <w:r>
        <w:rPr>
          <w:rFonts w:hint="eastAsia" w:ascii="宋体" w:hAnsi="宋体"/>
          <w:szCs w:val="28"/>
          <w:highlight w:val="none"/>
          <w:lang w:val="en-US" w:eastAsia="zh-CN"/>
        </w:rPr>
        <w:t>21</w:t>
      </w:r>
      <w:r>
        <w:rPr>
          <w:rFonts w:ascii="宋体" w:hAnsi="宋体"/>
          <w:szCs w:val="28"/>
          <w:highlight w:val="none"/>
        </w:rPr>
        <w:t>〕</w:t>
      </w:r>
      <w:r>
        <w:rPr>
          <w:rFonts w:hint="eastAsia" w:ascii="宋体" w:hAnsi="宋体"/>
          <w:szCs w:val="28"/>
          <w:highlight w:val="none"/>
          <w:lang w:val="en-US" w:eastAsia="zh-CN"/>
        </w:rPr>
        <w:t>28</w:t>
      </w:r>
      <w:r>
        <w:rPr>
          <w:rFonts w:ascii="宋体" w:hAnsi="宋体"/>
          <w:szCs w:val="28"/>
          <w:highlight w:val="none"/>
        </w:rPr>
        <w:t>号）；</w:t>
      </w:r>
    </w:p>
    <w:p w14:paraId="562B88AA">
      <w:pPr>
        <w:tabs>
          <w:tab w:val="left" w:pos="8280"/>
        </w:tabs>
        <w:ind w:right="28" w:firstLine="560" w:firstLineChars="200"/>
        <w:rPr>
          <w:rFonts w:ascii="宋体" w:hAnsi="宋体"/>
          <w:szCs w:val="28"/>
          <w:highlight w:val="none"/>
        </w:rPr>
      </w:pPr>
      <w:r>
        <w:rPr>
          <w:rFonts w:hint="eastAsia" w:ascii="宋体" w:hAnsi="宋体"/>
          <w:szCs w:val="28"/>
          <w:highlight w:val="none"/>
          <w:lang w:val="en-US" w:eastAsia="zh-CN"/>
        </w:rPr>
        <w:t>2</w:t>
      </w:r>
      <w:r>
        <w:rPr>
          <w:rFonts w:ascii="宋体" w:hAnsi="宋体"/>
          <w:szCs w:val="28"/>
          <w:highlight w:val="none"/>
        </w:rPr>
        <w:t>.《养殖水域滩涂规划编制工作规范》（2016.12）；</w:t>
      </w:r>
    </w:p>
    <w:p w14:paraId="5D0EAF55">
      <w:pPr>
        <w:tabs>
          <w:tab w:val="left" w:pos="8280"/>
        </w:tabs>
        <w:ind w:right="28" w:firstLine="560" w:firstLineChars="200"/>
        <w:rPr>
          <w:rFonts w:hint="eastAsia" w:ascii="宋体" w:hAnsi="宋体" w:eastAsia="宋体"/>
          <w:szCs w:val="28"/>
          <w:highlight w:val="none"/>
          <w:lang w:eastAsia="zh-CN"/>
        </w:rPr>
      </w:pPr>
      <w:r>
        <w:rPr>
          <w:rFonts w:hint="eastAsia" w:ascii="宋体" w:hAnsi="宋体"/>
          <w:szCs w:val="28"/>
          <w:highlight w:val="none"/>
          <w:lang w:val="en-US" w:eastAsia="zh-CN"/>
        </w:rPr>
        <w:t>3</w:t>
      </w:r>
      <w:r>
        <w:rPr>
          <w:rFonts w:ascii="宋体" w:hAnsi="宋体"/>
          <w:szCs w:val="28"/>
          <w:highlight w:val="none"/>
        </w:rPr>
        <w:t>.《养殖水域滩涂规划编制大纲》（2016.12）</w:t>
      </w:r>
      <w:r>
        <w:rPr>
          <w:rFonts w:hint="eastAsia" w:ascii="宋体" w:hAnsi="宋体"/>
          <w:szCs w:val="28"/>
          <w:highlight w:val="none"/>
          <w:lang w:eastAsia="zh-CN"/>
        </w:rPr>
        <w:t>；</w:t>
      </w:r>
    </w:p>
    <w:p w14:paraId="02C73FC1">
      <w:pPr>
        <w:tabs>
          <w:tab w:val="left" w:pos="8280"/>
        </w:tabs>
        <w:ind w:right="28" w:firstLine="560" w:firstLineChars="200"/>
        <w:rPr>
          <w:rFonts w:hint="eastAsia" w:ascii="宋体" w:hAnsi="宋体" w:eastAsia="宋体"/>
          <w:szCs w:val="28"/>
          <w:highlight w:val="none"/>
          <w:lang w:val="en-US" w:eastAsia="zh-CN"/>
        </w:rPr>
      </w:pPr>
      <w:r>
        <w:rPr>
          <w:rFonts w:hint="eastAsia" w:ascii="宋体" w:hAnsi="宋体"/>
          <w:szCs w:val="28"/>
          <w:highlight w:val="none"/>
          <w:lang w:val="en-US" w:eastAsia="zh-CN"/>
        </w:rPr>
        <w:t>4.《关于修订养殖水域滩涂规划的通知》（黑农厅函</w:t>
      </w:r>
      <w:r>
        <w:rPr>
          <w:rFonts w:ascii="宋体" w:hAnsi="宋体"/>
          <w:szCs w:val="28"/>
          <w:highlight w:val="none"/>
        </w:rPr>
        <w:t>〔20</w:t>
      </w:r>
      <w:r>
        <w:rPr>
          <w:rFonts w:hint="eastAsia" w:ascii="宋体" w:hAnsi="宋体"/>
          <w:szCs w:val="28"/>
          <w:highlight w:val="none"/>
          <w:lang w:val="en-US" w:eastAsia="zh-CN"/>
        </w:rPr>
        <w:t>24</w:t>
      </w:r>
      <w:r>
        <w:rPr>
          <w:rFonts w:ascii="宋体" w:hAnsi="宋体"/>
          <w:szCs w:val="28"/>
          <w:highlight w:val="none"/>
        </w:rPr>
        <w:t>〕</w:t>
      </w:r>
      <w:r>
        <w:rPr>
          <w:rFonts w:hint="eastAsia" w:ascii="宋体" w:hAnsi="宋体"/>
          <w:szCs w:val="28"/>
          <w:highlight w:val="none"/>
          <w:lang w:val="en-US" w:eastAsia="zh-CN"/>
        </w:rPr>
        <w:t>975</w:t>
      </w:r>
      <w:r>
        <w:rPr>
          <w:rFonts w:ascii="宋体" w:hAnsi="宋体"/>
          <w:szCs w:val="28"/>
          <w:highlight w:val="none"/>
        </w:rPr>
        <w:t>号</w:t>
      </w:r>
      <w:r>
        <w:rPr>
          <w:rFonts w:hint="eastAsia" w:ascii="宋体" w:hAnsi="宋体"/>
          <w:szCs w:val="28"/>
          <w:highlight w:val="none"/>
          <w:lang w:eastAsia="zh-CN"/>
        </w:rPr>
        <w:t>）。</w:t>
      </w:r>
    </w:p>
    <w:p w14:paraId="659C3229">
      <w:pPr>
        <w:pStyle w:val="4"/>
        <w:rPr>
          <w:rFonts w:ascii="Times New Roman" w:hAnsi="Times New Roman"/>
        </w:rPr>
      </w:pPr>
      <w:bookmarkStart w:id="20" w:name="_Toc29217"/>
      <w:r>
        <w:rPr>
          <w:rFonts w:ascii="Times New Roman" w:hAnsi="Times New Roman"/>
        </w:rPr>
        <w:t xml:space="preserve">1.2.6 </w:t>
      </w:r>
      <w:r>
        <w:rPr>
          <w:rFonts w:ascii="Times New Roman" w:hAnsi="宋体"/>
        </w:rPr>
        <w:t>相关基础资料</w:t>
      </w:r>
      <w:bookmarkEnd w:id="20"/>
    </w:p>
    <w:p w14:paraId="18F30A36">
      <w:pPr>
        <w:tabs>
          <w:tab w:val="left" w:pos="8280"/>
        </w:tabs>
        <w:ind w:right="28" w:firstLine="560" w:firstLineChars="200"/>
        <w:rPr>
          <w:rFonts w:ascii="宋体" w:hAnsi="宋体"/>
          <w:szCs w:val="28"/>
          <w:highlight w:val="none"/>
        </w:rPr>
      </w:pPr>
      <w:r>
        <w:rPr>
          <w:rFonts w:ascii="宋体" w:hAnsi="宋体"/>
          <w:szCs w:val="28"/>
          <w:highlight w:val="none"/>
        </w:rPr>
        <w:t>1.《</w:t>
      </w:r>
      <w:r>
        <w:rPr>
          <w:rFonts w:hint="eastAsia" w:ascii="宋体" w:hAnsi="宋体"/>
          <w:szCs w:val="28"/>
          <w:highlight w:val="none"/>
          <w:lang w:val="en-US" w:eastAsia="zh-CN"/>
        </w:rPr>
        <w:t>嘉荫县</w:t>
      </w:r>
      <w:r>
        <w:rPr>
          <w:rFonts w:ascii="宋体" w:hAnsi="宋体"/>
          <w:szCs w:val="28"/>
          <w:highlight w:val="none"/>
        </w:rPr>
        <w:t>养殖水域滩涂规划（</w:t>
      </w:r>
      <w:r>
        <w:rPr>
          <w:rFonts w:hint="eastAsia" w:ascii="宋体" w:hAnsi="宋体"/>
          <w:szCs w:val="28"/>
          <w:highlight w:val="none"/>
          <w:lang w:eastAsia="zh-CN"/>
        </w:rPr>
        <w:t>2018—</w:t>
      </w:r>
      <w:r>
        <w:rPr>
          <w:rFonts w:ascii="宋体" w:hAnsi="宋体"/>
          <w:szCs w:val="28"/>
          <w:highlight w:val="none"/>
        </w:rPr>
        <w:t>20</w:t>
      </w:r>
      <w:r>
        <w:rPr>
          <w:rFonts w:hint="eastAsia" w:ascii="宋体" w:hAnsi="宋体"/>
          <w:szCs w:val="28"/>
          <w:highlight w:val="none"/>
          <w:lang w:val="en-US" w:eastAsia="zh-CN"/>
        </w:rPr>
        <w:t>3</w:t>
      </w:r>
      <w:r>
        <w:rPr>
          <w:rFonts w:ascii="宋体" w:hAnsi="宋体"/>
          <w:szCs w:val="28"/>
          <w:highlight w:val="none"/>
        </w:rPr>
        <w:t>0年）》；</w:t>
      </w:r>
    </w:p>
    <w:p w14:paraId="45E354DC">
      <w:pPr>
        <w:tabs>
          <w:tab w:val="left" w:pos="8280"/>
        </w:tabs>
        <w:ind w:right="28" w:firstLine="560" w:firstLineChars="200"/>
        <w:rPr>
          <w:rFonts w:hint="eastAsia" w:ascii="宋体" w:hAnsi="宋体"/>
          <w:szCs w:val="28"/>
          <w:highlight w:val="none"/>
        </w:rPr>
      </w:pPr>
      <w:r>
        <w:rPr>
          <w:rFonts w:ascii="宋体" w:hAnsi="宋体"/>
          <w:szCs w:val="28"/>
          <w:highlight w:val="none"/>
        </w:rPr>
        <w:t>2.</w:t>
      </w:r>
      <w:r>
        <w:rPr>
          <w:rFonts w:hint="eastAsia" w:ascii="宋体" w:hAnsi="宋体"/>
          <w:szCs w:val="28"/>
          <w:highlight w:val="none"/>
        </w:rPr>
        <w:t>《</w:t>
      </w:r>
      <w:r>
        <w:rPr>
          <w:rFonts w:hint="eastAsia" w:ascii="宋体" w:hAnsi="宋体"/>
          <w:szCs w:val="28"/>
          <w:highlight w:val="none"/>
          <w:lang w:val="en-US" w:eastAsia="zh-CN"/>
        </w:rPr>
        <w:t>嘉荫县</w:t>
      </w:r>
      <w:r>
        <w:rPr>
          <w:rFonts w:hint="eastAsia" w:ascii="宋体" w:hAnsi="宋体"/>
          <w:szCs w:val="28"/>
          <w:highlight w:val="none"/>
        </w:rPr>
        <w:t>国民经济和社会发展第十</w:t>
      </w:r>
      <w:r>
        <w:rPr>
          <w:rFonts w:hint="eastAsia" w:ascii="宋体" w:hAnsi="宋体"/>
          <w:szCs w:val="28"/>
          <w:highlight w:val="none"/>
          <w:lang w:val="en-US" w:eastAsia="zh-CN"/>
        </w:rPr>
        <w:t>四</w:t>
      </w:r>
      <w:r>
        <w:rPr>
          <w:rFonts w:hint="eastAsia" w:ascii="宋体" w:hAnsi="宋体"/>
          <w:szCs w:val="28"/>
          <w:highlight w:val="none"/>
        </w:rPr>
        <w:t>个五年规划纲要》；</w:t>
      </w:r>
    </w:p>
    <w:p w14:paraId="764EB0E5">
      <w:pPr>
        <w:tabs>
          <w:tab w:val="left" w:pos="8280"/>
        </w:tabs>
        <w:ind w:right="28" w:firstLine="560" w:firstLineChars="200"/>
        <w:rPr>
          <w:rFonts w:hint="eastAsia" w:ascii="宋体" w:hAnsi="宋体" w:eastAsia="宋体"/>
          <w:color w:val="FF0000"/>
          <w:szCs w:val="28"/>
          <w:highlight w:val="none"/>
          <w:lang w:eastAsia="zh-CN"/>
        </w:rPr>
      </w:pPr>
      <w:r>
        <w:rPr>
          <w:rFonts w:hint="eastAsia" w:ascii="宋体" w:hAnsi="宋体"/>
          <w:szCs w:val="28"/>
          <w:highlight w:val="none"/>
          <w:lang w:val="en-US" w:eastAsia="zh-CN"/>
        </w:rPr>
        <w:t>3</w:t>
      </w:r>
      <w:r>
        <w:rPr>
          <w:rFonts w:ascii="宋体" w:hAnsi="宋体"/>
          <w:szCs w:val="28"/>
          <w:highlight w:val="none"/>
        </w:rPr>
        <w:t>.《</w:t>
      </w:r>
      <w:r>
        <w:rPr>
          <w:rFonts w:hint="eastAsia" w:ascii="宋体" w:hAnsi="宋体"/>
          <w:szCs w:val="28"/>
          <w:highlight w:val="none"/>
          <w:lang w:val="en-US" w:eastAsia="zh-CN"/>
        </w:rPr>
        <w:t>嘉荫县国土空间</w:t>
      </w:r>
      <w:r>
        <w:rPr>
          <w:rFonts w:ascii="宋体" w:hAnsi="宋体"/>
          <w:szCs w:val="28"/>
          <w:highlight w:val="none"/>
        </w:rPr>
        <w:t>总体规划（20</w:t>
      </w:r>
      <w:r>
        <w:rPr>
          <w:rFonts w:hint="eastAsia" w:ascii="宋体" w:hAnsi="宋体"/>
          <w:szCs w:val="28"/>
          <w:highlight w:val="none"/>
          <w:lang w:val="en-US" w:eastAsia="zh-CN"/>
        </w:rPr>
        <w:t>21—</w:t>
      </w:r>
      <w:r>
        <w:rPr>
          <w:rFonts w:ascii="宋体" w:hAnsi="宋体"/>
          <w:szCs w:val="28"/>
          <w:highlight w:val="none"/>
        </w:rPr>
        <w:t>20</w:t>
      </w:r>
      <w:r>
        <w:rPr>
          <w:rFonts w:hint="eastAsia" w:ascii="宋体" w:hAnsi="宋体"/>
          <w:szCs w:val="28"/>
          <w:highlight w:val="none"/>
          <w:lang w:val="en-US" w:eastAsia="zh-CN"/>
        </w:rPr>
        <w:t>35</w:t>
      </w:r>
      <w:r>
        <w:rPr>
          <w:rFonts w:ascii="宋体" w:hAnsi="宋体"/>
          <w:szCs w:val="28"/>
          <w:highlight w:val="none"/>
        </w:rPr>
        <w:t>年）》</w:t>
      </w:r>
      <w:r>
        <w:rPr>
          <w:rFonts w:hint="eastAsia" w:ascii="宋体" w:hAnsi="宋体"/>
          <w:color w:val="auto"/>
          <w:szCs w:val="28"/>
          <w:highlight w:val="none"/>
          <w:lang w:eastAsia="zh-CN"/>
        </w:rPr>
        <w:t>；</w:t>
      </w:r>
    </w:p>
    <w:p w14:paraId="08F3CD17">
      <w:pPr>
        <w:tabs>
          <w:tab w:val="left" w:pos="8280"/>
        </w:tabs>
        <w:ind w:right="28" w:firstLine="560" w:firstLineChars="200"/>
        <w:rPr>
          <w:rFonts w:hint="eastAsia" w:ascii="宋体" w:hAnsi="宋体" w:eastAsia="宋体"/>
          <w:color w:val="auto"/>
          <w:szCs w:val="28"/>
          <w:highlight w:val="none"/>
          <w:lang w:eastAsia="zh-CN"/>
        </w:rPr>
      </w:pPr>
      <w:r>
        <w:rPr>
          <w:rFonts w:hint="eastAsia" w:ascii="宋体" w:hAnsi="宋体"/>
          <w:szCs w:val="28"/>
          <w:highlight w:val="none"/>
          <w:lang w:val="en-US" w:eastAsia="zh-CN"/>
        </w:rPr>
        <w:t>4</w:t>
      </w:r>
      <w:r>
        <w:rPr>
          <w:rFonts w:ascii="宋体" w:hAnsi="宋体"/>
          <w:szCs w:val="28"/>
          <w:highlight w:val="none"/>
        </w:rPr>
        <w:t>.</w:t>
      </w:r>
      <w:r>
        <w:rPr>
          <w:rFonts w:ascii="宋体" w:hAnsi="宋体"/>
          <w:color w:val="auto"/>
          <w:szCs w:val="28"/>
          <w:highlight w:val="none"/>
        </w:rPr>
        <w:t>《</w:t>
      </w:r>
      <w:r>
        <w:rPr>
          <w:rFonts w:hint="eastAsia" w:ascii="宋体" w:hAnsi="宋体"/>
          <w:color w:val="auto"/>
          <w:szCs w:val="28"/>
          <w:highlight w:val="none"/>
          <w:lang w:val="en-US" w:eastAsia="zh-CN"/>
        </w:rPr>
        <w:t>嘉荫县</w:t>
      </w:r>
      <w:r>
        <w:rPr>
          <w:rFonts w:ascii="宋体" w:hAnsi="宋体"/>
          <w:color w:val="auto"/>
          <w:szCs w:val="28"/>
          <w:highlight w:val="none"/>
        </w:rPr>
        <w:t>乡镇饮用水水源保护区划分技术报告》</w:t>
      </w:r>
      <w:r>
        <w:rPr>
          <w:rFonts w:hint="eastAsia" w:ascii="宋体" w:hAnsi="宋体"/>
          <w:color w:val="auto"/>
          <w:szCs w:val="28"/>
          <w:highlight w:val="none"/>
          <w:lang w:eastAsia="zh-CN"/>
        </w:rPr>
        <w:t>。</w:t>
      </w:r>
    </w:p>
    <w:p w14:paraId="68A3F9AE">
      <w:pPr>
        <w:pStyle w:val="3"/>
        <w:rPr>
          <w:rFonts w:ascii="Times New Roman" w:hAnsi="Times New Roman" w:eastAsia="仿宋"/>
        </w:rPr>
      </w:pPr>
      <w:bookmarkStart w:id="21" w:name="_Toc21219"/>
      <w:bookmarkStart w:id="22" w:name="_Toc12830"/>
      <w:r>
        <w:rPr>
          <w:rFonts w:ascii="Times New Roman" w:hAnsi="Times New Roman" w:eastAsia="仿宋"/>
        </w:rPr>
        <w:t xml:space="preserve">1.3 </w:t>
      </w:r>
      <w:r>
        <w:rPr>
          <w:rFonts w:ascii="宋体" w:hAnsi="宋体"/>
        </w:rPr>
        <w:t>目标任务</w:t>
      </w:r>
      <w:bookmarkEnd w:id="21"/>
      <w:bookmarkEnd w:id="22"/>
    </w:p>
    <w:p w14:paraId="363B3323">
      <w:pPr>
        <w:pStyle w:val="4"/>
        <w:rPr>
          <w:rFonts w:ascii="Times New Roman" w:hAnsi="Times New Roman" w:eastAsia="仿宋"/>
        </w:rPr>
      </w:pPr>
      <w:bookmarkStart w:id="23" w:name="_Toc15017"/>
      <w:r>
        <w:rPr>
          <w:rFonts w:ascii="Times New Roman" w:hAnsi="Times New Roman" w:eastAsia="仿宋"/>
        </w:rPr>
        <w:t xml:space="preserve">1.3.1 </w:t>
      </w:r>
      <w:r>
        <w:rPr>
          <w:rFonts w:ascii="宋体" w:hAnsi="宋体"/>
        </w:rPr>
        <w:t>规划期限</w:t>
      </w:r>
      <w:bookmarkEnd w:id="23"/>
    </w:p>
    <w:p w14:paraId="4DBCBD79">
      <w:pPr>
        <w:numPr>
          <w:ilvl w:val="0"/>
          <w:numId w:val="0"/>
        </w:numPr>
        <w:spacing w:line="360" w:lineRule="auto"/>
        <w:ind w:firstLine="560" w:firstLineChars="200"/>
        <w:rPr>
          <w:rFonts w:ascii="Times New Roman" w:hAnsi="Times New Roman"/>
        </w:rPr>
      </w:pPr>
      <w:r>
        <w:rPr>
          <w:rFonts w:hint="eastAsia" w:ascii="宋体" w:hAnsi="宋体" w:eastAsia="宋体" w:cs="宋体"/>
          <w:sz w:val="28"/>
          <w:szCs w:val="28"/>
          <w:lang w:val="en-US" w:eastAsia="zh-CN"/>
        </w:rPr>
        <w:t>规划涵盖本</w:t>
      </w:r>
      <w:r>
        <w:rPr>
          <w:rFonts w:hint="eastAsia" w:ascii="宋体" w:hAnsi="宋体" w:cs="宋体"/>
          <w:sz w:val="28"/>
          <w:szCs w:val="28"/>
          <w:lang w:val="en-US" w:eastAsia="zh-CN"/>
        </w:rPr>
        <w:t>县</w:t>
      </w:r>
      <w:r>
        <w:rPr>
          <w:rFonts w:hint="eastAsia" w:ascii="宋体" w:hAnsi="宋体" w:eastAsia="宋体" w:cs="宋体"/>
          <w:sz w:val="28"/>
          <w:szCs w:val="28"/>
          <w:lang w:val="en-US" w:eastAsia="zh-CN"/>
        </w:rPr>
        <w:t>行政区域内所有用于水产养殖的水域。规划期限为</w:t>
      </w:r>
      <w:r>
        <w:rPr>
          <w:rFonts w:hint="eastAsia" w:ascii="宋体" w:hAnsi="宋体" w:cs="宋体"/>
          <w:sz w:val="28"/>
          <w:szCs w:val="28"/>
          <w:lang w:val="en-US" w:eastAsia="zh-CN"/>
        </w:rPr>
        <w:t>2018—</w:t>
      </w:r>
      <w:r>
        <w:rPr>
          <w:rFonts w:hint="eastAsia" w:ascii="宋体" w:hAnsi="宋体" w:eastAsia="宋体" w:cs="宋体"/>
          <w:sz w:val="28"/>
          <w:szCs w:val="28"/>
          <w:lang w:val="en-US" w:eastAsia="zh-CN"/>
        </w:rPr>
        <w:t>2030年。</w:t>
      </w:r>
    </w:p>
    <w:p w14:paraId="7B9FD67D">
      <w:pPr>
        <w:pStyle w:val="4"/>
        <w:rPr>
          <w:rFonts w:ascii="Times New Roman" w:hAnsi="宋体"/>
        </w:rPr>
      </w:pPr>
      <w:bookmarkStart w:id="24" w:name="_Toc948"/>
      <w:r>
        <w:rPr>
          <w:rFonts w:ascii="Times New Roman" w:hAnsi="Times New Roman"/>
        </w:rPr>
        <w:t xml:space="preserve">1.3.2 </w:t>
      </w:r>
      <w:r>
        <w:rPr>
          <w:rFonts w:ascii="Times New Roman" w:hAnsi="宋体"/>
        </w:rPr>
        <w:t>规划</w:t>
      </w:r>
      <w:r>
        <w:rPr>
          <w:rFonts w:hint="eastAsia" w:ascii="Times New Roman" w:hAnsi="宋体"/>
          <w:lang w:val="en-US" w:eastAsia="zh-CN"/>
        </w:rPr>
        <w:t>修订</w:t>
      </w:r>
      <w:r>
        <w:rPr>
          <w:rFonts w:ascii="Times New Roman" w:hAnsi="宋体"/>
        </w:rPr>
        <w:t>目标</w:t>
      </w:r>
      <w:bookmarkEnd w:id="24"/>
    </w:p>
    <w:p w14:paraId="63E3C2C3">
      <w:p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此次《规划》修订的目标是养殖水域滩涂功能区划符合《国土空间规划》的要求，与整合后的自然保护地相关数据相契合，实现全县范围内水域滩涂的科学规划和全覆盖。根据《国土空间规划》及国土调查数据，准确掌握水域滩涂的具体数据信息，并根据修订整改结果编制相关成果，确保《规划》的科学性和可操作性。</w:t>
      </w:r>
    </w:p>
    <w:p w14:paraId="5228FE13">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1.理顺《规划》与《国土空间规划》的关系，确保功能区划符合要求。</w:t>
      </w:r>
    </w:p>
    <w:p w14:paraId="1EF92A60">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作为下级规划，功能区划必须与《国土空间规划》保持一致。首先，要全面梳理《规划》中的所有内容，调整与上级规划有冲突或矛盾的部分。认真分析辨别有助于规划部门明确修订方向，确保水域滩涂功能区划完全符合《国土空间规划》要求。</w:t>
      </w:r>
    </w:p>
    <w:p w14:paraId="73930029">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kern w:val="2"/>
          <w:sz w:val="28"/>
          <w:szCs w:val="28"/>
          <w:lang w:val="en-US" w:eastAsia="zh-CN" w:bidi="ar-SA"/>
        </w:rPr>
        <w:t>2.</w:t>
      </w:r>
      <w:r>
        <w:rPr>
          <w:rFonts w:hint="eastAsia" w:ascii="宋体" w:hAnsi="宋体" w:eastAsia="宋体" w:cs="宋体"/>
          <w:sz w:val="28"/>
          <w:szCs w:val="28"/>
          <w:lang w:val="en-US" w:eastAsia="zh-CN"/>
        </w:rPr>
        <w:t>与整合后的自然保护地有机衔接，功能区划数据完全契合。</w:t>
      </w:r>
    </w:p>
    <w:p w14:paraId="3790F8E5">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《规划》修订涉及自然保护地的功能区划，调整相关内容，使涉及自然保护地的养殖水域滩涂规划数据与整合后的自然保护地数据一致。涉及自然保护地的区划数据亦应与整合后的自然保护地保持一致。</w:t>
      </w:r>
    </w:p>
    <w:p w14:paraId="677DEFC8">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kern w:val="2"/>
          <w:sz w:val="28"/>
          <w:szCs w:val="28"/>
          <w:lang w:val="en-US" w:eastAsia="zh-CN" w:bidi="ar-SA"/>
        </w:rPr>
        <w:t>3.</w:t>
      </w:r>
      <w:r>
        <w:rPr>
          <w:rFonts w:hint="eastAsia" w:ascii="宋体" w:hAnsi="宋体" w:eastAsia="宋体" w:cs="宋体"/>
          <w:sz w:val="28"/>
          <w:szCs w:val="28"/>
          <w:lang w:val="en-US" w:eastAsia="zh-CN"/>
        </w:rPr>
        <w:t>做到应划尽划，使《规划》真正做到全覆盖。</w:t>
      </w:r>
    </w:p>
    <w:p w14:paraId="1FF350BF">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上一轮《规划》编制时，农垦、森工系统改革尚未完成，其所属水域滩涂未被全部纳入《规划》。随着农垦和森工改制完成，此次修订要将原属农垦、森工系统的水域滩涂一并纳入属地《规划》修订范围，并按照其所属性质和类型，科学划定禁止养殖、限制养殖及养殖功能区。</w:t>
      </w:r>
    </w:p>
    <w:p w14:paraId="212C916D">
      <w:pPr>
        <w:numPr>
          <w:ilvl w:val="0"/>
          <w:numId w:val="0"/>
        </w:numPr>
        <w:spacing w:line="360" w:lineRule="auto"/>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kern w:val="2"/>
          <w:sz w:val="28"/>
          <w:szCs w:val="28"/>
          <w:lang w:val="en-US" w:eastAsia="zh-CN" w:bidi="ar-SA"/>
        </w:rPr>
        <w:t>4.</w:t>
      </w:r>
      <w:r>
        <w:rPr>
          <w:rFonts w:hint="eastAsia" w:ascii="宋体" w:hAnsi="宋体" w:eastAsia="宋体" w:cs="宋体"/>
          <w:sz w:val="28"/>
          <w:szCs w:val="28"/>
          <w:lang w:val="en-US" w:eastAsia="zh-CN"/>
        </w:rPr>
        <w:t>修订的《规划》将利用国土空间规划及国土三调的数据及矢量图表，补全功能区信息数据。</w:t>
      </w:r>
    </w:p>
    <w:p w14:paraId="4C7AAD1A">
      <w:pPr>
        <w:numPr>
          <w:ilvl w:val="0"/>
          <w:numId w:val="0"/>
        </w:numPr>
        <w:spacing w:line="360" w:lineRule="auto"/>
        <w:ind w:leftChars="0" w:firstLine="560" w:firstLineChars="200"/>
      </w:pPr>
      <w:r>
        <w:rPr>
          <w:rFonts w:hint="eastAsia" w:ascii="宋体" w:hAnsi="宋体" w:eastAsia="宋体" w:cs="宋体"/>
          <w:sz w:val="28"/>
          <w:szCs w:val="28"/>
          <w:lang w:val="en-US" w:eastAsia="zh-CN"/>
        </w:rPr>
        <w:t>此次《规划》修订工作中，要积极与相关部门协调沟通，充分利用国土空间规划及第三次国土调查（国土三调）工具和数据，将其应用于《规划》的修订过程中。按照“统一底图、统一标准、统一规划、统一平台”的要求，应努力提高空间治理的数字化水平，确保《规划》的科学性和可操作性。要积极争取利用本级的国土空间规划工具和数据完成此次修订工作，确保数据的准确性和规划的科学性。这不仅将提高属地的数字化管理水平，还将为未来的水产养殖和生态保护提供更加可靠的基础数据支撑。</w:t>
      </w:r>
    </w:p>
    <w:p w14:paraId="65DA43E3">
      <w:pPr>
        <w:pStyle w:val="4"/>
        <w:rPr>
          <w:rFonts w:ascii="Times New Roman" w:hAnsi="Times New Roman"/>
        </w:rPr>
      </w:pPr>
      <w:bookmarkStart w:id="25" w:name="_Toc3071"/>
      <w:r>
        <w:rPr>
          <w:rFonts w:ascii="Times New Roman" w:hAnsi="Times New Roman"/>
        </w:rPr>
        <w:t xml:space="preserve">1.3.3 </w:t>
      </w:r>
      <w:r>
        <w:rPr>
          <w:rFonts w:ascii="Times New Roman" w:hAnsi="宋体"/>
        </w:rPr>
        <w:t>重点任务</w:t>
      </w:r>
      <w:bookmarkEnd w:id="25"/>
    </w:p>
    <w:p w14:paraId="2798CE6D">
      <w:pPr>
        <w:numPr>
          <w:ilvl w:val="0"/>
          <w:numId w:val="0"/>
        </w:numPr>
        <w:spacing w:line="360" w:lineRule="auto"/>
        <w:ind w:leftChars="0" w:firstLine="560" w:firstLineChars="20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科学划定各类功能区，合理规划布局；调整养殖品种结构，发展名优鱼类；完成基础设施改造，提升养殖技术水平，重视质量安全，加强示范引领；开展稻渔综合种养，促进循环经济发展；打造休闲渔业、节能降耗生态渔业、鱼米之乡等，促进产业融合发展，加强水产养殖管理，控制环境污染影响。主要重点任务包括：</w:t>
      </w:r>
    </w:p>
    <w:p w14:paraId="01138C3E">
      <w:pPr>
        <w:numPr>
          <w:ilvl w:val="0"/>
          <w:numId w:val="0"/>
        </w:numPr>
        <w:spacing w:line="360" w:lineRule="auto"/>
        <w:ind w:leftChars="0" w:firstLine="560" w:firstLineChars="20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1.大力推广科技普及工作</w:t>
      </w:r>
    </w:p>
    <w:p w14:paraId="231F9CD0">
      <w:pPr>
        <w:numPr>
          <w:ilvl w:val="0"/>
          <w:numId w:val="0"/>
        </w:numPr>
        <w:spacing w:line="360" w:lineRule="auto"/>
        <w:ind w:leftChars="0" w:firstLine="560" w:firstLineChars="20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以县技术人员为骨干，以全县各养殖大户为示范点，积极工作，密切配合。全面提高</w:t>
      </w:r>
      <w:r>
        <w:rPr>
          <w:rFonts w:hint="eastAsia" w:ascii="宋体" w:hAnsi="宋体" w:cs="宋体"/>
          <w:sz w:val="28"/>
          <w:szCs w:val="28"/>
          <w:highlight w:val="none"/>
          <w:lang w:val="en-US" w:eastAsia="zh-CN"/>
        </w:rPr>
        <w:t>嘉荫县</w:t>
      </w:r>
      <w:r>
        <w:rPr>
          <w:rFonts w:hint="eastAsia" w:ascii="宋体" w:hAnsi="宋体" w:eastAsia="宋体" w:cs="宋体"/>
          <w:sz w:val="28"/>
          <w:szCs w:val="28"/>
          <w:highlight w:val="none"/>
          <w:lang w:val="en-US" w:eastAsia="zh-CN"/>
        </w:rPr>
        <w:t>鱼苗鱼种培育技术、养殖病害防治技术、生物越冬管理技术、增殖放流保护技术等，使全县渔业生产技术达到较高水平。</w:t>
      </w:r>
    </w:p>
    <w:p w14:paraId="26CB410B">
      <w:pPr>
        <w:numPr>
          <w:ilvl w:val="0"/>
          <w:numId w:val="0"/>
        </w:numPr>
        <w:spacing w:line="360" w:lineRule="auto"/>
        <w:ind w:leftChars="0" w:firstLine="560" w:firstLineChars="20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2.科学合理的调整产业结构</w:t>
      </w:r>
    </w:p>
    <w:p w14:paraId="0AF449D8">
      <w:pPr>
        <w:numPr>
          <w:ilvl w:val="0"/>
          <w:numId w:val="0"/>
        </w:numPr>
        <w:spacing w:line="360" w:lineRule="auto"/>
        <w:ind w:leftChars="0" w:firstLine="560" w:firstLineChars="20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逐步调整渔业发展思路，明确以经济效益为中心，确立走高效渔业的发展路子，并迅速调整产业结构，提出“以市场需求为导向，适度发展名特优养殖”的战略措施。通过优化品质，达到高效生产的目的，有</w:t>
      </w:r>
      <w:r>
        <w:rPr>
          <w:rFonts w:hint="eastAsia" w:ascii="宋体" w:hAnsi="宋体" w:cs="宋体"/>
          <w:sz w:val="28"/>
          <w:szCs w:val="28"/>
          <w:highlight w:val="none"/>
          <w:lang w:val="en-US" w:eastAsia="zh-CN"/>
        </w:rPr>
        <w:t>力</w:t>
      </w:r>
      <w:r>
        <w:rPr>
          <w:rFonts w:hint="eastAsia" w:ascii="宋体" w:hAnsi="宋体" w:eastAsia="宋体" w:cs="宋体"/>
          <w:sz w:val="28"/>
          <w:szCs w:val="28"/>
          <w:highlight w:val="none"/>
          <w:lang w:val="en-US" w:eastAsia="zh-CN"/>
        </w:rPr>
        <w:t>的推动全县渔业经济的发展，促进渔业由数量速度型到质量效益型转变。</w:t>
      </w:r>
    </w:p>
    <w:p w14:paraId="08706FF2">
      <w:pPr>
        <w:numPr>
          <w:ilvl w:val="0"/>
          <w:numId w:val="0"/>
        </w:numPr>
        <w:spacing w:line="360" w:lineRule="auto"/>
        <w:ind w:leftChars="0" w:firstLine="560" w:firstLineChars="20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3.巩固基础渔业养殖</w:t>
      </w:r>
    </w:p>
    <w:p w14:paraId="09586472">
      <w:pPr>
        <w:numPr>
          <w:ilvl w:val="0"/>
          <w:numId w:val="0"/>
        </w:numPr>
        <w:spacing w:line="360" w:lineRule="auto"/>
        <w:ind w:leftChars="0" w:firstLine="560" w:firstLineChars="200"/>
        <w:jc w:val="both"/>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主要区域包括</w:t>
      </w:r>
      <w:r>
        <w:rPr>
          <w:rFonts w:hint="eastAsia" w:ascii="宋体" w:hAnsi="宋体" w:cs="宋体"/>
          <w:sz w:val="28"/>
          <w:szCs w:val="28"/>
          <w:highlight w:val="none"/>
          <w:lang w:val="en-US" w:eastAsia="zh-CN"/>
        </w:rPr>
        <w:t>朝阳镇、乌云镇、乌拉嘎镇、保兴镇、常胜乡、向阳乡、沪嘉乡、红光乡、青山乡9</w:t>
      </w:r>
      <w:r>
        <w:rPr>
          <w:rFonts w:hint="eastAsia" w:ascii="宋体" w:hAnsi="宋体" w:eastAsia="宋体" w:cs="宋体"/>
          <w:sz w:val="28"/>
          <w:szCs w:val="28"/>
          <w:highlight w:val="none"/>
          <w:lang w:val="en-US" w:eastAsia="zh-CN"/>
        </w:rPr>
        <w:t>个乡镇</w:t>
      </w:r>
      <w:r>
        <w:rPr>
          <w:rFonts w:hint="eastAsia" w:ascii="宋体" w:hAnsi="宋体" w:cs="宋体"/>
          <w:sz w:val="28"/>
          <w:szCs w:val="28"/>
          <w:highlight w:val="none"/>
          <w:lang w:val="en-US" w:eastAsia="zh-CN"/>
        </w:rPr>
        <w:t>，农垦绥化管理局和嘉荫县鹤北林业局</w:t>
      </w:r>
      <w:r>
        <w:rPr>
          <w:rFonts w:hint="eastAsia" w:ascii="宋体" w:hAnsi="宋体" w:eastAsia="宋体" w:cs="宋体"/>
          <w:sz w:val="28"/>
          <w:szCs w:val="28"/>
          <w:highlight w:val="none"/>
          <w:lang w:val="en-US" w:eastAsia="zh-CN"/>
        </w:rPr>
        <w:t>。区域内养殖模式包括休闲型渔业、综合型渔业、大水面绿色养殖渔业、池塘驯化渔业和名特优养殖渔业。区域内水质优良，经过检验完全符合GB11607-89《渔业水质标准》和NY5051-2001</w:t>
      </w:r>
      <w:r>
        <w:rPr>
          <w:rFonts w:hint="eastAsia" w:ascii="宋体" w:hAnsi="宋体" w:cs="宋体"/>
          <w:sz w:val="28"/>
          <w:szCs w:val="28"/>
          <w:highlight w:val="none"/>
          <w:lang w:val="en-US" w:eastAsia="zh-CN"/>
        </w:rPr>
        <w:t>《</w:t>
      </w:r>
      <w:r>
        <w:rPr>
          <w:rFonts w:hint="eastAsia" w:ascii="宋体" w:hAnsi="宋体" w:eastAsia="宋体" w:cs="宋体"/>
          <w:sz w:val="28"/>
          <w:szCs w:val="28"/>
          <w:highlight w:val="none"/>
          <w:lang w:val="en-US" w:eastAsia="zh-CN"/>
        </w:rPr>
        <w:t>淡水养殖用水水质标准</w:t>
      </w:r>
      <w:r>
        <w:rPr>
          <w:rFonts w:hint="eastAsia" w:ascii="宋体" w:hAnsi="宋体" w:cs="宋体"/>
          <w:sz w:val="28"/>
          <w:szCs w:val="28"/>
          <w:highlight w:val="none"/>
          <w:lang w:val="en-US" w:eastAsia="zh-CN"/>
        </w:rPr>
        <w:t>》</w:t>
      </w:r>
      <w:r>
        <w:rPr>
          <w:rFonts w:hint="eastAsia" w:ascii="宋体" w:hAnsi="宋体" w:eastAsia="宋体" w:cs="宋体"/>
          <w:sz w:val="28"/>
          <w:szCs w:val="28"/>
          <w:highlight w:val="none"/>
          <w:lang w:val="en-US" w:eastAsia="zh-CN"/>
        </w:rPr>
        <w:t>。未来几年，将继续巩固和扩大传统养殖优势，加强技术、资金投入，发展规模化、集约化养殖。</w:t>
      </w:r>
    </w:p>
    <w:p w14:paraId="730BE7F4">
      <w:pPr>
        <w:numPr>
          <w:ilvl w:val="0"/>
          <w:numId w:val="0"/>
        </w:numPr>
        <w:spacing w:line="360" w:lineRule="auto"/>
        <w:ind w:leftChars="0" w:firstLine="560" w:firstLineChars="200"/>
        <w:rPr>
          <w:rFonts w:hint="eastAsia" w:ascii="宋体" w:hAnsi="宋体" w:eastAsia="宋体" w:cs="宋体"/>
          <w:sz w:val="28"/>
          <w:szCs w:val="28"/>
          <w:highlight w:val="none"/>
          <w:lang w:val="en-US" w:eastAsia="zh-CN"/>
        </w:rPr>
      </w:pPr>
      <w:r>
        <w:rPr>
          <w:rFonts w:hint="eastAsia" w:ascii="宋体" w:hAnsi="宋体" w:cs="宋体"/>
          <w:sz w:val="28"/>
          <w:szCs w:val="28"/>
          <w:highlight w:val="none"/>
          <w:lang w:val="en-US" w:eastAsia="zh-CN"/>
        </w:rPr>
        <w:t>预计</w:t>
      </w:r>
      <w:r>
        <w:rPr>
          <w:rFonts w:hint="eastAsia" w:ascii="宋体" w:hAnsi="宋体" w:eastAsia="宋体" w:cs="宋体"/>
          <w:sz w:val="28"/>
          <w:szCs w:val="28"/>
          <w:highlight w:val="none"/>
          <w:lang w:val="en-US" w:eastAsia="zh-CN"/>
        </w:rPr>
        <w:t>到2030年，渔业</w:t>
      </w:r>
      <w:r>
        <w:rPr>
          <w:rFonts w:hint="eastAsia" w:ascii="宋体" w:hAnsi="宋体" w:cs="宋体"/>
          <w:sz w:val="28"/>
          <w:szCs w:val="28"/>
          <w:highlight w:val="none"/>
          <w:lang w:val="en-US" w:eastAsia="zh-CN"/>
        </w:rPr>
        <w:t>养殖</w:t>
      </w:r>
      <w:r>
        <w:rPr>
          <w:rFonts w:hint="eastAsia" w:ascii="宋体" w:hAnsi="宋体" w:eastAsia="宋体" w:cs="宋体"/>
          <w:sz w:val="28"/>
          <w:szCs w:val="28"/>
          <w:highlight w:val="none"/>
          <w:lang w:val="en-US" w:eastAsia="zh-CN"/>
        </w:rPr>
        <w:t>产量达到</w:t>
      </w:r>
      <w:r>
        <w:rPr>
          <w:rFonts w:hint="eastAsia" w:ascii="宋体" w:hAnsi="宋体" w:cs="宋体"/>
          <w:sz w:val="28"/>
          <w:szCs w:val="28"/>
          <w:highlight w:val="none"/>
          <w:lang w:val="en-US" w:eastAsia="zh-CN"/>
        </w:rPr>
        <w:t>1400</w:t>
      </w:r>
      <w:r>
        <w:rPr>
          <w:rFonts w:hint="eastAsia" w:ascii="宋体" w:hAnsi="宋体" w:eastAsia="宋体" w:cs="宋体"/>
          <w:sz w:val="28"/>
          <w:szCs w:val="28"/>
          <w:highlight w:val="none"/>
          <w:lang w:val="en-US" w:eastAsia="zh-CN"/>
        </w:rPr>
        <w:t>吨。</w:t>
      </w:r>
    </w:p>
    <w:p w14:paraId="1F227FF2">
      <w:pPr>
        <w:pStyle w:val="3"/>
        <w:rPr>
          <w:rFonts w:ascii="Times New Roman" w:hAnsi="Times New Roman"/>
        </w:rPr>
      </w:pPr>
      <w:bookmarkStart w:id="26" w:name="_Toc9758"/>
      <w:bookmarkStart w:id="27" w:name="_Toc26249"/>
      <w:r>
        <w:rPr>
          <w:rFonts w:ascii="Times New Roman" w:hAnsi="Times New Roman"/>
        </w:rPr>
        <w:t>1.4</w:t>
      </w:r>
      <w:r>
        <w:rPr>
          <w:rFonts w:hint="eastAsia" w:ascii="Times New Roman" w:hAnsi="Times New Roman"/>
          <w:lang w:val="en-US" w:eastAsia="zh-CN"/>
        </w:rPr>
        <w:t xml:space="preserve"> 规划修订的</w:t>
      </w:r>
      <w:r>
        <w:rPr>
          <w:rFonts w:ascii="Times New Roman" w:hAnsi="宋体"/>
        </w:rPr>
        <w:t>基本原则</w:t>
      </w:r>
      <w:bookmarkEnd w:id="26"/>
      <w:bookmarkEnd w:id="27"/>
    </w:p>
    <w:p w14:paraId="5309FA0C">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本次《规划》修订应遵循以下原则。 </w:t>
      </w:r>
    </w:p>
    <w:p w14:paraId="68B01668">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kern w:val="2"/>
          <w:sz w:val="28"/>
          <w:szCs w:val="28"/>
          <w:lang w:val="en-US" w:eastAsia="zh-CN" w:bidi="ar-SA"/>
        </w:rPr>
        <w:t>1.</w:t>
      </w:r>
      <w:r>
        <w:rPr>
          <w:rFonts w:hint="eastAsia" w:ascii="宋体" w:hAnsi="宋体" w:eastAsia="宋体" w:cs="宋体"/>
          <w:sz w:val="28"/>
          <w:szCs w:val="28"/>
          <w:lang w:val="en-US" w:eastAsia="zh-CN"/>
        </w:rPr>
        <w:t>坚持总体协调，横向衔接的原则</w:t>
      </w:r>
    </w:p>
    <w:p w14:paraId="4DE4279A">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修订工作必须在《国土空间规划》的框架下进行，确保两者之间的协调契合。同时，要与近</w:t>
      </w:r>
      <w:r>
        <w:rPr>
          <w:rFonts w:hint="eastAsia" w:ascii="宋体" w:hAnsi="宋体" w:cs="宋体"/>
          <w:sz w:val="28"/>
          <w:szCs w:val="28"/>
          <w:lang w:val="en-US" w:eastAsia="zh-CN"/>
        </w:rPr>
        <w:t>年来</w:t>
      </w:r>
      <w:r>
        <w:rPr>
          <w:rFonts w:hint="eastAsia" w:ascii="宋体" w:hAnsi="宋体" w:eastAsia="宋体" w:cs="宋体"/>
          <w:sz w:val="28"/>
          <w:szCs w:val="28"/>
          <w:lang w:val="en-US" w:eastAsia="zh-CN"/>
        </w:rPr>
        <w:t xml:space="preserve">发布的相关规划及自然保护地整合成果紧密衔接，避免规划之间的重叠与矛盾，推动区域内的全方位协调发展。 </w:t>
      </w:r>
    </w:p>
    <w:p w14:paraId="1AF385AB">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2.坚持应划尽划，全面覆盖的原则 </w:t>
      </w:r>
    </w:p>
    <w:p w14:paraId="3FBCE96E">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本次《规划》修订要囊括</w:t>
      </w:r>
      <w:r>
        <w:rPr>
          <w:rFonts w:hint="eastAsia" w:ascii="宋体" w:hAnsi="宋体" w:cs="宋体"/>
          <w:sz w:val="28"/>
          <w:szCs w:val="28"/>
          <w:lang w:val="en-US" w:eastAsia="zh-CN"/>
        </w:rPr>
        <w:t>嘉荫</w:t>
      </w:r>
      <w:r>
        <w:rPr>
          <w:rFonts w:hint="eastAsia" w:ascii="宋体" w:hAnsi="宋体" w:eastAsia="宋体" w:cs="宋体"/>
          <w:sz w:val="28"/>
          <w:szCs w:val="28"/>
          <w:lang w:val="en-US" w:eastAsia="zh-CN"/>
        </w:rPr>
        <w:t xml:space="preserve">县内所有水域滩涂，确保不遗漏任何符合规划条件的水域滩涂，进一步提升规划的完整性和覆盖面。 </w:t>
      </w:r>
    </w:p>
    <w:p w14:paraId="2F11C2D1">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3.坚持统一平台，规范准确的原则 </w:t>
      </w:r>
    </w:p>
    <w:p w14:paraId="6253D94B">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修订工作要充分利用国土空间规划和国土调查平台，确保修订程序、调查方法和编制过程的科学化、规范化。依法依规，合理规划；对水域滩涂数据进行认真复核，确保修订信息的准确性。推动《规划》数字化管理水平的提升，确保数据能够及时更新，实现《规划》提档升级。</w:t>
      </w:r>
    </w:p>
    <w:p w14:paraId="2250762A">
      <w:pPr>
        <w:pStyle w:val="3"/>
        <w:rPr>
          <w:rFonts w:hint="eastAsia" w:ascii="Times New Roman" w:hAnsi="Times New Roman"/>
          <w:lang w:val="en-US" w:eastAsia="zh-CN"/>
        </w:rPr>
      </w:pPr>
      <w:bookmarkStart w:id="28" w:name="_Toc25492"/>
      <w:bookmarkStart w:id="29" w:name="_Toc30662"/>
      <w:r>
        <w:rPr>
          <w:rFonts w:hint="eastAsia" w:ascii="Times New Roman" w:hAnsi="Times New Roman"/>
          <w:lang w:val="en-US" w:eastAsia="zh-CN"/>
        </w:rPr>
        <w:t>1.5 规划修订的技术路线</w:t>
      </w:r>
      <w:bookmarkEnd w:id="28"/>
      <w:bookmarkEnd w:id="29"/>
    </w:p>
    <w:p w14:paraId="4F5FB056">
      <w:pPr>
        <w:ind w:firstLine="560" w:firstLineChars="200"/>
        <w:rPr>
          <w:rFonts w:hint="default"/>
          <w:lang w:val="en-US" w:eastAsia="zh-CN"/>
        </w:rPr>
      </w:pPr>
      <w:r>
        <w:rPr>
          <w:rFonts w:hint="eastAsia"/>
          <w:lang w:val="en-US" w:eastAsia="zh-CN"/>
        </w:rPr>
        <w:t>1.</w:t>
      </w:r>
      <w:r>
        <w:rPr>
          <w:rFonts w:hint="default"/>
          <w:lang w:val="en-US" w:eastAsia="zh-CN"/>
        </w:rPr>
        <w:t xml:space="preserve">数据采集与处理方法 </w:t>
      </w:r>
    </w:p>
    <w:p w14:paraId="47708C82">
      <w:pPr>
        <w:ind w:firstLine="560" w:firstLineChars="200"/>
        <w:rPr>
          <w:rFonts w:hint="default"/>
          <w:lang w:val="en-US" w:eastAsia="zh-CN"/>
        </w:rPr>
      </w:pPr>
      <w:r>
        <w:rPr>
          <w:rFonts w:hint="default"/>
          <w:lang w:val="en-US" w:eastAsia="zh-CN"/>
        </w:rPr>
        <w:t>使用软件与技术工具介绍：本次修订工作将充分利用现代信息技术和测绘技术，采用2000国家大地坐标系统，利用地理信息系统进行数据采集、处理和分析</w:t>
      </w:r>
      <w:r>
        <w:rPr>
          <w:rFonts w:hint="eastAsia"/>
          <w:lang w:val="en-US" w:eastAsia="zh-CN"/>
        </w:rPr>
        <w:t>，</w:t>
      </w:r>
      <w:r>
        <w:rPr>
          <w:rFonts w:hint="default"/>
          <w:lang w:val="en-US" w:eastAsia="zh-CN"/>
        </w:rPr>
        <w:t xml:space="preserve">确保数据的准确性和实效性。 </w:t>
      </w:r>
    </w:p>
    <w:p w14:paraId="6DC68EF4">
      <w:pPr>
        <w:ind w:firstLine="560" w:firstLineChars="200"/>
        <w:rPr>
          <w:rFonts w:hint="default"/>
          <w:lang w:val="en-US" w:eastAsia="zh-CN"/>
        </w:rPr>
      </w:pPr>
      <w:r>
        <w:rPr>
          <w:rFonts w:hint="default"/>
          <w:lang w:val="en-US" w:eastAsia="zh-CN"/>
        </w:rPr>
        <w:t xml:space="preserve">数据处理与分析：通过地理信息系统对水域滩涂数据进行处理，包括数据整理、空间分析等操作，形成可用于《规划》修订的基础数据库。在数据处理过程中，要确保数据的一致性、完整性和规范性，避免出现数据冗余或缺失。 </w:t>
      </w:r>
    </w:p>
    <w:p w14:paraId="2B06981F">
      <w:pPr>
        <w:ind w:firstLine="560" w:firstLineChars="200"/>
        <w:rPr>
          <w:rFonts w:hint="default"/>
          <w:lang w:val="en-US" w:eastAsia="zh-CN"/>
        </w:rPr>
      </w:pPr>
      <w:r>
        <w:rPr>
          <w:rFonts w:hint="eastAsia"/>
          <w:lang w:val="en-US" w:eastAsia="zh-CN"/>
        </w:rPr>
        <w:t>2.</w:t>
      </w:r>
      <w:r>
        <w:rPr>
          <w:rFonts w:hint="default"/>
          <w:lang w:val="en-US" w:eastAsia="zh-CN"/>
        </w:rPr>
        <w:t xml:space="preserve">水域滩涂划定技术标准 </w:t>
      </w:r>
    </w:p>
    <w:p w14:paraId="03A0F22B">
      <w:pPr>
        <w:ind w:firstLine="560" w:firstLineChars="200"/>
        <w:rPr>
          <w:rFonts w:hint="default"/>
          <w:lang w:val="en-US" w:eastAsia="zh-CN"/>
        </w:rPr>
      </w:pPr>
      <w:r>
        <w:rPr>
          <w:rFonts w:hint="default"/>
          <w:lang w:val="en-US" w:eastAsia="zh-CN"/>
        </w:rPr>
        <w:t>划定标准制定：根据《国土空间规划》和农业农村部的相关要求，制定水域滩涂划定的技术标准。标准应包括水域滩涂的生态环境要求、水质标准、面积要求等方面的具体规定。划定标准应适应不同地区的实际情况，确保划定结果的科学性和适用性。</w:t>
      </w:r>
    </w:p>
    <w:p w14:paraId="2631D73F">
      <w:pPr>
        <w:ind w:firstLine="560" w:firstLineChars="200"/>
        <w:rPr>
          <w:rFonts w:hint="default"/>
          <w:lang w:val="en-US" w:eastAsia="zh-CN"/>
        </w:rPr>
      </w:pPr>
      <w:r>
        <w:rPr>
          <w:rFonts w:hint="default"/>
          <w:lang w:val="en-US" w:eastAsia="zh-CN"/>
        </w:rPr>
        <w:t xml:space="preserve">划定方法应用：在实际划定过程中，应结合地理信息系统（GIS）进行空间分析，对水域滩涂的多项指标进行综合评价。通过一系列算法，科学界定水域滩涂的具体范围。 </w:t>
      </w:r>
    </w:p>
    <w:p w14:paraId="1A8DA8F1">
      <w:pPr>
        <w:ind w:firstLine="560" w:firstLineChars="200"/>
        <w:rPr>
          <w:rFonts w:hint="default"/>
          <w:lang w:val="en-US" w:eastAsia="zh-CN"/>
        </w:rPr>
      </w:pPr>
      <w:r>
        <w:rPr>
          <w:rFonts w:hint="eastAsia"/>
          <w:lang w:val="en-US" w:eastAsia="zh-CN"/>
        </w:rPr>
        <w:t>3.</w:t>
      </w:r>
      <w:r>
        <w:rPr>
          <w:rFonts w:hint="default"/>
          <w:lang w:val="en-US" w:eastAsia="zh-CN"/>
        </w:rPr>
        <w:t xml:space="preserve">与《国土空间规划》及保护地整合成果的衔接方法 </w:t>
      </w:r>
    </w:p>
    <w:p w14:paraId="1D9C545E">
      <w:pPr>
        <w:ind w:firstLine="560" w:firstLineChars="200"/>
        <w:rPr>
          <w:rFonts w:hint="default"/>
          <w:lang w:val="en-US" w:eastAsia="zh-CN"/>
        </w:rPr>
      </w:pPr>
      <w:r>
        <w:rPr>
          <w:rFonts w:hint="default"/>
          <w:lang w:val="en-US" w:eastAsia="zh-CN"/>
        </w:rPr>
        <w:t xml:space="preserve">规划衔接原则：确保《规划》符合《国土空间规划》要求，通过对比分析两者的空间布局、用地性质等，解决现实及潜在的冲突或矛盾。规划衔接过程中，要重视生态红线的保护和合理利用，避免对生态敏感区、脆弱区的影响。 </w:t>
      </w:r>
    </w:p>
    <w:p w14:paraId="6EB87D94">
      <w:pPr>
        <w:ind w:firstLine="560" w:firstLineChars="200"/>
        <w:rPr>
          <w:rFonts w:hint="default"/>
          <w:lang w:val="en-US" w:eastAsia="zh-CN"/>
        </w:rPr>
      </w:pPr>
      <w:r>
        <w:rPr>
          <w:rFonts w:hint="default"/>
          <w:lang w:val="en-US" w:eastAsia="zh-CN"/>
        </w:rPr>
        <w:t xml:space="preserve">《规划》修订涉及保护地内容与自然保护地整合成果一致，首先确保不在自然保护地核心保护区内划定限制养殖区、养殖区，其次涉及自然保护地内禁养区、限养区、养殖区面积数值与整合后该自然保护地相关水域滩涂面积保持一致；转化后自然保护地的水域滩涂按照其性质和相关法规进行功能划定；撤销后的自然保护区内水域滩涂可列入养殖区，但养殖捕捞强度和规模需要科学规划及限定。 </w:t>
      </w:r>
    </w:p>
    <w:p w14:paraId="41D8EF7D">
      <w:pPr>
        <w:ind w:firstLine="560" w:firstLineChars="200"/>
        <w:jc w:val="both"/>
        <w:rPr>
          <w:rFonts w:hint="default"/>
          <w:lang w:val="en-US" w:eastAsia="zh-CN"/>
        </w:rPr>
      </w:pPr>
      <w:r>
        <w:rPr>
          <w:rFonts w:hint="default"/>
          <w:lang w:val="en-US" w:eastAsia="zh-CN"/>
        </w:rPr>
        <w:t>衔接工作流程：首先对《国土空间规划》及自然保护地整合成果中涉及滩涂区域的内容进行全面解读，确定与《规划》的重合和冲突区域；其次，通过校核调整或优化划定方案，确保有效衔接；最后，对修订后的《规划》进行全面审核和并请相关部门确认，确保其符合《国土空间规划》的总体要求及与自然保护地整合成果一致。</w:t>
      </w:r>
    </w:p>
    <w:p w14:paraId="34EF5B92">
      <w:pPr>
        <w:pStyle w:val="3"/>
        <w:rPr>
          <w:rFonts w:ascii="Times New Roman" w:hAnsi="宋体"/>
        </w:rPr>
      </w:pPr>
      <w:bookmarkStart w:id="30" w:name="_Toc11574"/>
      <w:bookmarkStart w:id="31" w:name="_Toc20905"/>
      <w:r>
        <w:rPr>
          <w:rFonts w:ascii="Times New Roman" w:hAnsi="Times New Roman"/>
        </w:rPr>
        <w:t>1.</w:t>
      </w:r>
      <w:r>
        <w:rPr>
          <w:rFonts w:hint="eastAsia" w:ascii="Times New Roman" w:hAnsi="Times New Roman"/>
          <w:lang w:val="en-US" w:eastAsia="zh-CN"/>
        </w:rPr>
        <w:t xml:space="preserve">6 </w:t>
      </w:r>
      <w:r>
        <w:rPr>
          <w:rFonts w:ascii="Times New Roman" w:hAnsi="宋体"/>
        </w:rPr>
        <w:t>规划范围</w:t>
      </w:r>
      <w:bookmarkEnd w:id="30"/>
      <w:bookmarkEnd w:id="31"/>
    </w:p>
    <w:p w14:paraId="765F1158">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规划范围为</w:t>
      </w:r>
      <w:r>
        <w:rPr>
          <w:rFonts w:hint="eastAsia" w:ascii="宋体" w:hAnsi="宋体" w:cs="宋体"/>
          <w:sz w:val="28"/>
          <w:szCs w:val="28"/>
          <w:lang w:val="en-US" w:eastAsia="zh-CN"/>
        </w:rPr>
        <w:t>嘉荫</w:t>
      </w:r>
      <w:r>
        <w:rPr>
          <w:rFonts w:hint="eastAsia" w:ascii="宋体" w:hAnsi="宋体" w:eastAsia="宋体" w:cs="宋体"/>
          <w:sz w:val="28"/>
          <w:szCs w:val="28"/>
          <w:lang w:val="en-US" w:eastAsia="zh-CN"/>
        </w:rPr>
        <w:t>县行政区域内</w:t>
      </w:r>
      <w:r>
        <w:rPr>
          <w:rFonts w:hint="eastAsia" w:ascii="宋体" w:hAnsi="宋体" w:cs="宋体"/>
          <w:sz w:val="28"/>
          <w:szCs w:val="28"/>
          <w:lang w:val="en-US" w:eastAsia="zh-CN"/>
        </w:rPr>
        <w:t>全部土地，包括四镇五乡一农场一林业局，养殖区划定初始范围包括</w:t>
      </w:r>
      <w:r>
        <w:rPr>
          <w:rFonts w:hint="eastAsia" w:ascii="宋体" w:hAnsi="宋体" w:eastAsia="宋体" w:cs="宋体"/>
          <w:sz w:val="28"/>
          <w:szCs w:val="28"/>
          <w:lang w:val="en-US" w:eastAsia="zh-CN"/>
        </w:rPr>
        <w:t>已经进行水产养殖开发利用和目前尚未开发、但适于水产养殖开发利用的所有水域。考虑到维护养殖渔民的合法利益和水产养殖业今后的发展需要，编制规划应具有全面性和前瞻性，所有适于水产养殖开发利用水域均应视为养殖水域滩涂进行规划。</w:t>
      </w:r>
    </w:p>
    <w:p w14:paraId="2C62B5CC">
      <w:pPr>
        <w:ind w:firstLine="560" w:firstLineChars="200"/>
        <w:rPr>
          <w:rFonts w:hint="default" w:ascii="宋体" w:hAnsi="宋体" w:eastAsia="宋体" w:cs="宋体"/>
          <w:sz w:val="28"/>
          <w:szCs w:val="28"/>
          <w:lang w:val="en-US" w:eastAsia="zh-CN"/>
        </w:rPr>
      </w:pPr>
      <w:r>
        <w:rPr>
          <w:rFonts w:hint="eastAsia" w:ascii="宋体" w:hAnsi="宋体" w:cs="宋体"/>
          <w:sz w:val="28"/>
          <w:szCs w:val="28"/>
          <w:lang w:val="en-US" w:eastAsia="zh-CN"/>
        </w:rPr>
        <w:t>（</w:t>
      </w:r>
      <w:r>
        <w:rPr>
          <w:rFonts w:hint="eastAsia" w:ascii="宋体" w:hAnsi="宋体" w:eastAsia="宋体" w:cs="宋体"/>
          <w:sz w:val="28"/>
          <w:szCs w:val="28"/>
          <w:lang w:val="en-US" w:eastAsia="zh-CN"/>
        </w:rPr>
        <w:t>农垦和森工已改制完成，</w:t>
      </w:r>
      <w:r>
        <w:rPr>
          <w:rFonts w:hint="eastAsia" w:ascii="宋体" w:hAnsi="宋体" w:cs="宋体"/>
          <w:sz w:val="28"/>
          <w:szCs w:val="28"/>
          <w:lang w:val="en-US" w:eastAsia="zh-CN"/>
        </w:rPr>
        <w:t>本次修订较原规划增加嘉荫县鹤北林业局</w:t>
      </w:r>
      <w:r>
        <w:rPr>
          <w:rFonts w:hint="eastAsia" w:ascii="宋体" w:hAnsi="宋体" w:eastAsia="宋体" w:cs="宋体"/>
          <w:sz w:val="28"/>
          <w:szCs w:val="28"/>
          <w:lang w:val="en-US" w:eastAsia="zh-CN"/>
        </w:rPr>
        <w:t>，纳入修订范围。）</w:t>
      </w:r>
    </w:p>
    <w:p w14:paraId="377D5EAA">
      <w:pPr>
        <w:pStyle w:val="3"/>
        <w:rPr>
          <w:rFonts w:hint="default" w:ascii="Times New Roman" w:hAnsi="宋体"/>
          <w:lang w:val="en-US"/>
        </w:rPr>
      </w:pPr>
      <w:bookmarkStart w:id="32" w:name="_Toc30268"/>
      <w:bookmarkStart w:id="33" w:name="_Toc10337"/>
      <w:r>
        <w:rPr>
          <w:rFonts w:ascii="Times New Roman" w:hAnsi="Times New Roman"/>
        </w:rPr>
        <w:t>1.</w:t>
      </w:r>
      <w:r>
        <w:rPr>
          <w:rFonts w:hint="eastAsia" w:ascii="Times New Roman" w:hAnsi="Times New Roman"/>
          <w:lang w:val="en-US" w:eastAsia="zh-CN"/>
        </w:rPr>
        <w:t>7 现状调查</w:t>
      </w:r>
      <w:bookmarkEnd w:id="32"/>
      <w:bookmarkEnd w:id="33"/>
    </w:p>
    <w:p w14:paraId="7D1BD964">
      <w:pPr>
        <w:ind w:firstLine="565" w:firstLineChars="202"/>
        <w:jc w:val="both"/>
        <w:rPr>
          <w:rFonts w:hint="eastAsia" w:ascii="宋体" w:hAnsi="宋体"/>
          <w:szCs w:val="28"/>
          <w:lang w:val="en-US" w:eastAsia="zh-CN"/>
        </w:rPr>
      </w:pPr>
      <w:r>
        <w:rPr>
          <w:rFonts w:hint="eastAsia" w:ascii="宋体" w:hAnsi="宋体"/>
          <w:szCs w:val="28"/>
          <w:lang w:val="en-US" w:eastAsia="zh-CN"/>
        </w:rPr>
        <w:t>经过现状调查，嘉荫县已开发利用水域滩涂面积734.89公顷（约1.1万亩）</w:t>
      </w:r>
      <w:r>
        <w:rPr>
          <w:rFonts w:ascii="宋体" w:hAnsi="宋体"/>
          <w:szCs w:val="28"/>
        </w:rPr>
        <w:t>。</w:t>
      </w:r>
      <w:r>
        <w:rPr>
          <w:rFonts w:hint="eastAsia" w:ascii="宋体" w:hAnsi="宋体"/>
          <w:szCs w:val="28"/>
          <w:lang w:val="en-US" w:eastAsia="zh-CN"/>
        </w:rPr>
        <w:t>根据《嘉荫县2024年国民经济和社会发展计划执行情况与2025年国民经济和社会发展计划草案》，截至2024</w:t>
      </w:r>
      <w:r>
        <w:rPr>
          <w:rFonts w:ascii="宋体" w:hAnsi="宋体"/>
          <w:szCs w:val="28"/>
        </w:rPr>
        <w:t>年</w:t>
      </w:r>
      <w:r>
        <w:rPr>
          <w:rFonts w:hint="eastAsia" w:ascii="宋体" w:hAnsi="宋体"/>
          <w:szCs w:val="28"/>
          <w:lang w:val="en-US" w:eastAsia="zh-CN"/>
        </w:rPr>
        <w:t>底</w:t>
      </w:r>
      <w:r>
        <w:rPr>
          <w:rFonts w:ascii="宋体" w:hAnsi="宋体"/>
          <w:szCs w:val="28"/>
        </w:rPr>
        <w:t>，</w:t>
      </w:r>
      <w:r>
        <w:rPr>
          <w:rFonts w:hint="eastAsia" w:ascii="宋体" w:hAnsi="宋体"/>
          <w:szCs w:val="28"/>
          <w:lang w:val="en-US" w:eastAsia="zh-CN"/>
        </w:rPr>
        <w:t>包括养殖、捕捞等在内的渔业总</w:t>
      </w:r>
      <w:r>
        <w:rPr>
          <w:rFonts w:hint="eastAsia" w:ascii="宋体" w:hAnsi="宋体"/>
          <w:szCs w:val="28"/>
        </w:rPr>
        <w:t>产量</w:t>
      </w:r>
      <w:r>
        <w:rPr>
          <w:rFonts w:hint="eastAsia" w:ascii="宋体" w:hAnsi="宋体"/>
          <w:szCs w:val="28"/>
          <w:lang w:val="en-US" w:eastAsia="zh-CN"/>
        </w:rPr>
        <w:t>达到</w:t>
      </w:r>
      <w:r>
        <w:rPr>
          <w:rFonts w:hint="eastAsia" w:ascii="宋体" w:hAnsi="宋体"/>
          <w:szCs w:val="28"/>
          <w:highlight w:val="none"/>
          <w:lang w:val="en-US" w:eastAsia="zh-CN"/>
        </w:rPr>
        <w:t>1245</w:t>
      </w:r>
      <w:r>
        <w:rPr>
          <w:rFonts w:hint="eastAsia" w:ascii="宋体" w:hAnsi="宋体"/>
          <w:szCs w:val="28"/>
        </w:rPr>
        <w:t>吨。</w:t>
      </w:r>
      <w:r>
        <w:rPr>
          <w:rFonts w:hint="eastAsia" w:ascii="宋体" w:hAnsi="宋体"/>
          <w:szCs w:val="28"/>
          <w:lang w:val="en-US" w:eastAsia="zh-CN"/>
        </w:rPr>
        <w:t>主要养殖种类有鲤鱼、鲢鱼、鲫鱼、草鱼、林蛙等。</w:t>
      </w:r>
    </w:p>
    <w:p w14:paraId="4046C5C0">
      <w:p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表1-1 嘉荫县现状养殖情况调查表</w:t>
      </w:r>
    </w:p>
    <w:p w14:paraId="32D260F1">
      <w:pPr>
        <w:ind w:right="282" w:rightChars="0"/>
        <w:jc w:val="right"/>
        <w:rPr>
          <w:rFonts w:hint="eastAsia" w:asciiTheme="minorEastAsia" w:hAnsiTheme="minorEastAsia" w:eastAsiaTheme="minorEastAsia" w:cstheme="minorEastAsia"/>
          <w:b w:val="0"/>
          <w:bCs w:val="0"/>
          <w:sz w:val="22"/>
          <w:szCs w:val="22"/>
          <w:lang w:val="en-US" w:eastAsia="zh-CN"/>
        </w:rPr>
      </w:pPr>
      <w:r>
        <w:rPr>
          <w:rFonts w:hint="eastAsia" w:asciiTheme="minorEastAsia" w:hAnsiTheme="minorEastAsia" w:eastAsiaTheme="minorEastAsia" w:cstheme="minorEastAsia"/>
          <w:b w:val="0"/>
          <w:bCs w:val="0"/>
          <w:sz w:val="22"/>
          <w:szCs w:val="22"/>
          <w:lang w:val="en-US" w:eastAsia="zh-CN"/>
        </w:rPr>
        <w:t>单位：公顷</w:t>
      </w:r>
    </w:p>
    <w:tbl>
      <w:tblPr>
        <w:tblStyle w:val="12"/>
        <w:tblW w:w="87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55"/>
        <w:gridCol w:w="1440"/>
        <w:gridCol w:w="1125"/>
        <w:gridCol w:w="1440"/>
        <w:gridCol w:w="1270"/>
        <w:gridCol w:w="1380"/>
      </w:tblGrid>
      <w:tr w14:paraId="42B3E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5F68B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行政区</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B683F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河流水面</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AE1FA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坑塘水面</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CF4BF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内陆滩涂</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718C3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养殖坑塘</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77D4D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r>
      <w:tr w14:paraId="7AE59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09B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朝阳镇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A0FE4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4F9CB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E4FE1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BBA5BC">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499A7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158.95</w:t>
            </w:r>
          </w:p>
        </w:tc>
      </w:tr>
      <w:tr w14:paraId="652E7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6E5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乌云镇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829AA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FAC44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185.64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FB8504">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D634C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70938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259.91</w:t>
            </w:r>
          </w:p>
        </w:tc>
      </w:tr>
      <w:tr w14:paraId="22566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05D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乌拉嘎镇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84C8D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E16FC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47C94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7A318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BCC5D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25.88</w:t>
            </w:r>
          </w:p>
        </w:tc>
      </w:tr>
      <w:tr w14:paraId="2E69E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317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保兴镇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E098C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5A82BC">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0BD227">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F7EE3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38966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72.56</w:t>
            </w:r>
          </w:p>
        </w:tc>
      </w:tr>
      <w:tr w14:paraId="1B115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FC9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常胜乡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FF0CA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1193B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D674B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F3595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CBDE4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109.02</w:t>
            </w:r>
          </w:p>
        </w:tc>
      </w:tr>
      <w:tr w14:paraId="5BFC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00D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向阳乡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ADDAE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61E25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AD6CF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E95459">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6F6D1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10.19</w:t>
            </w:r>
          </w:p>
        </w:tc>
      </w:tr>
      <w:tr w14:paraId="7C4CA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55E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沪嘉乡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D29A2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788E2C">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0A925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FC404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5DDFB9">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r>
      <w:tr w14:paraId="6A36E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1E1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红光乡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DE013C">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2B51F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EF75E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47222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C405E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4.68</w:t>
            </w:r>
          </w:p>
        </w:tc>
      </w:tr>
      <w:tr w14:paraId="11EA4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DCD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青山乡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23847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EAC6E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596FC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91D32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ED2C4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11.61</w:t>
            </w:r>
          </w:p>
        </w:tc>
      </w:tr>
      <w:tr w14:paraId="23569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C79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农垦绥化管理局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2E949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F1BA9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8D035C">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AF9E7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243B6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80.34</w:t>
            </w:r>
          </w:p>
        </w:tc>
      </w:tr>
      <w:tr w14:paraId="2C752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F7C850">
            <w:pPr>
              <w:keepNext w:val="0"/>
              <w:keepLines w:val="0"/>
              <w:widowControl/>
              <w:suppressLineNumbers w:val="0"/>
              <w:jc w:val="center"/>
              <w:textAlignment w:val="bottom"/>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嘉荫县合计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AAE46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267.62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1B150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313.71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6F5AC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0B4A4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0CA0A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734.89</w:t>
            </w:r>
          </w:p>
        </w:tc>
      </w:tr>
    </w:tbl>
    <w:p w14:paraId="07979A5A">
      <w:pPr>
        <w:ind w:firstLine="565" w:firstLineChars="202"/>
        <w:jc w:val="both"/>
        <w:rPr>
          <w:rFonts w:hint="eastAsia" w:ascii="宋体" w:hAnsi="宋体"/>
          <w:szCs w:val="28"/>
          <w:lang w:val="en-US" w:eastAsia="zh-CN"/>
        </w:rPr>
      </w:pPr>
    </w:p>
    <w:p w14:paraId="79A2BFB5">
      <w:pPr>
        <w:ind w:firstLine="565" w:firstLineChars="202"/>
        <w:jc w:val="both"/>
        <w:rPr>
          <w:rFonts w:hint="eastAsia" w:ascii="宋体" w:hAnsi="宋体"/>
          <w:szCs w:val="28"/>
          <w:lang w:val="en-US" w:eastAsia="zh-CN"/>
        </w:rPr>
        <w:sectPr>
          <w:headerReference r:id="rId8" w:type="default"/>
          <w:footerReference r:id="rId9" w:type="default"/>
          <w:pgSz w:w="11906" w:h="16838"/>
          <w:pgMar w:top="1531" w:right="1247" w:bottom="1417" w:left="1417" w:header="851" w:footer="992" w:gutter="0"/>
          <w:pgNumType w:fmt="decimal" w:start="1"/>
          <w:cols w:space="425" w:num="1"/>
          <w:rtlGutter w:val="0"/>
          <w:docGrid w:type="lines" w:linePitch="312" w:charSpace="0"/>
        </w:sectPr>
      </w:pPr>
    </w:p>
    <w:p w14:paraId="34008148">
      <w:pPr>
        <w:jc w:val="center"/>
        <w:rPr>
          <w:rFonts w:hint="default"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表1-2 嘉荫县土地利用现状统计表</w:t>
      </w:r>
    </w:p>
    <w:tbl>
      <w:tblPr>
        <w:tblStyle w:val="12"/>
        <w:tblW w:w="93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7"/>
        <w:gridCol w:w="2601"/>
        <w:gridCol w:w="755"/>
        <w:gridCol w:w="2137"/>
        <w:gridCol w:w="1725"/>
        <w:gridCol w:w="1501"/>
      </w:tblGrid>
      <w:tr w14:paraId="39174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2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A3D97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一级类</w:t>
            </w:r>
          </w:p>
        </w:tc>
        <w:tc>
          <w:tcPr>
            <w:tcW w:w="2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5F63B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二级类</w:t>
            </w:r>
          </w:p>
        </w:tc>
        <w:tc>
          <w:tcPr>
            <w:tcW w:w="17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2C16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面积（公顷）</w:t>
            </w:r>
          </w:p>
        </w:tc>
        <w:tc>
          <w:tcPr>
            <w:tcW w:w="150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7C95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占比（%）</w:t>
            </w:r>
          </w:p>
        </w:tc>
      </w:tr>
      <w:tr w14:paraId="17D1C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8004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代码</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F4B4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名称</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5DE4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代码</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1378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名称</w:t>
            </w:r>
          </w:p>
        </w:tc>
        <w:tc>
          <w:tcPr>
            <w:tcW w:w="17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D5F27">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15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24378">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r>
      <w:tr w14:paraId="6719E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C7307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w:t>
            </w:r>
          </w:p>
        </w:tc>
        <w:tc>
          <w:tcPr>
            <w:tcW w:w="26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685F4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耕地</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30F7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101</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27A9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水田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8E7C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2615.26</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009F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0.39</w:t>
            </w:r>
          </w:p>
        </w:tc>
      </w:tr>
      <w:tr w14:paraId="148F1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25AD8">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2D186">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EC57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102</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FFF9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水浇地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F798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22.7</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4BE7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w:t>
            </w:r>
          </w:p>
        </w:tc>
      </w:tr>
      <w:tr w14:paraId="7AD99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03BB5">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8A7F3">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6137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103</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67B2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旱地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DCA2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117565.34</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405D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17.42</w:t>
            </w:r>
          </w:p>
        </w:tc>
      </w:tr>
      <w:tr w14:paraId="16D1C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054D3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2</w:t>
            </w:r>
          </w:p>
        </w:tc>
        <w:tc>
          <w:tcPr>
            <w:tcW w:w="26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744D8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园地</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0F91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201</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BE56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果园</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3D2B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2.4</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FADC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w:t>
            </w:r>
          </w:p>
        </w:tc>
      </w:tr>
      <w:tr w14:paraId="50F34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45562">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DA7BB">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3717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205</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8ECA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其他园地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D1EF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678.24</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37E9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0.1</w:t>
            </w:r>
          </w:p>
        </w:tc>
      </w:tr>
      <w:tr w14:paraId="3AB98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79906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3</w:t>
            </w:r>
          </w:p>
        </w:tc>
        <w:tc>
          <w:tcPr>
            <w:tcW w:w="26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3EA6E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林地</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2CD9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301</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D310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乔木林地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D2C1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483142.32</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91DC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71.58</w:t>
            </w:r>
          </w:p>
        </w:tc>
      </w:tr>
      <w:tr w14:paraId="12092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6894E">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C8047">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4A2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303</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6CF8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灌木林地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A9A4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2925.43</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AAC9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0.43</w:t>
            </w:r>
          </w:p>
        </w:tc>
      </w:tr>
      <w:tr w14:paraId="5760E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DF3F9">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2D559">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9BC9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304</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DAC4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其他林地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0137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3734.08</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E8A3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0.55</w:t>
            </w:r>
          </w:p>
        </w:tc>
      </w:tr>
      <w:tr w14:paraId="6AB01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5B09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4</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5637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草地</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9674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403</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EF10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其他草地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DFB7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5285.28</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73E2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0.78</w:t>
            </w:r>
          </w:p>
        </w:tc>
      </w:tr>
      <w:tr w14:paraId="4963E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2FC5A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5</w:t>
            </w:r>
          </w:p>
        </w:tc>
        <w:tc>
          <w:tcPr>
            <w:tcW w:w="26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0C936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湿地</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3439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501</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181C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森林沼泽</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2981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14328.42</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45A9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2.12</w:t>
            </w:r>
          </w:p>
        </w:tc>
      </w:tr>
      <w:tr w14:paraId="1CD5F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38842">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32398">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A7E9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502</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E941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灌丛沼泽</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88AF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1118.62</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58D6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0.17</w:t>
            </w:r>
          </w:p>
        </w:tc>
      </w:tr>
      <w:tr w14:paraId="301DE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4DA57">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C7C60">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97AF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503</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898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沼泽草地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A7C2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12850.51</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D2D3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1.9</w:t>
            </w:r>
          </w:p>
        </w:tc>
      </w:tr>
      <w:tr w14:paraId="14C0E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D9A9E">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B7FC7">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0B4B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504</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4F98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其他沼泽地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5453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1858.07</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518F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0.28</w:t>
            </w:r>
          </w:p>
        </w:tc>
      </w:tr>
      <w:tr w14:paraId="18F3E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963C6">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11AA2">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C1EC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506</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23FC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内陆滩涂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66FD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1386.55</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9443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0.21</w:t>
            </w:r>
          </w:p>
        </w:tc>
      </w:tr>
      <w:tr w14:paraId="01989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E9E11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6</w:t>
            </w:r>
          </w:p>
        </w:tc>
        <w:tc>
          <w:tcPr>
            <w:tcW w:w="26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4FDDB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农业设施建设用地</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92C2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601</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AFFB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农村道路</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7113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2427.77</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EC61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0.36</w:t>
            </w:r>
          </w:p>
        </w:tc>
      </w:tr>
      <w:tr w14:paraId="09F40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8F584">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C1427">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60AF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602</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47E6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设施农用地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F43C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411.62</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7815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0.06</w:t>
            </w:r>
          </w:p>
        </w:tc>
      </w:tr>
      <w:tr w14:paraId="5C36C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6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43454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7</w:t>
            </w:r>
          </w:p>
        </w:tc>
        <w:tc>
          <w:tcPr>
            <w:tcW w:w="26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5661A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居住用地</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E62F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701</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AF2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城镇住宅用地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7528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462.45</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2D4E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0.07</w:t>
            </w:r>
          </w:p>
        </w:tc>
      </w:tr>
      <w:tr w14:paraId="695A5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1951C">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70278">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6924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703</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27E2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农村宅基地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F2C6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735.59</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4019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0.11</w:t>
            </w:r>
          </w:p>
        </w:tc>
      </w:tr>
      <w:tr w14:paraId="44207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24359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8</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50C7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公共管理与公共服务用地</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0B6ED">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lang w:eastAsia="zh-CN"/>
              </w:rPr>
            </w:pPr>
            <w:r>
              <w:rPr>
                <w:rFonts w:hint="eastAsia" w:asciiTheme="minorEastAsia" w:hAnsiTheme="minorEastAsia" w:eastAsiaTheme="minorEastAsia" w:cstheme="minorEastAsia"/>
                <w:b w:val="0"/>
                <w:bCs w:val="0"/>
                <w:i w:val="0"/>
                <w:iCs w:val="0"/>
                <w:color w:val="000000"/>
                <w:sz w:val="21"/>
                <w:szCs w:val="21"/>
                <w:u w:val="none"/>
                <w:lang w:eastAsia="zh-CN"/>
              </w:rPr>
              <w:t>——</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B8242">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lang w:eastAsia="zh-CN"/>
              </w:rPr>
            </w:pPr>
            <w:r>
              <w:rPr>
                <w:rFonts w:hint="eastAsia" w:asciiTheme="minorEastAsia" w:hAnsiTheme="minorEastAsia" w:eastAsiaTheme="minorEastAsia" w:cstheme="minorEastAsia"/>
                <w:b w:val="0"/>
                <w:bCs w:val="0"/>
                <w:i w:val="0"/>
                <w:iCs w:val="0"/>
                <w:color w:val="000000"/>
                <w:sz w:val="21"/>
                <w:szCs w:val="21"/>
                <w:u w:val="none"/>
                <w:lang w:eastAsia="zh-CN"/>
              </w:rPr>
              <w:t>——</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44A4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137.59</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EEA8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0.02</w:t>
            </w:r>
          </w:p>
        </w:tc>
      </w:tr>
      <w:tr w14:paraId="23959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10CAF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9</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8509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商业服务业用地</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FD3F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901</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6E5D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商业用地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A511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78.95</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0B5A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0.01</w:t>
            </w:r>
          </w:p>
        </w:tc>
      </w:tr>
      <w:tr w14:paraId="26BF4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121B4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10</w:t>
            </w:r>
          </w:p>
        </w:tc>
        <w:tc>
          <w:tcPr>
            <w:tcW w:w="26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389A6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工矿用地</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8958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1001</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AC3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工业用地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C4B5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112.56</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9C4C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0.02</w:t>
            </w:r>
          </w:p>
        </w:tc>
      </w:tr>
      <w:tr w14:paraId="2787A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C5A3C3">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81EF0">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77F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1002</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BB87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采矿用地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DC3F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414.89</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2A5C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0.06</w:t>
            </w:r>
          </w:p>
        </w:tc>
      </w:tr>
      <w:tr w14:paraId="4D475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1121E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11</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DCD2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仓储用地</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FC5B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1101</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C9B8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物流仓储用地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C10F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78.76</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3D70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0.01</w:t>
            </w:r>
          </w:p>
        </w:tc>
      </w:tr>
      <w:tr w14:paraId="5E38E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67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6D91F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12</w:t>
            </w:r>
          </w:p>
        </w:tc>
        <w:tc>
          <w:tcPr>
            <w:tcW w:w="26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68EB2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交通运输用地</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434A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1202</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E1EE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公路用地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C6FC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1510.57</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0E6D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0.22</w:t>
            </w:r>
          </w:p>
        </w:tc>
      </w:tr>
      <w:tr w14:paraId="3555D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ECD9F4">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26CF7">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C3ED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1204</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592E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港口码头用地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6E09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6.83</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BCBE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w:t>
            </w:r>
          </w:p>
        </w:tc>
      </w:tr>
      <w:tr w14:paraId="781FB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18FF61">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416E2">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5FFD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1207</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720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城镇村道路用地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9D83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256.23</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2152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0.04</w:t>
            </w:r>
          </w:p>
        </w:tc>
      </w:tr>
      <w:tr w14:paraId="4330F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194B98">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86478">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31A8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1208</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0655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交通场站用地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C552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10.84</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BF67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w:t>
            </w:r>
          </w:p>
        </w:tc>
      </w:tr>
      <w:tr w14:paraId="3AD60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F841B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13</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19EF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公用设施用地</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1F0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lang w:eastAsia="zh-CN"/>
              </w:rPr>
            </w:pPr>
            <w:r>
              <w:rPr>
                <w:rFonts w:hint="eastAsia" w:asciiTheme="minorEastAsia" w:hAnsiTheme="minorEastAsia" w:eastAsiaTheme="minorEastAsia" w:cstheme="minorEastAsia"/>
                <w:b w:val="0"/>
                <w:bCs w:val="0"/>
                <w:i w:val="0"/>
                <w:iCs w:val="0"/>
                <w:color w:val="000000"/>
                <w:sz w:val="21"/>
                <w:szCs w:val="21"/>
                <w:u w:val="none"/>
                <w:lang w:eastAsia="zh-CN"/>
              </w:rPr>
              <w:t>——</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C386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lang w:eastAsia="zh-CN"/>
              </w:rPr>
            </w:pPr>
            <w:r>
              <w:rPr>
                <w:rFonts w:hint="eastAsia" w:asciiTheme="minorEastAsia" w:hAnsiTheme="minorEastAsia" w:eastAsiaTheme="minorEastAsia" w:cstheme="minorEastAsia"/>
                <w:b w:val="0"/>
                <w:bCs w:val="0"/>
                <w:i w:val="0"/>
                <w:iCs w:val="0"/>
                <w:color w:val="000000"/>
                <w:sz w:val="21"/>
                <w:szCs w:val="21"/>
                <w:u w:val="none"/>
                <w:lang w:eastAsia="zh-CN"/>
              </w:rPr>
              <w:t>——</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632E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602.74</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A2BA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0.09</w:t>
            </w:r>
          </w:p>
        </w:tc>
      </w:tr>
      <w:tr w14:paraId="1AB2F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1EE7A1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14</w:t>
            </w:r>
          </w:p>
        </w:tc>
        <w:tc>
          <w:tcPr>
            <w:tcW w:w="26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0D958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绿地与开敞空间用地</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03B1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1401</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E419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公园绿地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7A51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15.16</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23E7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w:t>
            </w:r>
          </w:p>
        </w:tc>
      </w:tr>
      <w:tr w14:paraId="7D7DB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97FE57">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99263">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5F324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1403</w:t>
            </w:r>
          </w:p>
        </w:tc>
        <w:tc>
          <w:tcPr>
            <w:tcW w:w="21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4B25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广场用地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5596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10.61</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8E74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w:t>
            </w:r>
          </w:p>
        </w:tc>
      </w:tr>
      <w:tr w14:paraId="53356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5A625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15</w:t>
            </w:r>
          </w:p>
        </w:tc>
        <w:tc>
          <w:tcPr>
            <w:tcW w:w="26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409C7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特殊用地</w:t>
            </w: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041389">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lang w:eastAsia="zh-CN"/>
              </w:rPr>
            </w:pPr>
            <w:r>
              <w:rPr>
                <w:rFonts w:hint="eastAsia" w:asciiTheme="minorEastAsia" w:hAnsiTheme="minorEastAsia" w:eastAsiaTheme="minorEastAsia" w:cstheme="minorEastAsia"/>
                <w:b w:val="0"/>
                <w:bCs w:val="0"/>
                <w:i w:val="0"/>
                <w:iCs w:val="0"/>
                <w:color w:val="000000"/>
                <w:sz w:val="21"/>
                <w:szCs w:val="21"/>
                <w:u w:val="none"/>
                <w:lang w:eastAsia="zh-CN"/>
              </w:rPr>
              <w:t>——</w:t>
            </w:r>
          </w:p>
        </w:tc>
        <w:tc>
          <w:tcPr>
            <w:tcW w:w="21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D16145">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lang w:eastAsia="zh-CN"/>
              </w:rPr>
            </w:pPr>
            <w:r>
              <w:rPr>
                <w:rFonts w:hint="eastAsia" w:asciiTheme="minorEastAsia" w:hAnsiTheme="minorEastAsia" w:eastAsiaTheme="minorEastAsia" w:cstheme="minorEastAsia"/>
                <w:b w:val="0"/>
                <w:bCs w:val="0"/>
                <w:i w:val="0"/>
                <w:iCs w:val="0"/>
                <w:color w:val="000000"/>
                <w:sz w:val="21"/>
                <w:szCs w:val="21"/>
                <w:u w:val="none"/>
                <w:lang w:eastAsia="zh-CN"/>
              </w:rPr>
              <w:t>——</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4985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67.46</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930C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0.01</w:t>
            </w:r>
          </w:p>
        </w:tc>
      </w:tr>
      <w:tr w14:paraId="32B2F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5A6A2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17</w:t>
            </w:r>
          </w:p>
        </w:tc>
        <w:tc>
          <w:tcPr>
            <w:tcW w:w="260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2BCA3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陆地水域</w:t>
            </w: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C354C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1701</w:t>
            </w:r>
          </w:p>
        </w:tc>
        <w:tc>
          <w:tcPr>
            <w:tcW w:w="21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1D578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河流水面</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8212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16460.1</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9728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2.44</w:t>
            </w:r>
          </w:p>
        </w:tc>
      </w:tr>
      <w:tr w14:paraId="5C633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DCEE0E">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BBFE9D">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FBB0D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1703</w:t>
            </w:r>
          </w:p>
        </w:tc>
        <w:tc>
          <w:tcPr>
            <w:tcW w:w="21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C1FA8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水库水面</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8F73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7.09</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5543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w:t>
            </w:r>
          </w:p>
        </w:tc>
      </w:tr>
      <w:tr w14:paraId="7E7A3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2AD25D">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F84DE3">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7B79C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1704</w:t>
            </w:r>
          </w:p>
        </w:tc>
        <w:tc>
          <w:tcPr>
            <w:tcW w:w="21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338C1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坑塘水面</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A8D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827.31</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CA2B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0.12</w:t>
            </w:r>
          </w:p>
        </w:tc>
      </w:tr>
      <w:tr w14:paraId="7A143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6DF0EE">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7421EA">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9F392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1705</w:t>
            </w:r>
          </w:p>
        </w:tc>
        <w:tc>
          <w:tcPr>
            <w:tcW w:w="21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76279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沟渠</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1ADA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1180.53</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8DA0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0.17</w:t>
            </w:r>
          </w:p>
        </w:tc>
      </w:tr>
      <w:tr w14:paraId="5E89D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530640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23</w:t>
            </w:r>
          </w:p>
        </w:tc>
        <w:tc>
          <w:tcPr>
            <w:tcW w:w="260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92A542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其他土地</w:t>
            </w: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4E09C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2301</w:t>
            </w:r>
          </w:p>
        </w:tc>
        <w:tc>
          <w:tcPr>
            <w:tcW w:w="21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C1E9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空闲地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A0FB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0BC0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w:t>
            </w:r>
          </w:p>
        </w:tc>
      </w:tr>
      <w:tr w14:paraId="18C3F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9B376E">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90C2F8">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603D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2302</w:t>
            </w:r>
          </w:p>
        </w:tc>
        <w:tc>
          <w:tcPr>
            <w:tcW w:w="21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85441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后备耕地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FE46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1407.55</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22E8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0.21</w:t>
            </w:r>
          </w:p>
        </w:tc>
      </w:tr>
      <w:tr w14:paraId="48027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24C09C">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A0D8F8">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BE20F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2306</w:t>
            </w:r>
          </w:p>
        </w:tc>
        <w:tc>
          <w:tcPr>
            <w:tcW w:w="21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D440C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裸土地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D9D0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229.89</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C146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0.03</w:t>
            </w:r>
          </w:p>
        </w:tc>
      </w:tr>
      <w:tr w14:paraId="761FB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B0AC12">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5A17ED">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70CBE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2307</w:t>
            </w:r>
          </w:p>
        </w:tc>
        <w:tc>
          <w:tcPr>
            <w:tcW w:w="21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9146B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裸岩石砾地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6E6E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0.76</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382E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0</w:t>
            </w:r>
          </w:p>
        </w:tc>
      </w:tr>
      <w:tr w14:paraId="37D16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17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A74A90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Theme="minorEastAsia" w:hAnsiTheme="minorEastAsia" w:eastAsiaTheme="minorEastAsia" w:cstheme="minorEastAsia"/>
                <w:b w:val="0"/>
                <w:bCs w:val="0"/>
                <w:i w:val="0"/>
                <w:iCs w:val="0"/>
                <w:color w:val="000000"/>
                <w:kern w:val="0"/>
                <w:sz w:val="21"/>
                <w:szCs w:val="21"/>
                <w:u w:val="none"/>
                <w:lang w:val="en-US" w:eastAsia="zh-CN" w:bidi="ar"/>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总面积</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3EAA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674968.07</w:t>
            </w: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1C04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heme="minorEastAsia" w:hAnsiTheme="minorEastAsia" w:eastAsiaTheme="minorEastAsia" w:cstheme="minorEastAsia"/>
                <w:b w:val="0"/>
                <w:bCs w:val="0"/>
                <w:i w:val="0"/>
                <w:iCs w:val="0"/>
                <w:color w:val="000000"/>
                <w:kern w:val="0"/>
                <w:sz w:val="21"/>
                <w:szCs w:val="21"/>
                <w:u w:val="none"/>
                <w:lang w:val="en-US" w:eastAsia="zh-CN" w:bidi="ar"/>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100</w:t>
            </w:r>
          </w:p>
        </w:tc>
      </w:tr>
    </w:tbl>
    <w:p w14:paraId="01C99C02">
      <w:pPr>
        <w:ind w:firstLine="565" w:firstLineChars="202"/>
        <w:rPr>
          <w:rFonts w:hint="default" w:ascii="宋体" w:hAnsi="宋体"/>
          <w:szCs w:val="28"/>
          <w:lang w:val="en-US" w:eastAsia="zh-CN"/>
        </w:rPr>
      </w:pPr>
    </w:p>
    <w:p w14:paraId="267EF19E">
      <w:pPr>
        <w:tabs>
          <w:tab w:val="left" w:pos="8280"/>
        </w:tabs>
        <w:ind w:right="28"/>
        <w:rPr>
          <w:rFonts w:hint="default" w:ascii="宋体" w:hAnsi="宋体"/>
          <w:szCs w:val="28"/>
          <w:lang w:val="en-US" w:eastAsia="zh-CN"/>
        </w:rPr>
        <w:sectPr>
          <w:pgSz w:w="11906" w:h="16838"/>
          <w:pgMar w:top="1531" w:right="1247" w:bottom="1417" w:left="1417" w:header="851" w:footer="992" w:gutter="0"/>
          <w:pgNumType w:fmt="decimal"/>
          <w:cols w:space="425" w:num="1"/>
          <w:rtlGutter w:val="0"/>
          <w:docGrid w:type="lines" w:linePitch="312" w:charSpace="0"/>
        </w:sectPr>
      </w:pPr>
    </w:p>
    <w:p w14:paraId="5AC376C1">
      <w:pPr>
        <w:pStyle w:val="2"/>
        <w:spacing w:before="120" w:after="120"/>
      </w:pPr>
      <w:bookmarkStart w:id="34" w:name="_Toc21596"/>
      <w:bookmarkStart w:id="35" w:name="_Toc8383"/>
      <w:r>
        <w:rPr>
          <w:rFonts w:hint="eastAsia"/>
        </w:rPr>
        <w:t>第二章 养殖水域滩涂利用评价</w:t>
      </w:r>
      <w:bookmarkEnd w:id="34"/>
      <w:bookmarkEnd w:id="35"/>
    </w:p>
    <w:p w14:paraId="15A129C3">
      <w:pPr>
        <w:pStyle w:val="3"/>
        <w:rPr>
          <w:rFonts w:ascii="Times New Roman" w:hAnsi="Times New Roman"/>
        </w:rPr>
      </w:pPr>
      <w:bookmarkStart w:id="36" w:name="_Toc26657"/>
      <w:bookmarkStart w:id="37" w:name="_Toc27251"/>
      <w:r>
        <w:rPr>
          <w:rFonts w:ascii="Times New Roman" w:hAnsi="Times New Roman"/>
        </w:rPr>
        <w:t xml:space="preserve">2.1 </w:t>
      </w:r>
      <w:r>
        <w:rPr>
          <w:rFonts w:ascii="Times New Roman" w:hAnsi="宋体"/>
        </w:rPr>
        <w:t>水域滩涂承载力分析</w:t>
      </w:r>
      <w:bookmarkEnd w:id="36"/>
      <w:bookmarkEnd w:id="37"/>
    </w:p>
    <w:p w14:paraId="4B5D2B2A">
      <w:pPr>
        <w:pStyle w:val="4"/>
        <w:rPr>
          <w:rFonts w:ascii="Times New Roman" w:hAnsi="Times New Roman"/>
        </w:rPr>
      </w:pPr>
      <w:bookmarkStart w:id="38" w:name="_Toc15311"/>
      <w:r>
        <w:rPr>
          <w:rFonts w:ascii="Times New Roman" w:hAnsi="Times New Roman"/>
        </w:rPr>
        <w:t xml:space="preserve">2.1.1 </w:t>
      </w:r>
      <w:r>
        <w:rPr>
          <w:rFonts w:ascii="Times New Roman" w:hAnsi="宋体"/>
        </w:rPr>
        <w:t>水域滩涂资源状况</w:t>
      </w:r>
      <w:bookmarkEnd w:id="38"/>
    </w:p>
    <w:p w14:paraId="6C2A98C1">
      <w:pPr>
        <w:pStyle w:val="5"/>
        <w:rPr>
          <w:rFonts w:ascii="Times New Roman" w:hAnsi="宋体"/>
        </w:rPr>
      </w:pPr>
      <w:r>
        <w:rPr>
          <w:rFonts w:ascii="Times New Roman" w:hAnsi="Times New Roman"/>
        </w:rPr>
        <w:t xml:space="preserve">2.1.1.1 </w:t>
      </w:r>
      <w:r>
        <w:rPr>
          <w:rFonts w:ascii="Times New Roman" w:hAnsi="宋体"/>
        </w:rPr>
        <w:t>地理位置</w:t>
      </w:r>
    </w:p>
    <w:p w14:paraId="139566E0">
      <w:pPr>
        <w:ind w:firstLine="565" w:firstLineChars="202"/>
        <w:jc w:val="both"/>
        <w:rPr>
          <w:rFonts w:hint="default" w:ascii="宋体" w:hAnsi="宋体"/>
          <w:szCs w:val="28"/>
          <w:lang w:val="en-US" w:eastAsia="zh-CN"/>
        </w:rPr>
      </w:pPr>
      <w:r>
        <w:rPr>
          <w:rFonts w:hint="default" w:ascii="宋体" w:hAnsi="宋体"/>
          <w:szCs w:val="28"/>
          <w:lang w:val="en-US" w:eastAsia="zh-CN"/>
        </w:rPr>
        <w:t>嘉荫县位于黑龙江省东北部，小兴安岭北麓，黑龙江中游右岸，与俄罗斯阿穆尔州、比罗比詹犹太自治州隔江相望，地理坐标为：北纬48°</w:t>
      </w:r>
      <w:r>
        <w:rPr>
          <w:rFonts w:hint="eastAsia" w:ascii="宋体" w:hAnsi="宋体"/>
          <w:szCs w:val="28"/>
          <w:lang w:val="en-US" w:eastAsia="zh-CN"/>
        </w:rPr>
        <w:t>0</w:t>
      </w:r>
      <w:r>
        <w:rPr>
          <w:rFonts w:hint="default" w:ascii="宋体" w:hAnsi="宋体"/>
          <w:szCs w:val="28"/>
          <w:lang w:val="en-US" w:eastAsia="zh-CN"/>
        </w:rPr>
        <w:t>8′30″至49°26′</w:t>
      </w:r>
      <w:r>
        <w:rPr>
          <w:rFonts w:hint="eastAsia" w:ascii="宋体" w:hAnsi="宋体"/>
          <w:szCs w:val="28"/>
          <w:lang w:val="en-US" w:eastAsia="zh-CN"/>
        </w:rPr>
        <w:t>0</w:t>
      </w:r>
      <w:r>
        <w:rPr>
          <w:rFonts w:hint="default" w:ascii="宋体" w:hAnsi="宋体"/>
          <w:szCs w:val="28"/>
          <w:lang w:val="en-US" w:eastAsia="zh-CN"/>
        </w:rPr>
        <w:t>5″，东</w:t>
      </w:r>
      <w:r>
        <w:rPr>
          <w:rFonts w:hint="eastAsia" w:ascii="宋体" w:hAnsi="宋体"/>
          <w:szCs w:val="28"/>
          <w:lang w:val="en-US" w:eastAsia="zh-CN"/>
        </w:rPr>
        <w:t>经</w:t>
      </w:r>
      <w:r>
        <w:rPr>
          <w:rFonts w:hint="default" w:ascii="宋体" w:hAnsi="宋体"/>
          <w:szCs w:val="28"/>
          <w:lang w:val="en-US" w:eastAsia="zh-CN"/>
        </w:rPr>
        <w:t>129°</w:t>
      </w:r>
      <w:r>
        <w:rPr>
          <w:rFonts w:hint="eastAsia" w:ascii="宋体" w:hAnsi="宋体"/>
          <w:szCs w:val="28"/>
          <w:lang w:val="en-US" w:eastAsia="zh-CN"/>
        </w:rPr>
        <w:t>0</w:t>
      </w:r>
      <w:r>
        <w:rPr>
          <w:rFonts w:hint="default" w:ascii="宋体" w:hAnsi="宋体"/>
          <w:szCs w:val="28"/>
          <w:lang w:val="en-US" w:eastAsia="zh-CN"/>
        </w:rPr>
        <w:t>9′45″至130°50′</w:t>
      </w:r>
      <w:r>
        <w:rPr>
          <w:rFonts w:hint="eastAsia" w:ascii="宋体" w:hAnsi="宋体"/>
          <w:szCs w:val="28"/>
          <w:lang w:val="en-US" w:eastAsia="zh-CN"/>
        </w:rPr>
        <w:t>00</w:t>
      </w:r>
      <w:r>
        <w:rPr>
          <w:rFonts w:hint="default" w:ascii="宋体" w:hAnsi="宋体"/>
          <w:szCs w:val="28"/>
          <w:lang w:val="en-US" w:eastAsia="zh-CN"/>
        </w:rPr>
        <w:t>″，县境东南接萝北县，南与鹤岗市，西南与伊春丰林县、汤旺县相邻，西连逊克县。距伊春市222公里</w:t>
      </w:r>
      <w:r>
        <w:rPr>
          <w:rFonts w:hint="eastAsia" w:ascii="宋体" w:hAnsi="宋体"/>
          <w:szCs w:val="28"/>
          <w:lang w:val="en-US" w:eastAsia="zh-CN"/>
        </w:rPr>
        <w:t>、</w:t>
      </w:r>
      <w:r>
        <w:rPr>
          <w:rFonts w:hint="default" w:ascii="宋体" w:hAnsi="宋体"/>
          <w:szCs w:val="28"/>
          <w:lang w:val="en-US" w:eastAsia="zh-CN"/>
        </w:rPr>
        <w:t>哈尔滨市519公里、鹤岗市256公里、黑河市460公里</w:t>
      </w:r>
      <w:r>
        <w:rPr>
          <w:rFonts w:hint="eastAsia" w:ascii="宋体" w:hAnsi="宋体"/>
          <w:szCs w:val="28"/>
          <w:lang w:val="en-US" w:eastAsia="zh-CN"/>
        </w:rPr>
        <w:t>、</w:t>
      </w:r>
      <w:r>
        <w:rPr>
          <w:rFonts w:hint="default" w:ascii="宋体" w:hAnsi="宋体"/>
          <w:szCs w:val="28"/>
          <w:lang w:val="en-US" w:eastAsia="zh-CN"/>
        </w:rPr>
        <w:t>萝北县210公里。县辖四镇五乡</w:t>
      </w:r>
      <w:r>
        <w:rPr>
          <w:rFonts w:hint="eastAsia" w:ascii="宋体" w:hAnsi="宋体"/>
          <w:szCs w:val="28"/>
          <w:lang w:val="en-US" w:eastAsia="zh-CN"/>
        </w:rPr>
        <w:t>，</w:t>
      </w:r>
      <w:r>
        <w:rPr>
          <w:rFonts w:hint="default" w:ascii="宋体" w:hAnsi="宋体"/>
          <w:szCs w:val="28"/>
          <w:lang w:val="en-US" w:eastAsia="zh-CN"/>
        </w:rPr>
        <w:t>73个行政村，县内有1户中直企业乌拉</w:t>
      </w:r>
      <w:r>
        <w:rPr>
          <w:rFonts w:hint="eastAsia" w:ascii="宋体" w:hAnsi="宋体"/>
          <w:szCs w:val="28"/>
          <w:lang w:val="en-US" w:eastAsia="zh-CN"/>
        </w:rPr>
        <w:t>嘎</w:t>
      </w:r>
      <w:r>
        <w:rPr>
          <w:rFonts w:hint="default" w:ascii="宋体" w:hAnsi="宋体"/>
          <w:szCs w:val="28"/>
          <w:lang w:val="en-US" w:eastAsia="zh-CN"/>
        </w:rPr>
        <w:t>金矿</w:t>
      </w:r>
      <w:r>
        <w:rPr>
          <w:rFonts w:hint="eastAsia" w:ascii="宋体" w:hAnsi="宋体"/>
          <w:szCs w:val="28"/>
          <w:lang w:val="en-US" w:eastAsia="zh-CN"/>
        </w:rPr>
        <w:t>，以及农垦绥化管理局和鹤北林业局</w:t>
      </w:r>
      <w:r>
        <w:rPr>
          <w:rFonts w:hint="default" w:ascii="宋体" w:hAnsi="宋体"/>
          <w:szCs w:val="28"/>
          <w:lang w:val="en-US" w:eastAsia="zh-CN"/>
        </w:rPr>
        <w:t>。全县总面积674968</w:t>
      </w:r>
      <w:r>
        <w:rPr>
          <w:rFonts w:hint="eastAsia" w:ascii="宋体" w:hAnsi="宋体"/>
          <w:szCs w:val="28"/>
          <w:lang w:val="en-US" w:eastAsia="zh-CN"/>
        </w:rPr>
        <w:t>.</w:t>
      </w:r>
      <w:r>
        <w:rPr>
          <w:rFonts w:hint="default" w:ascii="宋体" w:hAnsi="宋体"/>
          <w:szCs w:val="28"/>
          <w:lang w:val="en-US" w:eastAsia="zh-CN"/>
        </w:rPr>
        <w:t>07</w:t>
      </w:r>
      <w:r>
        <w:rPr>
          <w:rFonts w:hint="eastAsia" w:ascii="宋体" w:hAnsi="宋体"/>
          <w:szCs w:val="28"/>
          <w:lang w:val="en-US" w:eastAsia="zh-CN"/>
        </w:rPr>
        <w:t>公顷</w:t>
      </w:r>
      <w:r>
        <w:rPr>
          <w:rFonts w:hint="default" w:ascii="宋体" w:hAnsi="宋体"/>
          <w:szCs w:val="28"/>
          <w:lang w:val="en-US" w:eastAsia="zh-CN"/>
        </w:rPr>
        <w:t>，总人口</w:t>
      </w:r>
      <w:r>
        <w:rPr>
          <w:rFonts w:hint="eastAsia" w:ascii="宋体" w:hAnsi="宋体"/>
          <w:szCs w:val="28"/>
          <w:lang w:val="en-US" w:eastAsia="zh-CN"/>
        </w:rPr>
        <w:t>6.8</w:t>
      </w:r>
      <w:r>
        <w:rPr>
          <w:rFonts w:hint="default" w:ascii="宋体" w:hAnsi="宋体"/>
          <w:szCs w:val="28"/>
          <w:lang w:val="en-US" w:eastAsia="zh-CN"/>
        </w:rPr>
        <w:t>万，有大小河流</w:t>
      </w:r>
      <w:r>
        <w:rPr>
          <w:rFonts w:hint="eastAsia" w:ascii="宋体" w:hAnsi="宋体"/>
          <w:szCs w:val="28"/>
          <w:lang w:val="en-US" w:eastAsia="zh-CN"/>
        </w:rPr>
        <w:t>74</w:t>
      </w:r>
      <w:r>
        <w:rPr>
          <w:rFonts w:hint="default" w:ascii="宋体" w:hAnsi="宋体"/>
          <w:szCs w:val="28"/>
          <w:lang w:val="en-US" w:eastAsia="zh-CN"/>
        </w:rPr>
        <w:t>条，自南向北，纵横交错，蜿蜒汇入乌云河、结烈河、乌拉嘎河、嘉荫河四大河流，最后注入黑龙江。</w:t>
      </w:r>
    </w:p>
    <w:p w14:paraId="49FAC2F1">
      <w:pPr>
        <w:pStyle w:val="5"/>
        <w:rPr>
          <w:rFonts w:hint="eastAsia" w:ascii="Times New Roman" w:hAnsi="Times New Roman"/>
        </w:rPr>
      </w:pPr>
      <w:r>
        <w:rPr>
          <w:rFonts w:hint="eastAsia" w:ascii="Times New Roman" w:hAnsi="Times New Roman"/>
        </w:rPr>
        <w:t>2</w:t>
      </w:r>
      <w:r>
        <w:rPr>
          <w:rFonts w:hint="eastAsia" w:ascii="Times New Roman" w:hAnsi="Times New Roman"/>
          <w:lang w:val="en-US" w:eastAsia="zh-CN"/>
        </w:rPr>
        <w:t xml:space="preserve">.1.1.2 </w:t>
      </w:r>
      <w:r>
        <w:rPr>
          <w:rFonts w:hint="eastAsia" w:ascii="Times New Roman" w:hAnsi="Times New Roman"/>
        </w:rPr>
        <w:t>地质地貌</w:t>
      </w:r>
    </w:p>
    <w:p w14:paraId="54FBF4A7">
      <w:pPr>
        <w:ind w:firstLine="565" w:firstLineChars="202"/>
        <w:jc w:val="both"/>
        <w:rPr>
          <w:rFonts w:hint="default" w:ascii="宋体" w:hAnsi="宋体"/>
          <w:szCs w:val="28"/>
          <w:lang w:val="en-US" w:eastAsia="zh-CN"/>
        </w:rPr>
      </w:pPr>
      <w:r>
        <w:rPr>
          <w:rFonts w:hint="eastAsia" w:ascii="宋体" w:hAnsi="宋体"/>
          <w:szCs w:val="28"/>
          <w:lang w:val="en-US" w:eastAsia="zh-CN"/>
        </w:rPr>
        <w:t>嘉荫县境内自西北向东南呈狭长地段，地势走向西南高、东北低，小兴安岭余脉呈鸡爪状向黑龙江边延伸，沟壑纵横、丘陵起伏、漫岗平原相间，按地貌的形态，总的比例可概括为八山、半水半草一分田。黑龙江干流是与俄罗斯相望的两国界江，嘉荫县自逊克县交界处葛贡河河口到嘉荫河口出境，流经本县246公里，构成一段国界线。由于黑龙江河道位于花岗砂页岩及玄武岩山地中，因地壳上升与河谷下切的关系，河床陡窄多峡谷，并出现诸多盆地，江道在许多地方呈网状水道，中间有无数布满天然植被的江心岛，流经本县境大部水域平展开阔，港汊岛屿较多，形成了广阔的泛水区和沼泽洼地，唯观音山以下，江面变窄，两岸陡峭，水流湍急。江水清澈见底，河底为卵石、石砾。生长大量的水生植物，水质清新，无毒、无污染适于发展绿色生态渔业。</w:t>
      </w:r>
    </w:p>
    <w:p w14:paraId="3B8EB9E0">
      <w:pPr>
        <w:ind w:left="0" w:leftChars="0" w:firstLine="0" w:firstLineChars="0"/>
        <w:jc w:val="center"/>
        <w:rPr>
          <w:rFonts w:hint="default" w:ascii="宋体" w:hAnsi="宋体"/>
          <w:szCs w:val="28"/>
          <w:lang w:val="en-US" w:eastAsia="zh-CN"/>
        </w:rPr>
        <w:sectPr>
          <w:pgSz w:w="11906" w:h="16838"/>
          <w:pgMar w:top="1531" w:right="1247" w:bottom="1417" w:left="1417" w:header="851" w:footer="992" w:gutter="0"/>
          <w:pgNumType w:fmt="decimal"/>
          <w:cols w:space="425" w:num="1"/>
          <w:rtlGutter w:val="0"/>
          <w:docGrid w:type="lines" w:linePitch="312" w:charSpace="0"/>
        </w:sectPr>
      </w:pPr>
      <w:r>
        <w:rPr>
          <w:rFonts w:hint="default" w:ascii="宋体" w:hAnsi="宋体"/>
          <w:szCs w:val="28"/>
          <w:lang w:val="en-US" w:eastAsia="zh-CN"/>
        </w:rPr>
        <w:drawing>
          <wp:inline distT="0" distB="0" distL="114300" distR="114300">
            <wp:extent cx="5400040" cy="7012940"/>
            <wp:effectExtent l="0" t="0" r="10160" b="16510"/>
            <wp:docPr id="3" name="图片 3" descr="地形地貌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地形地貌图"/>
                    <pic:cNvPicPr>
                      <a:picLocks noChangeAspect="1"/>
                    </pic:cNvPicPr>
                  </pic:nvPicPr>
                  <pic:blipFill>
                    <a:blip r:embed="rId17"/>
                    <a:srcRect t="1637" b="2525"/>
                    <a:stretch>
                      <a:fillRect/>
                    </a:stretch>
                  </pic:blipFill>
                  <pic:spPr>
                    <a:xfrm>
                      <a:off x="0" y="0"/>
                      <a:ext cx="5400040" cy="7012940"/>
                    </a:xfrm>
                    <a:prstGeom prst="rect">
                      <a:avLst/>
                    </a:prstGeom>
                  </pic:spPr>
                </pic:pic>
              </a:graphicData>
            </a:graphic>
          </wp:inline>
        </w:drawing>
      </w:r>
    </w:p>
    <w:p w14:paraId="3DC7C01A">
      <w:pPr>
        <w:pStyle w:val="5"/>
        <w:rPr>
          <w:rFonts w:ascii="Times New Roman" w:hAnsi="Times New Roman" w:eastAsia="宋体"/>
        </w:rPr>
      </w:pPr>
      <w:r>
        <w:rPr>
          <w:rFonts w:ascii="Times New Roman" w:hAnsi="Times New Roman" w:eastAsia="宋体"/>
        </w:rPr>
        <w:t>2.1.1.3 类型范围、面积数量</w:t>
      </w:r>
    </w:p>
    <w:p w14:paraId="42A64046">
      <w:pPr>
        <w:ind w:firstLine="565" w:firstLineChars="202"/>
        <w:jc w:val="both"/>
        <w:rPr>
          <w:rFonts w:hint="eastAsia" w:ascii="宋体" w:hAnsi="宋体"/>
          <w:szCs w:val="28"/>
          <w:lang w:val="en-US" w:eastAsia="zh-CN"/>
        </w:rPr>
      </w:pPr>
      <w:r>
        <w:rPr>
          <w:rFonts w:hint="eastAsia" w:ascii="宋体" w:hAnsi="宋体"/>
          <w:szCs w:val="28"/>
          <w:lang w:val="en-US" w:eastAsia="zh-CN"/>
        </w:rPr>
        <w:t>嘉荫县水域的主要类型是河流、水库、池塘。</w:t>
      </w:r>
    </w:p>
    <w:p w14:paraId="0FA5BDFC">
      <w:pPr>
        <w:ind w:firstLine="565" w:firstLineChars="202"/>
        <w:jc w:val="both"/>
        <w:rPr>
          <w:rFonts w:hint="eastAsia" w:ascii="宋体" w:hAnsi="宋体"/>
          <w:szCs w:val="28"/>
          <w:lang w:val="en-US" w:eastAsia="zh-CN"/>
        </w:rPr>
      </w:pPr>
      <w:r>
        <w:rPr>
          <w:rFonts w:hint="eastAsia" w:ascii="宋体" w:hAnsi="宋体"/>
          <w:szCs w:val="28"/>
          <w:lang w:val="en-US" w:eastAsia="zh-CN"/>
        </w:rPr>
        <w:t>1.河流</w:t>
      </w:r>
    </w:p>
    <w:p w14:paraId="4840BB52">
      <w:pPr>
        <w:ind w:firstLine="565" w:firstLineChars="202"/>
        <w:jc w:val="both"/>
        <w:rPr>
          <w:rFonts w:hint="eastAsia" w:ascii="宋体" w:hAnsi="宋体"/>
          <w:szCs w:val="28"/>
          <w:lang w:val="zh-CN" w:eastAsia="zh-CN"/>
        </w:rPr>
      </w:pPr>
      <w:r>
        <w:rPr>
          <w:rFonts w:hint="eastAsia" w:ascii="宋体" w:hAnsi="宋体"/>
          <w:szCs w:val="28"/>
          <w:lang w:val="en-US" w:eastAsia="zh-CN"/>
        </w:rPr>
        <w:t>境内河流均发源于小兴安岭，流入黑龙江，统属黑龙江水系，</w:t>
      </w:r>
      <w:r>
        <w:rPr>
          <w:rFonts w:hint="eastAsia" w:ascii="宋体" w:hAnsi="宋体"/>
          <w:szCs w:val="28"/>
          <w:lang w:val="zh-CN" w:eastAsia="zh-CN"/>
        </w:rPr>
        <w:t>全县河流诸多，历史记载有名的</w:t>
      </w:r>
      <w:r>
        <w:rPr>
          <w:rFonts w:hint="eastAsia" w:ascii="宋体" w:hAnsi="宋体"/>
          <w:szCs w:val="28"/>
          <w:lang w:val="en-US" w:eastAsia="zh-CN"/>
        </w:rPr>
        <w:t>河流74条</w:t>
      </w:r>
      <w:r>
        <w:rPr>
          <w:rFonts w:hint="eastAsia" w:ascii="宋体" w:hAnsi="宋体"/>
          <w:szCs w:val="28"/>
          <w:lang w:val="zh-CN" w:eastAsia="zh-CN"/>
        </w:rPr>
        <w:t>，其中主要大型河流五条，黑龙江、乌云河、结烈河、乌拉嘎河、嘉荫河。</w:t>
      </w:r>
    </w:p>
    <w:p w14:paraId="5D34BEE1">
      <w:pPr>
        <w:ind w:firstLine="565" w:firstLineChars="202"/>
        <w:jc w:val="both"/>
        <w:rPr>
          <w:rFonts w:hint="eastAsia" w:ascii="宋体" w:hAnsi="宋体"/>
          <w:szCs w:val="28"/>
          <w:lang w:val="en-US" w:eastAsia="zh-CN"/>
        </w:rPr>
      </w:pPr>
      <w:r>
        <w:rPr>
          <w:rFonts w:hint="eastAsia" w:ascii="宋体" w:hAnsi="宋体"/>
          <w:szCs w:val="28"/>
          <w:lang w:val="en-US" w:eastAsia="zh-CN"/>
        </w:rPr>
        <w:t>黑龙江干流：嘉荫江段自上游葛贡河至下游嘉荫河口，流经本县常胜乡、乌云镇、向阳乡、红光乡、朝阳镇、保兴镇的三个镇三个乡和农垦绥化管理局，河长246公里。</w:t>
      </w:r>
    </w:p>
    <w:p w14:paraId="1235D977">
      <w:pPr>
        <w:ind w:firstLine="565" w:firstLineChars="202"/>
        <w:jc w:val="both"/>
        <w:rPr>
          <w:rFonts w:hint="eastAsia" w:ascii="宋体" w:hAnsi="宋体"/>
          <w:szCs w:val="28"/>
          <w:lang w:val="en-US" w:eastAsia="zh-CN"/>
        </w:rPr>
      </w:pPr>
      <w:r>
        <w:rPr>
          <w:rFonts w:hint="eastAsia" w:ascii="宋体" w:hAnsi="宋体"/>
          <w:szCs w:val="28"/>
          <w:lang w:val="en-US" w:eastAsia="zh-CN"/>
        </w:rPr>
        <w:t>乌云河：位于嘉荫县中部，发源于乌云山南麓，由12条支流汇合而成，流经沪嘉乡、青山乡、向阳乡和农垦绥化管理局汇入黑龙江，全长66.461公里。</w:t>
      </w:r>
    </w:p>
    <w:p w14:paraId="198A7ECF">
      <w:pPr>
        <w:ind w:firstLine="565" w:firstLineChars="202"/>
        <w:jc w:val="both"/>
        <w:rPr>
          <w:rFonts w:hint="eastAsia" w:ascii="宋体" w:hAnsi="宋体"/>
          <w:szCs w:val="28"/>
          <w:lang w:val="en-US" w:eastAsia="zh-CN"/>
        </w:rPr>
      </w:pPr>
      <w:r>
        <w:rPr>
          <w:rFonts w:hint="eastAsia" w:ascii="宋体" w:hAnsi="宋体"/>
          <w:szCs w:val="28"/>
          <w:lang w:val="en-US" w:eastAsia="zh-CN"/>
        </w:rPr>
        <w:t>结烈河：发源于新青林业局岭峰工区3公里处，由6支流汇集而成，流经乌拉嘎镇、青山乡和农垦绥化管理局汇入黑龙江，为山溪性河流，境内河长100.326公里。</w:t>
      </w:r>
    </w:p>
    <w:p w14:paraId="3A51B041">
      <w:pPr>
        <w:ind w:firstLine="565" w:firstLineChars="202"/>
        <w:jc w:val="both"/>
        <w:rPr>
          <w:rFonts w:hint="eastAsia" w:ascii="宋体" w:hAnsi="宋体"/>
          <w:szCs w:val="28"/>
          <w:lang w:val="en-US" w:eastAsia="zh-CN"/>
        </w:rPr>
      </w:pPr>
      <w:r>
        <w:rPr>
          <w:rFonts w:hint="eastAsia" w:ascii="宋体" w:hAnsi="宋体"/>
          <w:szCs w:val="28"/>
          <w:lang w:val="en-US" w:eastAsia="zh-CN"/>
        </w:rPr>
        <w:t>乌拉嘎河：发源于乌拉嘎镇乌拉岛西北沟3公里处，由5条支流汇集而成，流经乌拉嘎镇、保兴镇注入黑龙江，河长84.254公里。</w:t>
      </w:r>
    </w:p>
    <w:p w14:paraId="673E2C22">
      <w:pPr>
        <w:ind w:firstLine="565" w:firstLineChars="202"/>
        <w:jc w:val="both"/>
        <w:rPr>
          <w:rFonts w:hint="eastAsia" w:ascii="宋体" w:hAnsi="宋体"/>
          <w:szCs w:val="28"/>
          <w:lang w:val="en-US" w:eastAsia="zh-CN"/>
        </w:rPr>
      </w:pPr>
      <w:r>
        <w:rPr>
          <w:rFonts w:hint="eastAsia" w:ascii="宋体" w:hAnsi="宋体"/>
          <w:szCs w:val="28"/>
          <w:lang w:val="zh-CN" w:eastAsia="zh-CN"/>
        </w:rPr>
        <w:t>嘉荫河：发源于小兴安岭北坡，鹤岗北影林场</w:t>
      </w:r>
      <w:r>
        <w:rPr>
          <w:rFonts w:hint="eastAsia" w:ascii="宋体" w:hAnsi="宋体"/>
          <w:szCs w:val="28"/>
          <w:lang w:val="en-US" w:eastAsia="zh-CN"/>
        </w:rPr>
        <w:t>7公里处。</w:t>
      </w:r>
      <w:r>
        <w:rPr>
          <w:rFonts w:hint="eastAsia" w:ascii="宋体" w:hAnsi="宋体"/>
          <w:szCs w:val="28"/>
          <w:lang w:val="zh-CN" w:eastAsia="zh-CN"/>
        </w:rPr>
        <w:t>由九大支流汇集而成，流经鹤岗、伊春、嘉荫（乌拉嘎镇、保兴</w:t>
      </w:r>
      <w:r>
        <w:rPr>
          <w:rFonts w:hint="eastAsia" w:ascii="宋体" w:hAnsi="宋体"/>
          <w:szCs w:val="28"/>
          <w:lang w:val="en-US" w:eastAsia="zh-CN"/>
        </w:rPr>
        <w:t>镇</w:t>
      </w:r>
      <w:r>
        <w:rPr>
          <w:rFonts w:hint="eastAsia" w:ascii="宋体" w:hAnsi="宋体"/>
          <w:szCs w:val="28"/>
          <w:lang w:val="zh-CN" w:eastAsia="zh-CN"/>
        </w:rPr>
        <w:t>）、萝北注入黑龙江，全长</w:t>
      </w:r>
      <w:r>
        <w:rPr>
          <w:rFonts w:hint="eastAsia" w:ascii="宋体" w:hAnsi="宋体"/>
          <w:szCs w:val="28"/>
          <w:lang w:val="en-US" w:eastAsia="zh-CN"/>
        </w:rPr>
        <w:t>61.031公里</w:t>
      </w:r>
      <w:r>
        <w:rPr>
          <w:rFonts w:hint="eastAsia" w:ascii="宋体" w:hAnsi="宋体"/>
          <w:szCs w:val="28"/>
          <w:lang w:val="zh-CN" w:eastAsia="zh-CN"/>
        </w:rPr>
        <w:t>。</w:t>
      </w:r>
    </w:p>
    <w:p w14:paraId="6E6F44F1">
      <w:pPr>
        <w:ind w:firstLine="565" w:firstLineChars="202"/>
        <w:jc w:val="both"/>
        <w:rPr>
          <w:rFonts w:hint="eastAsia" w:ascii="宋体" w:hAnsi="宋体"/>
          <w:szCs w:val="28"/>
          <w:lang w:val="en-US" w:eastAsia="zh-CN"/>
        </w:rPr>
      </w:pPr>
      <w:r>
        <w:rPr>
          <w:rFonts w:hint="eastAsia" w:ascii="宋体" w:hAnsi="宋体"/>
          <w:szCs w:val="28"/>
          <w:lang w:val="en-US" w:eastAsia="zh-CN"/>
        </w:rPr>
        <w:t>2.水库</w:t>
      </w:r>
    </w:p>
    <w:p w14:paraId="00AD2368">
      <w:pPr>
        <w:ind w:firstLine="565" w:firstLineChars="202"/>
        <w:jc w:val="both"/>
        <w:rPr>
          <w:rFonts w:hint="eastAsia" w:ascii="宋体" w:hAnsi="宋体"/>
          <w:szCs w:val="28"/>
          <w:lang w:val="en-US" w:eastAsia="zh-CN"/>
        </w:rPr>
      </w:pPr>
      <w:r>
        <w:rPr>
          <w:rFonts w:hint="eastAsia" w:ascii="宋体" w:hAnsi="宋体"/>
          <w:szCs w:val="28"/>
          <w:lang w:val="en-US" w:eastAsia="zh-CN"/>
        </w:rPr>
        <w:t>嘉荫县水库多为平原型水库，皆为小型水库，主要功能用于蓄洪、灌溉和发展养鱼业，全县水库共有4座，分别为温河水库、红石电站水库、永安东河水库、永安西河水库。</w:t>
      </w:r>
    </w:p>
    <w:p w14:paraId="728FB83E">
      <w:pPr>
        <w:ind w:firstLine="565" w:firstLineChars="202"/>
        <w:jc w:val="both"/>
        <w:rPr>
          <w:rFonts w:hint="eastAsia" w:ascii="宋体" w:hAnsi="宋体"/>
          <w:szCs w:val="28"/>
          <w:lang w:val="en-US" w:eastAsia="zh-CN"/>
        </w:rPr>
      </w:pPr>
      <w:r>
        <w:rPr>
          <w:rFonts w:hint="eastAsia" w:ascii="宋体" w:hAnsi="宋体"/>
          <w:szCs w:val="28"/>
          <w:lang w:val="en-US" w:eastAsia="zh-CN"/>
        </w:rPr>
        <w:t>3.池塘</w:t>
      </w:r>
    </w:p>
    <w:p w14:paraId="6C0C0B84">
      <w:pPr>
        <w:ind w:firstLine="565" w:firstLineChars="202"/>
        <w:jc w:val="both"/>
        <w:rPr>
          <w:rFonts w:hint="eastAsia" w:ascii="宋体" w:hAnsi="宋体"/>
          <w:szCs w:val="28"/>
          <w:lang w:val="en-US" w:eastAsia="zh-CN"/>
        </w:rPr>
      </w:pPr>
      <w:r>
        <w:rPr>
          <w:rFonts w:hint="eastAsia" w:ascii="宋体" w:hAnsi="宋体"/>
          <w:szCs w:val="28"/>
          <w:lang w:val="en-US" w:eastAsia="zh-CN"/>
        </w:rPr>
        <w:t xml:space="preserve">嘉荫县现有池塘养殖主要分布在全县4镇5乡1农场行政区内，大多数是由天然泡沼经后天修整筑坝形成，具有完善的注排水设施。高产池塘平均亩产在300公斤左右，普通池塘平均亩产100公斤。 </w:t>
      </w:r>
    </w:p>
    <w:p w14:paraId="5C034936">
      <w:pPr>
        <w:ind w:firstLine="565" w:firstLineChars="202"/>
        <w:jc w:val="both"/>
        <w:rPr>
          <w:rFonts w:hint="eastAsia" w:ascii="宋体" w:hAnsi="宋体"/>
          <w:szCs w:val="28"/>
          <w:lang w:val="en-US" w:eastAsia="zh-CN"/>
        </w:rPr>
      </w:pPr>
      <w:r>
        <w:rPr>
          <w:rFonts w:hint="eastAsia" w:ascii="宋体" w:hAnsi="宋体"/>
          <w:szCs w:val="28"/>
          <w:lang w:val="en-US" w:eastAsia="zh-CN"/>
        </w:rPr>
        <w:t>4.湖泡</w:t>
      </w:r>
    </w:p>
    <w:p w14:paraId="586FB88C">
      <w:pPr>
        <w:ind w:firstLine="565" w:firstLineChars="202"/>
        <w:jc w:val="both"/>
        <w:rPr>
          <w:rFonts w:hint="eastAsia" w:ascii="宋体" w:hAnsi="宋体"/>
          <w:szCs w:val="28"/>
          <w:lang w:val="en-US" w:eastAsia="zh-CN"/>
        </w:rPr>
      </w:pPr>
      <w:r>
        <w:rPr>
          <w:rFonts w:hint="eastAsia" w:ascii="宋体" w:hAnsi="宋体"/>
          <w:szCs w:val="28"/>
          <w:lang w:val="en-US" w:eastAsia="zh-CN"/>
        </w:rPr>
        <w:t>嘉荫县湖泡主要是由于黑龙江水系的变迁、江水泛滥冲积和人为因素（取沙、取土、采金和河道改道）等因素的影响，在沿江平原一带形成许多自然湖泊、泡沼和坑塘。大多数为止水型湖泡，依赖于降雨积水和底质渗漏，水位较浅，淤泥较多，水草丰盛，水质肥沃，饵料生物丰富，但冬季水中缺氧，鱼类难以越冬。也有一些泛水型湖泡，分布于江河两岸，汛期河水灌入，秋季回落，水位极为不稳定，鱼类不能越冬，还有数量不多的流水型湖泡，与江河相通，水量充足，鱼类可越冬。但由于沼泽化和历代的围垦，致使湖泊数量锐减，其残存的面积也日趋缩小。在湖泊中养殖鱼类主要采用的是人工投放鱼苗、自然生长的生态养殖模式，亩产量一般在10公斤左右。泡沼主要分布在乌云河沿岸、结烈河、嘉荫河沿岸和乌拉嘎镇。目前嘉荫县仅有少部分泡沼被开发利用，绝大多数未利用，已利用的泡沼养殖方式多数是精养或粗养，精养主要养殖品种为鲤鱼、花鲢、白鲢、草鱼，精养亩产均量为200公斤，粗养养殖品种天然小型鱼类（老头鱼，柳根鱼、泥鳅和鲫鱼），亩产均量不足50公斤。</w:t>
      </w:r>
    </w:p>
    <w:p w14:paraId="7826649E">
      <w:pPr>
        <w:pStyle w:val="4"/>
        <w:rPr>
          <w:rFonts w:ascii="Times New Roman" w:hAnsi="Times New Roman" w:eastAsia="宋体" w:cs="Times New Roman"/>
        </w:rPr>
      </w:pPr>
      <w:bookmarkStart w:id="39" w:name="_Toc24000"/>
      <w:r>
        <w:rPr>
          <w:rFonts w:ascii="Times New Roman" w:hAnsi="Times New Roman" w:eastAsia="宋体" w:cs="Times New Roman"/>
        </w:rPr>
        <w:t>2.1.2 自然气候条件</w:t>
      </w:r>
      <w:bookmarkEnd w:id="39"/>
    </w:p>
    <w:p w14:paraId="11E458EC">
      <w:pPr>
        <w:pStyle w:val="5"/>
        <w:rPr>
          <w:rFonts w:ascii="Times New Roman" w:hAnsi="Times New Roman" w:eastAsia="宋体"/>
        </w:rPr>
      </w:pPr>
      <w:r>
        <w:rPr>
          <w:rFonts w:ascii="Times New Roman" w:hAnsi="Times New Roman" w:eastAsia="宋体"/>
        </w:rPr>
        <w:t>2.1.2.1 水文</w:t>
      </w:r>
    </w:p>
    <w:p w14:paraId="1FAC2EC1">
      <w:pPr>
        <w:ind w:firstLine="565" w:firstLineChars="202"/>
        <w:jc w:val="both"/>
        <w:rPr>
          <w:rFonts w:hint="eastAsia" w:ascii="宋体" w:hAnsi="宋体"/>
          <w:szCs w:val="28"/>
          <w:lang w:val="en-US" w:eastAsia="zh-CN"/>
        </w:rPr>
      </w:pPr>
      <w:r>
        <w:rPr>
          <w:rFonts w:hint="eastAsia" w:ascii="宋体" w:hAnsi="宋体"/>
          <w:szCs w:val="28"/>
          <w:lang w:val="en-US" w:eastAsia="zh-CN"/>
        </w:rPr>
        <w:t xml:space="preserve">嘉荫县境内有大小河流74条，均属黑龙江水系。其中，除黑龙江为中俄界河外，其余皆为内河。各内河分别汇入乌云河、结烈河、乌拉嘎河、嘉荫河形成的四个河流水系，最后注入黑龙江。黑龙江嘉荫段宽度在800—1500米左右，水深自近岸至中心航道一般在1.5—15米之间。流速在每秒0.5—2.5米。江水清澈见底，河底为卵石、石砾，自四月份开始，水温逐渐上升，五月份水温上升得很快，七月份至八月上旬是平均温度最高的月份，一般达20—27.3℃，黑龙江支流常年月平均水温低于干流，全年月平均水温不超过20℃。 </w:t>
      </w:r>
    </w:p>
    <w:p w14:paraId="56F9448F">
      <w:pPr>
        <w:ind w:firstLine="565" w:firstLineChars="202"/>
        <w:jc w:val="both"/>
        <w:rPr>
          <w:rFonts w:hint="eastAsia" w:ascii="宋体" w:hAnsi="宋体"/>
          <w:color w:val="auto"/>
          <w:szCs w:val="28"/>
          <w:lang w:val="en-US" w:eastAsia="zh-CN"/>
        </w:rPr>
      </w:pPr>
      <w:r>
        <w:rPr>
          <w:rFonts w:hint="eastAsia" w:ascii="宋体" w:hAnsi="宋体"/>
          <w:color w:val="auto"/>
          <w:szCs w:val="28"/>
          <w:lang w:val="en-US" w:eastAsia="zh-CN"/>
        </w:rPr>
        <w:t>乌云河：河床宽24—160米，水深0.4—8.0米，底质为砾石，年最高水温24.1℃。水面宽度正常年份在25—40米之间。</w:t>
      </w:r>
    </w:p>
    <w:p w14:paraId="362B33C4">
      <w:pPr>
        <w:ind w:firstLine="565" w:firstLineChars="202"/>
        <w:jc w:val="both"/>
        <w:rPr>
          <w:rFonts w:hint="eastAsia" w:ascii="宋体" w:hAnsi="宋体"/>
          <w:color w:val="auto"/>
          <w:szCs w:val="28"/>
          <w:lang w:val="en-US" w:eastAsia="zh-CN"/>
        </w:rPr>
      </w:pPr>
      <w:r>
        <w:rPr>
          <w:rFonts w:hint="eastAsia" w:ascii="宋体" w:hAnsi="宋体"/>
          <w:color w:val="auto"/>
          <w:szCs w:val="28"/>
          <w:lang w:val="en-US" w:eastAsia="zh-CN"/>
        </w:rPr>
        <w:t>结烈河：为山溪性河流，河宽9—28米，水深0.4—1.7米，底质为砾石，年最高水温17℃。</w:t>
      </w:r>
    </w:p>
    <w:p w14:paraId="3F914F34">
      <w:pPr>
        <w:ind w:left="560" w:leftChars="200" w:firstLine="0" w:firstLineChars="0"/>
        <w:jc w:val="both"/>
        <w:rPr>
          <w:rFonts w:hint="eastAsia" w:ascii="宋体" w:hAnsi="宋体"/>
          <w:color w:val="auto"/>
          <w:szCs w:val="28"/>
          <w:lang w:val="en-US" w:eastAsia="zh-CN"/>
        </w:rPr>
      </w:pPr>
      <w:r>
        <w:rPr>
          <w:rFonts w:hint="eastAsia" w:ascii="宋体" w:hAnsi="宋体"/>
          <w:color w:val="auto"/>
          <w:szCs w:val="28"/>
          <w:lang w:val="en-US" w:eastAsia="zh-CN"/>
        </w:rPr>
        <w:t>乌拉嘎河：河宽20—70米，水深0.4—1.5米，年平均水温20℃。</w:t>
      </w:r>
    </w:p>
    <w:p w14:paraId="4E89E8F3">
      <w:pPr>
        <w:ind w:firstLine="560" w:firstLineChars="200"/>
        <w:jc w:val="both"/>
        <w:rPr>
          <w:rFonts w:hint="eastAsia" w:ascii="宋体" w:hAnsi="宋体"/>
          <w:color w:val="auto"/>
          <w:szCs w:val="28"/>
          <w:lang w:val="en-US" w:eastAsia="zh-CN"/>
        </w:rPr>
      </w:pPr>
      <w:r>
        <w:rPr>
          <w:rFonts w:hint="eastAsia" w:ascii="宋体" w:hAnsi="宋体"/>
          <w:color w:val="auto"/>
          <w:szCs w:val="28"/>
          <w:lang w:val="en-US" w:eastAsia="zh-CN"/>
        </w:rPr>
        <w:t>嘉荫河：河床宽25—93米，河道平水期河道宽18米，河深为0.4—1.7米，属常年河流，年平均水温22℃。</w:t>
      </w:r>
    </w:p>
    <w:p w14:paraId="6F4C5F68">
      <w:pPr>
        <w:pStyle w:val="5"/>
        <w:rPr>
          <w:rFonts w:ascii="Times New Roman" w:hAnsi="Times New Roman" w:eastAsia="宋体"/>
        </w:rPr>
      </w:pPr>
      <w:r>
        <w:rPr>
          <w:rFonts w:ascii="Times New Roman" w:hAnsi="Times New Roman" w:eastAsia="宋体"/>
        </w:rPr>
        <w:t>2.1.2.2 水质</w:t>
      </w:r>
    </w:p>
    <w:p w14:paraId="2DF46ECD">
      <w:pPr>
        <w:ind w:firstLine="565" w:firstLineChars="202"/>
        <w:jc w:val="both"/>
        <w:rPr>
          <w:rFonts w:hint="eastAsia" w:ascii="宋体" w:hAnsi="宋体"/>
          <w:szCs w:val="28"/>
          <w:lang w:val="en-US" w:eastAsia="zh-CN"/>
        </w:rPr>
      </w:pPr>
      <w:r>
        <w:rPr>
          <w:rFonts w:hint="eastAsia" w:ascii="宋体" w:hAnsi="宋体"/>
          <w:szCs w:val="28"/>
          <w:lang w:val="en-US" w:eastAsia="zh-CN"/>
        </w:rPr>
        <w:t>嘉荫县的水源主要是由大气降水和地下泉水组成。天然水中含有碳、氢、氧、氮、钙、钾、钠、铁、锰、氯、磷、硅等元素的化合物，因其含量不同，各个水域在化学性质上都有它不同的特性，这一系列化学元素的组成的物质可分为溶解气体、主要离子、生物营养元素、微量元素和有机物五类。</w:t>
      </w:r>
    </w:p>
    <w:p w14:paraId="14024425">
      <w:pPr>
        <w:ind w:firstLine="565" w:firstLineChars="202"/>
        <w:jc w:val="both"/>
        <w:rPr>
          <w:rFonts w:hint="eastAsia" w:ascii="宋体" w:hAnsi="宋体"/>
          <w:szCs w:val="28"/>
          <w:lang w:val="en-US" w:eastAsia="zh-CN"/>
        </w:rPr>
      </w:pPr>
      <w:r>
        <w:rPr>
          <w:rFonts w:hint="eastAsia" w:ascii="宋体" w:hAnsi="宋体"/>
          <w:szCs w:val="28"/>
          <w:lang w:val="en-US" w:eastAsia="zh-CN"/>
        </w:rPr>
        <w:t>降水中化学成分的组成，一般说来大气降水是溶解物质含量最小的天然水体，溶解和悬浮于雨水中的物质总量通常不超过50mg/L，但其数量变化范围很大，雨水中杂质含量的多少决定于接触空气的洁净程度，雨雪中的主要离子有：Ca</w:t>
      </w:r>
      <w:r>
        <w:rPr>
          <w:rFonts w:hint="eastAsia" w:ascii="宋体" w:hAnsi="宋体"/>
          <w:sz w:val="28"/>
          <w:szCs w:val="28"/>
          <w:vertAlign w:val="superscript"/>
          <w:lang w:val="en-US" w:eastAsia="zh-CN"/>
        </w:rPr>
        <w:t>2</w:t>
      </w:r>
      <w:r>
        <w:rPr>
          <w:rFonts w:hint="eastAsia" w:ascii="宋体" w:hAnsi="宋体"/>
          <w:szCs w:val="28"/>
          <w:vertAlign w:val="superscript"/>
          <w:lang w:val="en-US" w:eastAsia="zh-CN"/>
        </w:rPr>
        <w:t>+</w:t>
      </w:r>
      <w:r>
        <w:rPr>
          <w:rFonts w:hint="eastAsia" w:ascii="宋体" w:hAnsi="宋体"/>
          <w:szCs w:val="28"/>
          <w:lang w:val="en-US" w:eastAsia="zh-CN"/>
        </w:rPr>
        <w:t>、Mg</w:t>
      </w:r>
      <w:r>
        <w:rPr>
          <w:rFonts w:hint="eastAsia" w:ascii="宋体" w:hAnsi="宋体"/>
          <w:szCs w:val="28"/>
          <w:vertAlign w:val="superscript"/>
          <w:lang w:val="en-US" w:eastAsia="zh-CN"/>
        </w:rPr>
        <w:t>2+</w:t>
      </w:r>
      <w:r>
        <w:rPr>
          <w:rFonts w:hint="eastAsia" w:ascii="宋体" w:hAnsi="宋体"/>
          <w:szCs w:val="28"/>
          <w:lang w:val="en-US" w:eastAsia="zh-CN"/>
        </w:rPr>
        <w:t>、Na</w:t>
      </w:r>
      <w:r>
        <w:rPr>
          <w:rFonts w:hint="eastAsia" w:ascii="宋体" w:hAnsi="宋体"/>
          <w:szCs w:val="28"/>
          <w:vertAlign w:val="superscript"/>
          <w:lang w:val="en-US" w:eastAsia="zh-CN"/>
        </w:rPr>
        <w:t>+</w:t>
      </w:r>
      <w:r>
        <w:rPr>
          <w:rFonts w:hint="eastAsia" w:ascii="宋体" w:hAnsi="宋体"/>
          <w:szCs w:val="28"/>
          <w:lang w:val="en-US" w:eastAsia="zh-CN"/>
        </w:rPr>
        <w:t>、NH</w:t>
      </w:r>
      <w:r>
        <w:rPr>
          <w:rFonts w:hint="eastAsia" w:ascii="宋体" w:hAnsi="宋体"/>
          <w:sz w:val="28"/>
          <w:szCs w:val="28"/>
          <w:vertAlign w:val="subscript"/>
          <w:lang w:val="en-US" w:eastAsia="zh-CN"/>
        </w:rPr>
        <w:t>4</w:t>
      </w:r>
      <w:r>
        <w:rPr>
          <w:rFonts w:hint="eastAsia" w:ascii="宋体" w:hAnsi="宋体"/>
          <w:szCs w:val="28"/>
          <w:vertAlign w:val="superscript"/>
          <w:lang w:val="en-US" w:eastAsia="zh-CN"/>
        </w:rPr>
        <w:t>+</w:t>
      </w:r>
      <w:r>
        <w:rPr>
          <w:rFonts w:hint="eastAsia" w:ascii="宋体" w:hAnsi="宋体"/>
          <w:szCs w:val="28"/>
          <w:lang w:val="en-US" w:eastAsia="zh-CN"/>
        </w:rPr>
        <w:t>、HCO</w:t>
      </w:r>
      <w:r>
        <w:rPr>
          <w:rFonts w:hint="eastAsia" w:ascii="宋体" w:hAnsi="宋体"/>
          <w:sz w:val="28"/>
          <w:szCs w:val="28"/>
          <w:vertAlign w:val="subscript"/>
          <w:lang w:val="en-US" w:eastAsia="zh-CN"/>
        </w:rPr>
        <w:t>3</w:t>
      </w:r>
      <w:r>
        <w:rPr>
          <w:rFonts w:hint="eastAsia" w:ascii="宋体" w:hAnsi="宋体"/>
          <w:szCs w:val="28"/>
          <w:vertAlign w:val="superscript"/>
          <w:lang w:val="en-US" w:eastAsia="zh-CN"/>
        </w:rPr>
        <w:t>-</w:t>
      </w:r>
      <w:r>
        <w:rPr>
          <w:rFonts w:hint="eastAsia" w:ascii="宋体" w:hAnsi="宋体"/>
          <w:szCs w:val="28"/>
          <w:lang w:val="en-US" w:eastAsia="zh-CN"/>
        </w:rPr>
        <w:t>、Cl</w:t>
      </w:r>
      <w:r>
        <w:rPr>
          <w:rFonts w:hint="eastAsia" w:ascii="宋体" w:hAnsi="宋体"/>
          <w:szCs w:val="28"/>
          <w:vertAlign w:val="superscript"/>
          <w:lang w:val="en-US" w:eastAsia="zh-CN"/>
        </w:rPr>
        <w:t>-</w:t>
      </w:r>
      <w:r>
        <w:rPr>
          <w:rFonts w:hint="eastAsia" w:ascii="宋体" w:hAnsi="宋体"/>
          <w:szCs w:val="28"/>
          <w:lang w:val="en-US" w:eastAsia="zh-CN"/>
        </w:rPr>
        <w:t>、SO</w:t>
      </w:r>
      <w:r>
        <w:rPr>
          <w:rFonts w:hint="eastAsia" w:ascii="宋体" w:hAnsi="宋体"/>
          <w:sz w:val="28"/>
          <w:szCs w:val="28"/>
          <w:vertAlign w:val="subscript"/>
          <w:lang w:val="en-US" w:eastAsia="zh-CN"/>
        </w:rPr>
        <w:t>4</w:t>
      </w:r>
      <w:r>
        <w:rPr>
          <w:rFonts w:hint="eastAsia" w:ascii="宋体" w:hAnsi="宋体"/>
          <w:sz w:val="28"/>
          <w:szCs w:val="28"/>
          <w:vertAlign w:val="superscript"/>
          <w:lang w:val="en-US" w:eastAsia="zh-CN"/>
        </w:rPr>
        <w:t>2</w:t>
      </w:r>
      <w:r>
        <w:rPr>
          <w:rFonts w:hint="eastAsia" w:ascii="宋体" w:hAnsi="宋体"/>
          <w:szCs w:val="28"/>
          <w:vertAlign w:val="superscript"/>
          <w:lang w:val="en-US" w:eastAsia="zh-CN"/>
        </w:rPr>
        <w:t>-</w:t>
      </w:r>
      <w:r>
        <w:rPr>
          <w:rFonts w:hint="eastAsia" w:ascii="宋体" w:hAnsi="宋体"/>
          <w:szCs w:val="28"/>
          <w:lang w:val="en-US" w:eastAsia="zh-CN"/>
        </w:rPr>
        <w:t>、NO</w:t>
      </w:r>
      <w:r>
        <w:rPr>
          <w:rFonts w:hint="eastAsia" w:ascii="宋体" w:hAnsi="宋体"/>
          <w:sz w:val="28"/>
          <w:szCs w:val="28"/>
          <w:vertAlign w:val="subscript"/>
          <w:lang w:val="en-US" w:eastAsia="zh-CN"/>
        </w:rPr>
        <w:t>3</w:t>
      </w:r>
      <w:r>
        <w:rPr>
          <w:rFonts w:hint="eastAsia" w:ascii="宋体" w:hAnsi="宋体"/>
          <w:szCs w:val="28"/>
          <w:vertAlign w:val="superscript"/>
          <w:lang w:val="en-US" w:eastAsia="zh-CN"/>
        </w:rPr>
        <w:t>-</w:t>
      </w:r>
      <w:r>
        <w:rPr>
          <w:rFonts w:hint="eastAsia" w:ascii="宋体" w:hAnsi="宋体"/>
          <w:szCs w:val="28"/>
          <w:lang w:val="en-US" w:eastAsia="zh-CN"/>
        </w:rPr>
        <w:t>。</w:t>
      </w:r>
    </w:p>
    <w:p w14:paraId="4EE466E0">
      <w:pPr>
        <w:ind w:firstLine="565" w:firstLineChars="202"/>
        <w:jc w:val="both"/>
        <w:rPr>
          <w:rFonts w:hint="eastAsia" w:ascii="宋体" w:hAnsi="宋体"/>
          <w:szCs w:val="28"/>
          <w:lang w:val="en-US" w:eastAsia="zh-CN"/>
        </w:rPr>
      </w:pPr>
      <w:r>
        <w:rPr>
          <w:rFonts w:hint="eastAsia" w:ascii="宋体" w:hAnsi="宋体"/>
          <w:szCs w:val="28"/>
          <w:lang w:val="en-US" w:eastAsia="zh-CN"/>
        </w:rPr>
        <w:t>降落在地面上降水和来自地下的水流，汇集形成河水，河水汇集流入黑龙江，与其他的天然水体比较，其河水的矿化度较低。河水的化学成分在水文气象影响下易产生变化，河水中含有大量有机物质，溶解有除大气中少数气体之外的其他气体，这些特点的形成，主要是因为：一是河水经常与岩石、砂砾接触洗刷，水在河流中不断更替，作用时间短，蒸发量不大，因此使河水的矿化度较低、溶解的气体种类很多；二是由于生命过程微弱、气温较低、有机物不易分解、相应的有机物含量增加；三是河流的水文动态也经常改变着水的化学成分。</w:t>
      </w:r>
    </w:p>
    <w:p w14:paraId="7B203238">
      <w:pPr>
        <w:ind w:firstLine="565" w:firstLineChars="202"/>
        <w:jc w:val="both"/>
        <w:rPr>
          <w:rFonts w:hint="eastAsia" w:ascii="宋体" w:hAnsi="宋体"/>
          <w:szCs w:val="28"/>
          <w:lang w:val="en-US" w:eastAsia="zh-CN"/>
        </w:rPr>
      </w:pPr>
      <w:r>
        <w:rPr>
          <w:rFonts w:hint="eastAsia" w:ascii="宋体" w:hAnsi="宋体"/>
          <w:szCs w:val="28"/>
          <w:lang w:val="en-US" w:eastAsia="zh-CN"/>
        </w:rPr>
        <w:t>黑龙江的江水中主要离子有：Ca</w:t>
      </w:r>
      <w:r>
        <w:rPr>
          <w:rFonts w:hint="eastAsia" w:ascii="宋体" w:hAnsi="宋体"/>
          <w:sz w:val="28"/>
          <w:szCs w:val="28"/>
          <w:vertAlign w:val="superscript"/>
          <w:lang w:val="en-US" w:eastAsia="zh-CN"/>
        </w:rPr>
        <w:t>2</w:t>
      </w:r>
      <w:r>
        <w:rPr>
          <w:rFonts w:hint="eastAsia" w:ascii="宋体" w:hAnsi="宋体"/>
          <w:szCs w:val="28"/>
          <w:vertAlign w:val="superscript"/>
          <w:lang w:val="en-US" w:eastAsia="zh-CN"/>
        </w:rPr>
        <w:t>+</w:t>
      </w:r>
      <w:r>
        <w:rPr>
          <w:rFonts w:hint="eastAsia" w:ascii="宋体" w:hAnsi="宋体"/>
          <w:szCs w:val="28"/>
          <w:lang w:val="en-US" w:eastAsia="zh-CN"/>
        </w:rPr>
        <w:t>、Mg</w:t>
      </w:r>
      <w:r>
        <w:rPr>
          <w:rFonts w:hint="eastAsia" w:ascii="宋体" w:hAnsi="宋体"/>
          <w:szCs w:val="28"/>
          <w:vertAlign w:val="superscript"/>
          <w:lang w:val="en-US" w:eastAsia="zh-CN"/>
        </w:rPr>
        <w:t>2+</w:t>
      </w:r>
      <w:r>
        <w:rPr>
          <w:rFonts w:hint="eastAsia" w:ascii="宋体" w:hAnsi="宋体"/>
          <w:szCs w:val="28"/>
          <w:lang w:val="en-US" w:eastAsia="zh-CN"/>
        </w:rPr>
        <w:t>、Na</w:t>
      </w:r>
      <w:r>
        <w:rPr>
          <w:rFonts w:hint="eastAsia" w:ascii="宋体" w:hAnsi="宋体"/>
          <w:szCs w:val="28"/>
          <w:vertAlign w:val="superscript"/>
          <w:lang w:val="en-US" w:eastAsia="zh-CN"/>
        </w:rPr>
        <w:t>+</w:t>
      </w:r>
      <w:r>
        <w:rPr>
          <w:rFonts w:hint="eastAsia" w:ascii="宋体" w:hAnsi="宋体"/>
          <w:szCs w:val="28"/>
          <w:lang w:val="en-US" w:eastAsia="zh-CN"/>
        </w:rPr>
        <w:t>、NH</w:t>
      </w:r>
      <w:r>
        <w:rPr>
          <w:rFonts w:hint="eastAsia" w:ascii="宋体" w:hAnsi="宋体"/>
          <w:sz w:val="28"/>
          <w:szCs w:val="28"/>
          <w:vertAlign w:val="subscript"/>
          <w:lang w:val="en-US" w:eastAsia="zh-CN"/>
        </w:rPr>
        <w:t>4</w:t>
      </w:r>
      <w:r>
        <w:rPr>
          <w:rFonts w:hint="eastAsia" w:ascii="宋体" w:hAnsi="宋体"/>
          <w:szCs w:val="28"/>
          <w:vertAlign w:val="superscript"/>
          <w:lang w:val="en-US" w:eastAsia="zh-CN"/>
        </w:rPr>
        <w:t>+</w:t>
      </w:r>
      <w:r>
        <w:rPr>
          <w:rFonts w:hint="eastAsia" w:ascii="宋体" w:hAnsi="宋体"/>
          <w:szCs w:val="28"/>
          <w:lang w:val="en-US" w:eastAsia="zh-CN"/>
        </w:rPr>
        <w:t>、HCO</w:t>
      </w:r>
      <w:r>
        <w:rPr>
          <w:rFonts w:hint="eastAsia" w:ascii="宋体" w:hAnsi="宋体"/>
          <w:sz w:val="28"/>
          <w:szCs w:val="28"/>
          <w:vertAlign w:val="subscript"/>
          <w:lang w:val="en-US" w:eastAsia="zh-CN"/>
        </w:rPr>
        <w:t>3</w:t>
      </w:r>
      <w:r>
        <w:rPr>
          <w:rFonts w:hint="eastAsia" w:ascii="宋体" w:hAnsi="宋体"/>
          <w:szCs w:val="28"/>
          <w:vertAlign w:val="superscript"/>
          <w:lang w:val="en-US" w:eastAsia="zh-CN"/>
        </w:rPr>
        <w:t>-</w:t>
      </w:r>
      <w:r>
        <w:rPr>
          <w:rFonts w:hint="eastAsia" w:ascii="宋体" w:hAnsi="宋体"/>
          <w:szCs w:val="28"/>
          <w:lang w:val="en-US" w:eastAsia="zh-CN"/>
        </w:rPr>
        <w:t>、Cl</w:t>
      </w:r>
      <w:r>
        <w:rPr>
          <w:rFonts w:hint="eastAsia" w:ascii="宋体" w:hAnsi="宋体"/>
          <w:szCs w:val="28"/>
          <w:vertAlign w:val="superscript"/>
          <w:lang w:val="en-US" w:eastAsia="zh-CN"/>
        </w:rPr>
        <w:t>-</w:t>
      </w:r>
      <w:r>
        <w:rPr>
          <w:rFonts w:hint="eastAsia" w:ascii="宋体" w:hAnsi="宋体"/>
          <w:szCs w:val="28"/>
          <w:lang w:val="en-US" w:eastAsia="zh-CN"/>
        </w:rPr>
        <w:t>、SO</w:t>
      </w:r>
      <w:r>
        <w:rPr>
          <w:rFonts w:hint="eastAsia" w:ascii="宋体" w:hAnsi="宋体"/>
          <w:sz w:val="28"/>
          <w:szCs w:val="28"/>
          <w:vertAlign w:val="subscript"/>
          <w:lang w:val="en-US" w:eastAsia="zh-CN"/>
        </w:rPr>
        <w:t>4</w:t>
      </w:r>
      <w:r>
        <w:rPr>
          <w:rFonts w:hint="eastAsia" w:ascii="宋体" w:hAnsi="宋体"/>
          <w:sz w:val="28"/>
          <w:szCs w:val="28"/>
          <w:vertAlign w:val="superscript"/>
          <w:lang w:val="en-US" w:eastAsia="zh-CN"/>
        </w:rPr>
        <w:t>2</w:t>
      </w:r>
      <w:r>
        <w:rPr>
          <w:rFonts w:hint="eastAsia" w:ascii="宋体" w:hAnsi="宋体"/>
          <w:szCs w:val="28"/>
          <w:vertAlign w:val="superscript"/>
          <w:lang w:val="en-US" w:eastAsia="zh-CN"/>
        </w:rPr>
        <w:t>-</w:t>
      </w:r>
      <w:r>
        <w:rPr>
          <w:rFonts w:hint="eastAsia" w:ascii="宋体" w:hAnsi="宋体"/>
          <w:szCs w:val="28"/>
          <w:lang w:val="en-US" w:eastAsia="zh-CN"/>
        </w:rPr>
        <w:t>、NO</w:t>
      </w:r>
      <w:r>
        <w:rPr>
          <w:rFonts w:hint="eastAsia" w:ascii="宋体" w:hAnsi="宋体"/>
          <w:sz w:val="28"/>
          <w:szCs w:val="28"/>
          <w:vertAlign w:val="subscript"/>
          <w:lang w:val="en-US" w:eastAsia="zh-CN"/>
        </w:rPr>
        <w:t>3</w:t>
      </w:r>
      <w:r>
        <w:rPr>
          <w:rFonts w:hint="eastAsia" w:ascii="宋体" w:hAnsi="宋体"/>
          <w:szCs w:val="28"/>
          <w:vertAlign w:val="superscript"/>
          <w:lang w:val="en-US" w:eastAsia="zh-CN"/>
        </w:rPr>
        <w:t>-</w:t>
      </w:r>
      <w:r>
        <w:rPr>
          <w:rFonts w:hint="eastAsia" w:ascii="宋体" w:hAnsi="宋体"/>
          <w:szCs w:val="28"/>
          <w:lang w:val="en-US" w:eastAsia="zh-CN"/>
        </w:rPr>
        <w:t>。它们的含量随着季节、水源、水情的变化也不尽相同。</w:t>
      </w:r>
    </w:p>
    <w:p w14:paraId="0DC80BE7">
      <w:pPr>
        <w:pStyle w:val="5"/>
        <w:rPr>
          <w:rFonts w:hint="eastAsia" w:ascii="Times New Roman" w:hAnsi="Times New Roman" w:eastAsia="宋体"/>
        </w:rPr>
      </w:pPr>
      <w:r>
        <w:rPr>
          <w:rFonts w:hint="eastAsia" w:ascii="Times New Roman" w:hAnsi="Times New Roman" w:eastAsia="宋体"/>
        </w:rPr>
        <w:t>2.1.2.3 气候</w:t>
      </w:r>
    </w:p>
    <w:p w14:paraId="3544960C">
      <w:pPr>
        <w:ind w:firstLine="565" w:firstLineChars="202"/>
        <w:jc w:val="both"/>
        <w:rPr>
          <w:rFonts w:hint="default" w:ascii="宋体" w:hAnsi="宋体"/>
          <w:szCs w:val="28"/>
          <w:lang w:val="en-US" w:eastAsia="zh-CN"/>
        </w:rPr>
      </w:pPr>
      <w:r>
        <w:rPr>
          <w:rFonts w:hint="default" w:ascii="宋体" w:hAnsi="宋体"/>
          <w:szCs w:val="28"/>
          <w:lang w:val="en-US" w:eastAsia="zh-CN"/>
        </w:rPr>
        <w:t>嘉荫县属温带大陆性季风气候，一年四季明显，冬季漫长、干燥、严寒；夏季温和多雨；早春低温多雨雪易涝，暮春少雨易干旱；秋季降温迅速，常有冻害发生。年平均气温</w:t>
      </w:r>
      <w:r>
        <w:rPr>
          <w:rFonts w:hint="eastAsia" w:ascii="宋体" w:hAnsi="宋体"/>
          <w:szCs w:val="28"/>
          <w:lang w:val="en-US" w:eastAsia="zh-CN"/>
        </w:rPr>
        <w:t>零下</w:t>
      </w:r>
      <w:r>
        <w:rPr>
          <w:rFonts w:hint="default" w:ascii="宋体" w:hAnsi="宋体"/>
          <w:szCs w:val="28"/>
          <w:lang w:val="en-US" w:eastAsia="zh-CN"/>
        </w:rPr>
        <w:t>0</w:t>
      </w:r>
      <w:r>
        <w:rPr>
          <w:rFonts w:hint="eastAsia" w:ascii="宋体" w:hAnsi="宋体"/>
          <w:szCs w:val="28"/>
          <w:lang w:val="en-US" w:eastAsia="zh-CN"/>
        </w:rPr>
        <w:t>.</w:t>
      </w:r>
      <w:r>
        <w:rPr>
          <w:rFonts w:hint="default" w:ascii="宋体" w:hAnsi="宋体"/>
          <w:szCs w:val="28"/>
          <w:lang w:val="en-US" w:eastAsia="zh-CN"/>
        </w:rPr>
        <w:t>9℃，1月份最冷，平均气温为零下28.5℃，极端最低气温为零下47.7℃。7月份最热，平均气温为20.9℃，最高气温达38.7℃。年平均降雨量500</w:t>
      </w:r>
      <w:r>
        <w:rPr>
          <w:rFonts w:hint="eastAsia" w:ascii="宋体" w:hAnsi="宋体"/>
          <w:szCs w:val="28"/>
          <w:lang w:val="en-US" w:eastAsia="zh-CN"/>
        </w:rPr>
        <w:t>—</w:t>
      </w:r>
      <w:r>
        <w:rPr>
          <w:rFonts w:hint="default" w:ascii="宋体" w:hAnsi="宋体"/>
          <w:szCs w:val="28"/>
          <w:lang w:val="en-US" w:eastAsia="zh-CN"/>
        </w:rPr>
        <w:t>600</w:t>
      </w:r>
      <w:r>
        <w:rPr>
          <w:rFonts w:hint="eastAsia" w:ascii="宋体" w:hAnsi="宋体"/>
          <w:szCs w:val="28"/>
          <w:lang w:val="en-US" w:eastAsia="zh-CN"/>
        </w:rPr>
        <w:t>mm</w:t>
      </w:r>
      <w:r>
        <w:rPr>
          <w:rFonts w:hint="default" w:ascii="宋体" w:hAnsi="宋体"/>
          <w:szCs w:val="28"/>
          <w:lang w:val="en-US" w:eastAsia="zh-CN"/>
        </w:rPr>
        <w:t>，全年降水量主要集中在6</w:t>
      </w:r>
      <w:r>
        <w:rPr>
          <w:rFonts w:hint="eastAsia" w:ascii="宋体" w:hAnsi="宋体"/>
          <w:szCs w:val="28"/>
          <w:lang w:val="en-US" w:eastAsia="zh-CN"/>
        </w:rPr>
        <w:t>—</w:t>
      </w:r>
      <w:r>
        <w:rPr>
          <w:rFonts w:hint="default" w:ascii="宋体" w:hAnsi="宋体"/>
          <w:szCs w:val="28"/>
          <w:lang w:val="en-US" w:eastAsia="zh-CN"/>
        </w:rPr>
        <w:t>8月份达447.5mm，占全年降水量的75％以上。＞10℃平均积温2413.82℃，全年平均日照时数2459.9小时，无霜期128.4天，年平均风速3.1m/s，最大风速在17—22m/s，年均地温0.8℃。养殖鱼类生长期短，全县冰封期从10月下旬到4月上旬止，长达6个多月，冰层厚度可达1.5米左右，积雪厚度最大可达1米多厚，给鱼类越冬带来很大的困难。</w:t>
      </w:r>
    </w:p>
    <w:p w14:paraId="1B8FAE33">
      <w:pPr>
        <w:pStyle w:val="4"/>
        <w:rPr>
          <w:rFonts w:hint="eastAsia" w:ascii="Times New Roman" w:hAnsi="Times New Roman" w:eastAsia="宋体" w:cs="Times New Roman"/>
        </w:rPr>
      </w:pPr>
      <w:bookmarkStart w:id="40" w:name="_Toc4500"/>
      <w:r>
        <w:rPr>
          <w:rFonts w:ascii="Times New Roman" w:hAnsi="Times New Roman" w:eastAsia="宋体" w:cs="Times New Roman"/>
        </w:rPr>
        <w:t>2.1.3</w:t>
      </w:r>
      <w:r>
        <w:rPr>
          <w:rFonts w:hint="eastAsia" w:ascii="Times New Roman" w:hAnsi="Times New Roman" w:eastAsia="宋体" w:cs="Times New Roman"/>
        </w:rPr>
        <w:t xml:space="preserve"> 水生生物资源状况</w:t>
      </w:r>
      <w:bookmarkEnd w:id="40"/>
    </w:p>
    <w:p w14:paraId="06C200B1">
      <w:pPr>
        <w:ind w:firstLine="565" w:firstLineChars="202"/>
        <w:jc w:val="both"/>
        <w:rPr>
          <w:rFonts w:hint="eastAsia" w:ascii="宋体" w:hAnsi="宋体"/>
          <w:szCs w:val="28"/>
          <w:lang w:val="en-US" w:eastAsia="zh-CN"/>
        </w:rPr>
      </w:pPr>
      <w:r>
        <w:rPr>
          <w:rFonts w:hint="eastAsia" w:ascii="宋体" w:hAnsi="宋体"/>
          <w:szCs w:val="28"/>
          <w:lang w:val="en-US" w:eastAsia="zh-CN"/>
        </w:rPr>
        <w:t>嘉荫县自然水域中主要生物组成有四类，分别为水生植物、浮游生物、底栖生物、鱼类资源。</w:t>
      </w:r>
    </w:p>
    <w:p w14:paraId="7458A7EC">
      <w:pPr>
        <w:pStyle w:val="5"/>
        <w:rPr>
          <w:rFonts w:hint="eastAsia" w:ascii="Times New Roman" w:hAnsi="Times New Roman" w:eastAsia="宋体"/>
          <w:lang w:val="en-US" w:eastAsia="zh-CN"/>
        </w:rPr>
      </w:pPr>
      <w:r>
        <w:rPr>
          <w:rFonts w:hint="eastAsia" w:ascii="Times New Roman" w:hAnsi="Times New Roman" w:eastAsia="宋体"/>
        </w:rPr>
        <w:t xml:space="preserve">2.1.3.1 </w:t>
      </w:r>
      <w:r>
        <w:rPr>
          <w:rFonts w:hint="eastAsia" w:ascii="Times New Roman" w:hAnsi="Times New Roman" w:eastAsia="宋体"/>
          <w:lang w:val="en-US" w:eastAsia="zh-CN"/>
        </w:rPr>
        <w:t>浮游植物</w:t>
      </w:r>
    </w:p>
    <w:p w14:paraId="724CDB49">
      <w:pPr>
        <w:ind w:firstLine="565" w:firstLineChars="202"/>
        <w:jc w:val="both"/>
        <w:rPr>
          <w:rFonts w:hint="default" w:ascii="宋体" w:hAnsi="宋体"/>
          <w:szCs w:val="28"/>
          <w:lang w:val="en-US" w:eastAsia="zh-CN"/>
        </w:rPr>
      </w:pPr>
      <w:r>
        <w:rPr>
          <w:rFonts w:hint="default" w:ascii="宋体" w:hAnsi="宋体"/>
          <w:szCs w:val="28"/>
          <w:lang w:val="en-US" w:eastAsia="zh-CN"/>
        </w:rPr>
        <w:t>由浮游植物和浮游动物两种类组成，浮游生物量随季节的变化出现明显的优势种类及生物量的演替。</w:t>
      </w:r>
    </w:p>
    <w:p w14:paraId="0048E91F">
      <w:pPr>
        <w:ind w:firstLine="565" w:firstLineChars="202"/>
        <w:jc w:val="both"/>
        <w:rPr>
          <w:rFonts w:hint="default" w:ascii="宋体" w:hAnsi="宋体"/>
          <w:szCs w:val="28"/>
          <w:lang w:val="en-US" w:eastAsia="zh-CN"/>
        </w:rPr>
      </w:pPr>
      <w:r>
        <w:rPr>
          <w:rFonts w:hint="default" w:ascii="宋体" w:hAnsi="宋体"/>
          <w:szCs w:val="28"/>
          <w:lang w:val="en-US" w:eastAsia="zh-CN"/>
        </w:rPr>
        <w:t>浮游植物：嘉荫县水域共有浮游植物8门57种属，分别为硅藻门、蓝藻门、绿藻门、甲藻门、隐藻门、裸藻门、金藻门、黄藻门，浮游植物57种属，其中绿藻21种属，占36.8%；硅藻16种属，占28.1%；蓝藻11种属，占19.3%，</w:t>
      </w:r>
      <w:r>
        <w:rPr>
          <w:rFonts w:hint="eastAsia" w:ascii="宋体" w:hAnsi="宋体"/>
          <w:szCs w:val="28"/>
          <w:lang w:val="en-US" w:eastAsia="zh-CN"/>
        </w:rPr>
        <w:t>其他</w:t>
      </w:r>
      <w:r>
        <w:rPr>
          <w:rFonts w:hint="default" w:ascii="宋体" w:hAnsi="宋体"/>
          <w:szCs w:val="28"/>
          <w:lang w:val="en-US" w:eastAsia="zh-CN"/>
        </w:rPr>
        <w:t>藻类占15.9%。可供鱼类生存浮游植物主要有直链藻、小环藻、兰隐藻、钟罩藻、鞘藻、针杆藻、舟型藻、羽纹藻、微囊藻、鱼腥藻、束丝藻、裸藻、光甲藻、棕鞭藻、壳虫藻、衣藻、小球藻、栅列藻等37种 是水域生态系统的初级生产者。夏季以绿藻和硅藻为主，春秋冬季以硅藻、甲藻、裸藻和金藻为主，泡沼和水库中上述种类为最多，而且四季变化明显。从浮游生物的数量来看，泡沼中的浮游植物数量一般均高于黑龙江干流，与小型水库的浮游植物相接近，浮游植物生物量组成为3.276mg/L。</w:t>
      </w:r>
    </w:p>
    <w:p w14:paraId="6E27BADB">
      <w:pPr>
        <w:ind w:firstLine="565" w:firstLineChars="202"/>
        <w:jc w:val="both"/>
        <w:rPr>
          <w:rFonts w:hint="default" w:ascii="宋体" w:hAnsi="宋体"/>
          <w:szCs w:val="28"/>
          <w:lang w:val="en-US" w:eastAsia="zh-CN"/>
        </w:rPr>
      </w:pPr>
      <w:r>
        <w:rPr>
          <w:rFonts w:hint="default" w:ascii="宋体" w:hAnsi="宋体"/>
          <w:szCs w:val="28"/>
          <w:lang w:val="en-US" w:eastAsia="zh-CN"/>
        </w:rPr>
        <w:t>浮游动物：嘉荫县水域中浮游动物共计4类26种属。主要有原生动物、轮虫、枝角类、</w:t>
      </w:r>
      <w:r>
        <w:rPr>
          <w:rFonts w:hint="eastAsia" w:ascii="宋体" w:hAnsi="宋体"/>
          <w:szCs w:val="28"/>
          <w:lang w:val="en-US" w:eastAsia="zh-CN"/>
        </w:rPr>
        <w:t>桡</w:t>
      </w:r>
      <w:r>
        <w:rPr>
          <w:rFonts w:hint="default" w:ascii="宋体" w:hAnsi="宋体"/>
          <w:szCs w:val="28"/>
          <w:lang w:val="en-US" w:eastAsia="zh-CN"/>
        </w:rPr>
        <w:t>足类4类浮游动物。浮游动物26种属中轮虫类14种属，占38.9%；原生动物12种属，占33.3%；枝角类6种属，占16.7%；桡足类4种属，占11.1%。主要有球形沙壳虫、钟形虫、简壳虫、似玲壳虫、表壳虫、焰毛虫、累枝虫、太阳虫、小栉溞、象鼻蚤、剑水蚤、无节幼体、秀体蚤、基和溞、票蚤、犀轮蚤、臂尾轮虫、多枝轮虫、龟甲轮虫、三肢轮虫、蛭态目轮虫、晶囊目轮虫、侠盗虫、栉毛虫、草履虫、喇叭虫26种。浮游动物生物量组成1.819mg/L。</w:t>
      </w:r>
    </w:p>
    <w:p w14:paraId="6A40B9F3">
      <w:pPr>
        <w:pStyle w:val="5"/>
        <w:rPr>
          <w:rFonts w:hint="eastAsia" w:ascii="Times New Roman" w:hAnsi="Times New Roman" w:eastAsia="宋体"/>
          <w:lang w:val="en-US" w:eastAsia="zh-CN"/>
        </w:rPr>
      </w:pPr>
      <w:r>
        <w:rPr>
          <w:rFonts w:hint="eastAsia" w:ascii="Times New Roman" w:hAnsi="Times New Roman" w:eastAsia="宋体"/>
        </w:rPr>
        <w:t xml:space="preserve">2.1.3.2 </w:t>
      </w:r>
      <w:r>
        <w:rPr>
          <w:rFonts w:hint="eastAsia" w:ascii="Times New Roman" w:hAnsi="Times New Roman"/>
          <w:lang w:val="en-US" w:eastAsia="zh-CN"/>
        </w:rPr>
        <w:t>水生植物</w:t>
      </w:r>
    </w:p>
    <w:p w14:paraId="355D53AD">
      <w:pPr>
        <w:ind w:firstLine="565" w:firstLineChars="202"/>
        <w:jc w:val="both"/>
        <w:rPr>
          <w:rFonts w:hint="default" w:ascii="宋体" w:hAnsi="宋体"/>
          <w:szCs w:val="28"/>
          <w:lang w:val="en-US" w:eastAsia="zh-CN"/>
        </w:rPr>
      </w:pPr>
      <w:r>
        <w:rPr>
          <w:rFonts w:hint="default" w:ascii="宋体" w:hAnsi="宋体"/>
          <w:szCs w:val="28"/>
          <w:lang w:val="en-US" w:eastAsia="zh-CN"/>
        </w:rPr>
        <w:t>经鉴定嘉荫县水域水生植物为17科26种：槐叶萍科1种</w:t>
      </w:r>
      <w:r>
        <w:rPr>
          <w:rFonts w:hint="eastAsia" w:ascii="宋体" w:hAnsi="宋体"/>
          <w:szCs w:val="28"/>
          <w:lang w:val="en-US" w:eastAsia="zh-CN"/>
        </w:rPr>
        <w:t>、</w:t>
      </w:r>
      <w:r>
        <w:rPr>
          <w:rFonts w:hint="default" w:ascii="宋体" w:hAnsi="宋体"/>
          <w:szCs w:val="28"/>
          <w:lang w:val="en-US" w:eastAsia="zh-CN"/>
        </w:rPr>
        <w:t>萍科1种</w:t>
      </w:r>
      <w:r>
        <w:rPr>
          <w:rFonts w:hint="eastAsia" w:ascii="宋体" w:hAnsi="宋体"/>
          <w:szCs w:val="28"/>
          <w:lang w:val="en-US" w:eastAsia="zh-CN"/>
        </w:rPr>
        <w:t>、</w:t>
      </w:r>
      <w:r>
        <w:rPr>
          <w:rFonts w:hint="default" w:ascii="宋体" w:hAnsi="宋体"/>
          <w:szCs w:val="28"/>
          <w:lang w:val="en-US" w:eastAsia="zh-CN"/>
        </w:rPr>
        <w:t>满江红科1种</w:t>
      </w:r>
      <w:r>
        <w:rPr>
          <w:rFonts w:hint="eastAsia" w:ascii="宋体" w:hAnsi="宋体"/>
          <w:szCs w:val="28"/>
          <w:lang w:val="en-US" w:eastAsia="zh-CN"/>
        </w:rPr>
        <w:t>、</w:t>
      </w:r>
      <w:r>
        <w:rPr>
          <w:rFonts w:hint="default" w:ascii="宋体" w:hAnsi="宋体"/>
          <w:szCs w:val="28"/>
          <w:lang w:val="en-US" w:eastAsia="zh-CN"/>
        </w:rPr>
        <w:t>蓼科2种</w:t>
      </w:r>
      <w:r>
        <w:rPr>
          <w:rFonts w:hint="eastAsia" w:ascii="宋体" w:hAnsi="宋体"/>
          <w:szCs w:val="28"/>
          <w:lang w:val="en-US" w:eastAsia="zh-CN"/>
        </w:rPr>
        <w:t>、</w:t>
      </w:r>
      <w:r>
        <w:rPr>
          <w:rFonts w:hint="default" w:ascii="宋体" w:hAnsi="宋体"/>
          <w:szCs w:val="28"/>
          <w:lang w:val="en-US" w:eastAsia="zh-CN"/>
        </w:rPr>
        <w:t>睡莲科4种</w:t>
      </w:r>
      <w:r>
        <w:rPr>
          <w:rFonts w:hint="eastAsia" w:ascii="宋体" w:hAnsi="宋体"/>
          <w:szCs w:val="28"/>
          <w:lang w:val="en-US" w:eastAsia="zh-CN"/>
        </w:rPr>
        <w:t>、</w:t>
      </w:r>
      <w:r>
        <w:rPr>
          <w:rFonts w:hint="default" w:ascii="宋体" w:hAnsi="宋体"/>
          <w:szCs w:val="28"/>
          <w:lang w:val="en-US" w:eastAsia="zh-CN"/>
        </w:rPr>
        <w:t>金鱼藻科1种</w:t>
      </w:r>
      <w:r>
        <w:rPr>
          <w:rFonts w:hint="eastAsia" w:ascii="宋体" w:hAnsi="宋体"/>
          <w:szCs w:val="28"/>
          <w:lang w:val="en-US" w:eastAsia="zh-CN"/>
        </w:rPr>
        <w:t>、</w:t>
      </w:r>
      <w:r>
        <w:rPr>
          <w:rFonts w:hint="default" w:ascii="宋体" w:hAnsi="宋体"/>
          <w:szCs w:val="28"/>
          <w:lang w:val="en-US" w:eastAsia="zh-CN"/>
        </w:rPr>
        <w:t>十字花科1种</w:t>
      </w:r>
      <w:r>
        <w:rPr>
          <w:rFonts w:hint="eastAsia" w:ascii="宋体" w:hAnsi="宋体"/>
          <w:szCs w:val="28"/>
          <w:lang w:val="en-US" w:eastAsia="zh-CN"/>
        </w:rPr>
        <w:t>、</w:t>
      </w:r>
      <w:r>
        <w:rPr>
          <w:rFonts w:hint="default" w:ascii="宋体" w:hAnsi="宋体"/>
          <w:szCs w:val="28"/>
          <w:lang w:val="en-US" w:eastAsia="zh-CN"/>
        </w:rPr>
        <w:t>香蒲科1种</w:t>
      </w:r>
      <w:r>
        <w:rPr>
          <w:rFonts w:hint="eastAsia" w:ascii="宋体" w:hAnsi="宋体"/>
          <w:szCs w:val="28"/>
          <w:lang w:val="en-US" w:eastAsia="zh-CN"/>
        </w:rPr>
        <w:t>、</w:t>
      </w:r>
      <w:r>
        <w:rPr>
          <w:rFonts w:hint="default" w:ascii="宋体" w:hAnsi="宋体"/>
          <w:szCs w:val="28"/>
          <w:lang w:val="en-US" w:eastAsia="zh-CN"/>
        </w:rPr>
        <w:t>黑三棱科1种</w:t>
      </w:r>
      <w:r>
        <w:rPr>
          <w:rFonts w:hint="eastAsia" w:ascii="宋体" w:hAnsi="宋体"/>
          <w:szCs w:val="28"/>
          <w:lang w:val="en-US" w:eastAsia="zh-CN"/>
        </w:rPr>
        <w:t>、</w:t>
      </w:r>
      <w:r>
        <w:rPr>
          <w:rFonts w:hint="default" w:ascii="宋体" w:hAnsi="宋体"/>
          <w:szCs w:val="28"/>
          <w:lang w:val="en-US" w:eastAsia="zh-CN"/>
        </w:rPr>
        <w:t>眼子菜科2种</w:t>
      </w:r>
      <w:r>
        <w:rPr>
          <w:rFonts w:hint="eastAsia" w:ascii="宋体" w:hAnsi="宋体"/>
          <w:szCs w:val="28"/>
          <w:lang w:val="en-US" w:eastAsia="zh-CN"/>
        </w:rPr>
        <w:t>、</w:t>
      </w:r>
      <w:r>
        <w:rPr>
          <w:rFonts w:hint="default" w:ascii="宋体" w:hAnsi="宋体"/>
          <w:szCs w:val="28"/>
          <w:lang w:val="en-US" w:eastAsia="zh-CN"/>
        </w:rPr>
        <w:t>泽泻科2种</w:t>
      </w:r>
      <w:r>
        <w:rPr>
          <w:rFonts w:hint="eastAsia" w:ascii="宋体" w:hAnsi="宋体"/>
          <w:szCs w:val="28"/>
          <w:lang w:val="en-US" w:eastAsia="zh-CN"/>
        </w:rPr>
        <w:t>、</w:t>
      </w:r>
      <w:r>
        <w:rPr>
          <w:rFonts w:hint="default" w:ascii="宋体" w:hAnsi="宋体"/>
          <w:szCs w:val="28"/>
          <w:lang w:val="en-US" w:eastAsia="zh-CN"/>
        </w:rPr>
        <w:t>禾本科2种</w:t>
      </w:r>
      <w:r>
        <w:rPr>
          <w:rFonts w:hint="eastAsia" w:ascii="宋体" w:hAnsi="宋体"/>
          <w:szCs w:val="28"/>
          <w:lang w:val="en-US" w:eastAsia="zh-CN"/>
        </w:rPr>
        <w:t>、</w:t>
      </w:r>
      <w:r>
        <w:rPr>
          <w:rFonts w:hint="default" w:ascii="宋体" w:hAnsi="宋体"/>
          <w:szCs w:val="28"/>
          <w:lang w:val="en-US" w:eastAsia="zh-CN"/>
        </w:rPr>
        <w:t>莎草科3种</w:t>
      </w:r>
      <w:r>
        <w:rPr>
          <w:rFonts w:hint="eastAsia" w:ascii="宋体" w:hAnsi="宋体"/>
          <w:szCs w:val="28"/>
          <w:lang w:val="en-US" w:eastAsia="zh-CN"/>
        </w:rPr>
        <w:t>、</w:t>
      </w:r>
      <w:r>
        <w:rPr>
          <w:rFonts w:hint="default" w:ascii="宋体" w:hAnsi="宋体"/>
          <w:szCs w:val="28"/>
          <w:lang w:val="en-US" w:eastAsia="zh-CN"/>
        </w:rPr>
        <w:t>天南星科2种</w:t>
      </w:r>
      <w:r>
        <w:rPr>
          <w:rFonts w:hint="eastAsia" w:ascii="宋体" w:hAnsi="宋体"/>
          <w:szCs w:val="28"/>
          <w:lang w:val="en-US" w:eastAsia="zh-CN"/>
        </w:rPr>
        <w:t>、</w:t>
      </w:r>
      <w:r>
        <w:rPr>
          <w:rFonts w:hint="default" w:ascii="宋体" w:hAnsi="宋体"/>
          <w:szCs w:val="28"/>
          <w:lang w:val="en-US" w:eastAsia="zh-CN"/>
        </w:rPr>
        <w:t>浮萍科1种</w:t>
      </w:r>
      <w:r>
        <w:rPr>
          <w:rFonts w:hint="eastAsia" w:ascii="宋体" w:hAnsi="宋体"/>
          <w:szCs w:val="28"/>
          <w:lang w:val="en-US" w:eastAsia="zh-CN"/>
        </w:rPr>
        <w:t>、</w:t>
      </w:r>
      <w:r>
        <w:rPr>
          <w:rFonts w:hint="default" w:ascii="宋体" w:hAnsi="宋体"/>
          <w:szCs w:val="28"/>
          <w:lang w:val="en-US" w:eastAsia="zh-CN"/>
        </w:rPr>
        <w:t>雨久花科1种</w:t>
      </w:r>
      <w:r>
        <w:rPr>
          <w:rFonts w:hint="eastAsia" w:ascii="宋体" w:hAnsi="宋体"/>
          <w:szCs w:val="28"/>
          <w:lang w:val="en-US" w:eastAsia="zh-CN"/>
        </w:rPr>
        <w:t>、灯芯草</w:t>
      </w:r>
      <w:r>
        <w:rPr>
          <w:rFonts w:hint="default" w:ascii="宋体" w:hAnsi="宋体"/>
          <w:szCs w:val="28"/>
          <w:lang w:val="en-US" w:eastAsia="zh-CN"/>
        </w:rPr>
        <w:t>科1种。它们是水域环境的初级生产者，可以被草食性鱼类和杂食性鱼类食用，还可以为草上产卵的鱼类提供产卵孵化的环境，同时还有净化水体的作用。</w:t>
      </w:r>
    </w:p>
    <w:p w14:paraId="68A67F18">
      <w:pPr>
        <w:pStyle w:val="5"/>
        <w:rPr>
          <w:rFonts w:hint="eastAsia" w:ascii="Times New Roman" w:hAnsi="Times New Roman" w:eastAsia="宋体"/>
        </w:rPr>
      </w:pPr>
      <w:r>
        <w:rPr>
          <w:rFonts w:hint="eastAsia" w:ascii="Times New Roman" w:hAnsi="Times New Roman" w:eastAsia="宋体"/>
        </w:rPr>
        <w:t>2.1.3.3 底栖动物</w:t>
      </w:r>
    </w:p>
    <w:p w14:paraId="46AE82AF">
      <w:pPr>
        <w:ind w:firstLine="565" w:firstLineChars="202"/>
        <w:jc w:val="both"/>
        <w:rPr>
          <w:rFonts w:hint="default" w:ascii="宋体" w:hAnsi="宋体"/>
          <w:szCs w:val="28"/>
          <w:lang w:val="en-US" w:eastAsia="zh-CN"/>
        </w:rPr>
      </w:pPr>
      <w:r>
        <w:rPr>
          <w:rFonts w:hint="default" w:ascii="宋体" w:hAnsi="宋体"/>
          <w:szCs w:val="28"/>
          <w:lang w:val="en-US" w:eastAsia="zh-CN"/>
        </w:rPr>
        <w:t>境内底栖动物共4类20种，分软体动物类、水生昆虫类、甲壳类、水生寡毛类，其中软体动物7种，水生昆虫8种，甲壳类2种，水生寡毛类3种，底栖动物平均生物量为380g/㎡，其中软体动物99.7%。底栖动物种类繁多，呈现出丰富的动物多样性，它们是水域生态系统的重要组成部分。</w:t>
      </w:r>
    </w:p>
    <w:p w14:paraId="1E7CE6BA">
      <w:pPr>
        <w:pStyle w:val="5"/>
        <w:rPr>
          <w:rFonts w:hint="eastAsia" w:ascii="Times New Roman" w:hAnsi="Times New Roman"/>
          <w:lang w:val="en-US" w:eastAsia="zh-CN"/>
        </w:rPr>
      </w:pPr>
      <w:r>
        <w:rPr>
          <w:rFonts w:hint="eastAsia" w:ascii="Times New Roman" w:hAnsi="Times New Roman" w:eastAsia="宋体"/>
        </w:rPr>
        <w:t>2.1.3.</w:t>
      </w:r>
      <w:r>
        <w:rPr>
          <w:rFonts w:hint="eastAsia" w:ascii="Times New Roman" w:hAnsi="Times New Roman" w:eastAsia="宋体"/>
          <w:lang w:val="en-US" w:eastAsia="zh-CN"/>
        </w:rPr>
        <w:t>4</w:t>
      </w:r>
      <w:r>
        <w:rPr>
          <w:rFonts w:hint="eastAsia" w:ascii="Times New Roman" w:hAnsi="Times New Roman" w:eastAsia="宋体"/>
        </w:rPr>
        <w:t xml:space="preserve"> </w:t>
      </w:r>
      <w:r>
        <w:rPr>
          <w:rFonts w:hint="eastAsia" w:ascii="Times New Roman" w:hAnsi="Times New Roman"/>
          <w:lang w:val="en-US" w:eastAsia="zh-CN"/>
        </w:rPr>
        <w:t>鱼类资源</w:t>
      </w:r>
    </w:p>
    <w:p w14:paraId="1CE0A97F">
      <w:pPr>
        <w:ind w:firstLine="565" w:firstLineChars="202"/>
        <w:jc w:val="both"/>
        <w:rPr>
          <w:rFonts w:hint="default" w:ascii="宋体" w:hAnsi="宋体"/>
          <w:szCs w:val="28"/>
          <w:lang w:val="en-US" w:eastAsia="zh-CN"/>
        </w:rPr>
      </w:pPr>
      <w:r>
        <w:rPr>
          <w:rFonts w:hint="default" w:ascii="宋体" w:hAnsi="宋体"/>
          <w:szCs w:val="28"/>
          <w:lang w:val="en-US" w:eastAsia="zh-CN"/>
        </w:rPr>
        <w:t>嘉荫县县志曾记载境内鱼类共97种，2016年水产总站经调查取样，发现黑龙江及其支流区域内的鱼类共有16科55属</w:t>
      </w:r>
      <w:r>
        <w:rPr>
          <w:rFonts w:hint="eastAsia" w:ascii="宋体" w:hAnsi="宋体"/>
          <w:szCs w:val="28"/>
          <w:lang w:val="en-US" w:eastAsia="zh-CN"/>
        </w:rPr>
        <w:t>64</w:t>
      </w:r>
      <w:r>
        <w:rPr>
          <w:rFonts w:hint="default" w:ascii="宋体" w:hAnsi="宋体"/>
          <w:szCs w:val="28"/>
          <w:lang w:val="en-US" w:eastAsia="zh-CN"/>
        </w:rPr>
        <w:t>种，其中鲤科鱼类38种，鲑科鱼类4种，鳅科鱼类5种，</w:t>
      </w:r>
      <w:r>
        <w:rPr>
          <w:rFonts w:hint="eastAsia" w:ascii="宋体" w:hAnsi="宋体"/>
          <w:szCs w:val="28"/>
          <w:lang w:val="en-US" w:eastAsia="zh-CN"/>
        </w:rPr>
        <w:t>其他17</w:t>
      </w:r>
      <w:r>
        <w:rPr>
          <w:rFonts w:hint="default" w:ascii="宋体" w:hAnsi="宋体"/>
          <w:szCs w:val="28"/>
          <w:lang w:val="en-US" w:eastAsia="zh-CN"/>
        </w:rPr>
        <w:t>种。境内鱼类的组成和分布具有区系广阔、构成复杂，经济鱼、特产鱼、名贵鱼等种类多特点。</w:t>
      </w:r>
      <w:r>
        <w:rPr>
          <w:rFonts w:hint="eastAsia" w:ascii="宋体" w:hAnsi="宋体"/>
          <w:szCs w:val="28"/>
          <w:lang w:val="en-US" w:eastAsia="zh-CN"/>
        </w:rPr>
        <w:t>既</w:t>
      </w:r>
      <w:r>
        <w:rPr>
          <w:rFonts w:hint="default" w:ascii="宋体" w:hAnsi="宋体"/>
          <w:szCs w:val="28"/>
          <w:lang w:val="en-US" w:eastAsia="zh-CN"/>
        </w:rPr>
        <w:t>有分布较广的鲤科鱼类，又有分布范围较窄的鲑科、鲟科、鳕科等鱼类。名贵鱼类有达氏鳇、施氏鲟、大麻哈鱼、鳌花、鳊花、吉花、哲罗、法罗、胡罗、雅罗、乌苏里白鲑、细鳞鱼、黑斑狗鱼、江鳕、黑龙江茴鱼等。特产名贵鱼类生物多样性丰富，在生态、遗传、育种、资源利用等方面具有很高的研究价值和重大的意义。近些年来，我们在养殖水体中引进了河蟹、鲶怀杂交、团头鲂、建鲤、松浦镜鲤、方正银鲫、黄金鲫等品种。</w:t>
      </w:r>
    </w:p>
    <w:p w14:paraId="1156BC41">
      <w:pPr>
        <w:pStyle w:val="4"/>
        <w:rPr>
          <w:rFonts w:hint="eastAsia" w:ascii="仿宋_GB2312" w:eastAsia="仿宋_GB2312"/>
          <w:sz w:val="28"/>
          <w:szCs w:val="28"/>
        </w:rPr>
      </w:pPr>
      <w:bookmarkStart w:id="41" w:name="_Toc22037"/>
      <w:r>
        <w:rPr>
          <w:rFonts w:ascii="Times New Roman" w:hAnsi="Times New Roman"/>
        </w:rPr>
        <w:t>2.1.4</w:t>
      </w:r>
      <w:r>
        <w:rPr>
          <w:rFonts w:hAnsi="Times New Roman"/>
        </w:rPr>
        <w:t xml:space="preserve"> </w:t>
      </w:r>
      <w:r>
        <w:t>水域环境状况</w:t>
      </w:r>
      <w:bookmarkEnd w:id="41"/>
      <w:r>
        <w:rPr>
          <w:rFonts w:hint="eastAsia" w:ascii="仿宋_GB2312" w:eastAsia="仿宋_GB2312"/>
          <w:sz w:val="28"/>
          <w:szCs w:val="28"/>
        </w:rPr>
        <w:t xml:space="preserve">  </w:t>
      </w:r>
    </w:p>
    <w:p w14:paraId="125C114E">
      <w:pPr>
        <w:ind w:firstLine="565" w:firstLineChars="202"/>
        <w:jc w:val="both"/>
        <w:rPr>
          <w:rFonts w:hint="default" w:ascii="宋体" w:hAnsi="宋体"/>
          <w:szCs w:val="28"/>
          <w:lang w:val="en-US" w:eastAsia="zh-CN"/>
        </w:rPr>
      </w:pPr>
      <w:r>
        <w:rPr>
          <w:rFonts w:hint="default" w:ascii="宋体" w:hAnsi="宋体"/>
          <w:szCs w:val="28"/>
          <w:lang w:val="en-US" w:eastAsia="zh-CN"/>
        </w:rPr>
        <w:t>嘉荫段内PH6.7</w:t>
      </w:r>
      <w:r>
        <w:rPr>
          <w:rFonts w:hint="eastAsia" w:ascii="宋体" w:hAnsi="宋体"/>
          <w:szCs w:val="28"/>
          <w:lang w:val="en-US" w:eastAsia="zh-CN"/>
        </w:rPr>
        <w:t>—</w:t>
      </w:r>
      <w:r>
        <w:rPr>
          <w:rFonts w:hint="default" w:ascii="宋体" w:hAnsi="宋体"/>
          <w:szCs w:val="28"/>
          <w:lang w:val="en-US" w:eastAsia="zh-CN"/>
        </w:rPr>
        <w:t>7.8，本区域溶解氧含量较高，均值在7.7～10.8mg/L，亚硝酸盐0.000～0.01mg/L，氨氮0.03～0.05mg/L，硝酸盐0.08～0.15mg/L，总氮0.2～0.5mg/L，在无机态氮组成中，亚硝酸盐和氨氮含量很低，硝酸盐是无机氮存在的主要组成特征。黑龙江嘉荫段水质良好，属于重碳酸盐水，总硬度不大，主要离子含量适度，水产养殖环境状况较好，主要养殖区域都远离工矿企业，水质均符合养殖水质标准，适于各种鱼类的产卵、索饵、生长。</w:t>
      </w:r>
    </w:p>
    <w:p w14:paraId="1D731B8D">
      <w:pPr>
        <w:pStyle w:val="4"/>
        <w:rPr>
          <w:rFonts w:ascii="Times New Roman" w:hAnsi="Times New Roman"/>
        </w:rPr>
      </w:pPr>
      <w:bookmarkStart w:id="42" w:name="_Toc8652"/>
      <w:r>
        <w:rPr>
          <w:rFonts w:ascii="Times New Roman" w:hAnsi="Times New Roman"/>
        </w:rPr>
        <w:t xml:space="preserve">2.1.5 </w:t>
      </w:r>
      <w:r>
        <w:rPr>
          <w:rFonts w:ascii="Times New Roman" w:hAnsi="宋体"/>
        </w:rPr>
        <w:t>水域滩涂承载力评价</w:t>
      </w:r>
      <w:bookmarkEnd w:id="42"/>
    </w:p>
    <w:p w14:paraId="7FF7CEB2">
      <w:pPr>
        <w:ind w:firstLine="565" w:firstLineChars="202"/>
        <w:jc w:val="both"/>
        <w:rPr>
          <w:rFonts w:hint="default" w:ascii="宋体" w:hAnsi="宋体"/>
          <w:szCs w:val="28"/>
          <w:lang w:val="en-US" w:eastAsia="zh-CN"/>
        </w:rPr>
      </w:pPr>
      <w:r>
        <w:rPr>
          <w:rFonts w:hint="eastAsia" w:ascii="宋体" w:hAnsi="宋体"/>
          <w:szCs w:val="28"/>
          <w:lang w:val="en-US" w:eastAsia="zh-CN"/>
        </w:rPr>
        <w:t>嘉荫县</w:t>
      </w:r>
      <w:r>
        <w:rPr>
          <w:rFonts w:hint="default" w:ascii="宋体" w:hAnsi="宋体"/>
          <w:szCs w:val="28"/>
          <w:lang w:val="en-US" w:eastAsia="zh-CN"/>
        </w:rPr>
        <w:t>水域滩涂资源丰富，从水域环境状态、水文气候条件、水生生物资源条件、水域滩涂承载力以及今后渔业发展潜力等因素来看，</w:t>
      </w:r>
      <w:r>
        <w:rPr>
          <w:rFonts w:hint="eastAsia" w:ascii="宋体" w:hAnsi="宋体"/>
          <w:szCs w:val="28"/>
          <w:lang w:val="en-US" w:eastAsia="zh-CN"/>
        </w:rPr>
        <w:t>嘉荫县</w:t>
      </w:r>
      <w:r>
        <w:rPr>
          <w:rFonts w:hint="default" w:ascii="宋体" w:hAnsi="宋体"/>
          <w:szCs w:val="28"/>
          <w:lang w:val="en-US" w:eastAsia="zh-CN"/>
        </w:rPr>
        <w:t>适合走绿色高效、安全规范、融合开放、资源节约、环境友好的渔业发展之路。在具体的养殖模式上适合采用减少人为干预、鱼类自然生长、去除污染因素、实行生态绿色养殖。</w:t>
      </w:r>
    </w:p>
    <w:p w14:paraId="3764A183">
      <w:pPr>
        <w:pStyle w:val="3"/>
        <w:rPr>
          <w:rFonts w:ascii="Times New Roman" w:hAnsi="Times New Roman"/>
        </w:rPr>
      </w:pPr>
      <w:bookmarkStart w:id="43" w:name="_Toc21796"/>
      <w:bookmarkStart w:id="44" w:name="_Toc1894"/>
      <w:r>
        <w:rPr>
          <w:rFonts w:ascii="Times New Roman" w:hAnsi="Times New Roman"/>
        </w:rPr>
        <w:t xml:space="preserve">2.2 </w:t>
      </w:r>
      <w:r>
        <w:rPr>
          <w:rFonts w:ascii="Times New Roman" w:hAnsi="宋体"/>
        </w:rPr>
        <w:t>水产养殖产业发展分析</w:t>
      </w:r>
      <w:bookmarkEnd w:id="43"/>
      <w:bookmarkEnd w:id="44"/>
    </w:p>
    <w:p w14:paraId="5087EBAA">
      <w:pPr>
        <w:pStyle w:val="4"/>
        <w:rPr>
          <w:rFonts w:ascii="Times New Roman" w:hAnsi="Times New Roman"/>
        </w:rPr>
      </w:pPr>
      <w:bookmarkStart w:id="45" w:name="_Toc32516"/>
      <w:r>
        <w:rPr>
          <w:rFonts w:ascii="Times New Roman" w:hAnsi="Times New Roman"/>
        </w:rPr>
        <w:t xml:space="preserve">2.2.1 </w:t>
      </w:r>
      <w:r>
        <w:rPr>
          <w:rFonts w:ascii="Times New Roman" w:hAnsi="宋体"/>
        </w:rPr>
        <w:t>水产养殖发展现状</w:t>
      </w:r>
      <w:bookmarkEnd w:id="45"/>
    </w:p>
    <w:p w14:paraId="7C8AEC49">
      <w:pPr>
        <w:ind w:firstLine="565" w:firstLineChars="202"/>
        <w:jc w:val="both"/>
        <w:rPr>
          <w:rFonts w:hint="default" w:ascii="宋体" w:hAnsi="宋体"/>
          <w:szCs w:val="28"/>
          <w:lang w:val="en-US" w:eastAsia="zh-CN"/>
        </w:rPr>
      </w:pPr>
      <w:r>
        <w:rPr>
          <w:rFonts w:hint="default" w:ascii="宋体" w:hAnsi="宋体"/>
          <w:szCs w:val="28"/>
          <w:lang w:val="en-US" w:eastAsia="zh-CN"/>
        </w:rPr>
        <w:t>1</w:t>
      </w:r>
      <w:r>
        <w:rPr>
          <w:rFonts w:hint="eastAsia" w:ascii="宋体" w:hAnsi="宋体"/>
          <w:szCs w:val="28"/>
          <w:lang w:val="en-US" w:eastAsia="zh-CN"/>
        </w:rPr>
        <w:t>.</w:t>
      </w:r>
      <w:r>
        <w:rPr>
          <w:rFonts w:hint="default" w:ascii="宋体" w:hAnsi="宋体"/>
          <w:szCs w:val="28"/>
          <w:lang w:val="en-US" w:eastAsia="zh-CN"/>
        </w:rPr>
        <w:t>现有养殖区域</w:t>
      </w:r>
    </w:p>
    <w:p w14:paraId="7709A506">
      <w:pPr>
        <w:ind w:firstLine="565" w:firstLineChars="202"/>
        <w:jc w:val="both"/>
        <w:rPr>
          <w:rFonts w:hint="default" w:ascii="宋体" w:hAnsi="宋体"/>
          <w:szCs w:val="28"/>
          <w:lang w:val="en-US" w:eastAsia="zh-CN"/>
        </w:rPr>
      </w:pPr>
      <w:r>
        <w:rPr>
          <w:rFonts w:hint="eastAsia" w:ascii="宋体" w:hAnsi="宋体"/>
          <w:szCs w:val="28"/>
          <w:lang w:val="en-US" w:eastAsia="zh-CN"/>
        </w:rPr>
        <w:t>嘉荫县全县范围</w:t>
      </w:r>
      <w:r>
        <w:rPr>
          <w:rFonts w:hint="default" w:ascii="宋体" w:hAnsi="宋体"/>
          <w:szCs w:val="28"/>
          <w:lang w:val="en-US" w:eastAsia="zh-CN"/>
        </w:rPr>
        <w:t>都有渔业养殖，只是规模大小不同。沿江的朝阳镇、乌云镇、青山乡、常胜乡4个乡镇，养殖技术比较成熟，水面利用率高，养殖规模较大，</w:t>
      </w:r>
      <w:r>
        <w:rPr>
          <w:rFonts w:hint="eastAsia" w:ascii="宋体" w:hAnsi="宋体"/>
          <w:szCs w:val="28"/>
          <w:lang w:val="en-US" w:eastAsia="zh-CN"/>
        </w:rPr>
        <w:t>其他</w:t>
      </w:r>
      <w:r>
        <w:rPr>
          <w:rFonts w:hint="default" w:ascii="宋体" w:hAnsi="宋体"/>
          <w:szCs w:val="28"/>
          <w:lang w:val="en-US" w:eastAsia="zh-CN"/>
        </w:rPr>
        <w:t>乡镇、农场在养殖技术和养殖规模上都相对薄弱和较小。</w:t>
      </w:r>
    </w:p>
    <w:p w14:paraId="23DCAC20">
      <w:pPr>
        <w:ind w:firstLine="565" w:firstLineChars="202"/>
        <w:jc w:val="both"/>
        <w:rPr>
          <w:rFonts w:hint="default" w:ascii="宋体" w:hAnsi="宋体"/>
          <w:szCs w:val="28"/>
          <w:lang w:val="en-US" w:eastAsia="zh-CN"/>
        </w:rPr>
      </w:pPr>
      <w:r>
        <w:rPr>
          <w:rFonts w:hint="default" w:ascii="宋体" w:hAnsi="宋体"/>
          <w:szCs w:val="28"/>
          <w:lang w:val="en-US" w:eastAsia="zh-CN"/>
        </w:rPr>
        <w:t>2</w:t>
      </w:r>
      <w:r>
        <w:rPr>
          <w:rFonts w:hint="eastAsia" w:ascii="宋体" w:hAnsi="宋体"/>
          <w:szCs w:val="28"/>
          <w:lang w:val="en-US" w:eastAsia="zh-CN"/>
        </w:rPr>
        <w:t>.</w:t>
      </w:r>
      <w:r>
        <w:rPr>
          <w:rFonts w:hint="default" w:ascii="宋体" w:hAnsi="宋体"/>
          <w:szCs w:val="28"/>
          <w:lang w:val="en-US" w:eastAsia="zh-CN"/>
        </w:rPr>
        <w:t>养殖方式和养殖品种</w:t>
      </w:r>
    </w:p>
    <w:p w14:paraId="47DFC2FE">
      <w:pPr>
        <w:ind w:firstLine="565" w:firstLineChars="202"/>
        <w:jc w:val="both"/>
        <w:rPr>
          <w:rFonts w:hint="default" w:ascii="宋体" w:hAnsi="宋体"/>
          <w:szCs w:val="28"/>
          <w:lang w:val="en-US" w:eastAsia="zh-CN"/>
        </w:rPr>
      </w:pPr>
      <w:r>
        <w:rPr>
          <w:rFonts w:hint="default" w:ascii="宋体" w:hAnsi="宋体"/>
          <w:szCs w:val="28"/>
          <w:lang w:val="en-US" w:eastAsia="zh-CN"/>
        </w:rPr>
        <w:t>目前</w:t>
      </w:r>
      <w:r>
        <w:rPr>
          <w:rFonts w:hint="eastAsia" w:ascii="宋体" w:hAnsi="宋体"/>
          <w:szCs w:val="28"/>
          <w:lang w:val="en-US" w:eastAsia="zh-CN"/>
        </w:rPr>
        <w:t>，嘉荫县</w:t>
      </w:r>
      <w:r>
        <w:rPr>
          <w:rFonts w:hint="default" w:ascii="宋体" w:hAnsi="宋体"/>
          <w:szCs w:val="28"/>
          <w:lang w:val="en-US" w:eastAsia="zh-CN"/>
        </w:rPr>
        <w:t>水产养殖包括池塘养殖、湖泊养殖、水库养殖。池塘养殖以精养为主，养殖品种为草鱼、鲫鱼、鳙鱼、鲢鱼、鲤鱼、鳊鱼等常规品种为主，名特优养殖有柳根鱼、</w:t>
      </w:r>
      <w:r>
        <w:rPr>
          <w:rFonts w:hint="eastAsia" w:ascii="宋体" w:hAnsi="宋体"/>
          <w:szCs w:val="28"/>
          <w:lang w:val="en-US" w:eastAsia="zh-CN"/>
        </w:rPr>
        <w:t>细鳞</w:t>
      </w:r>
      <w:r>
        <w:rPr>
          <w:rFonts w:hint="default" w:ascii="宋体" w:hAnsi="宋体"/>
          <w:szCs w:val="28"/>
          <w:lang w:val="en-US" w:eastAsia="zh-CN"/>
        </w:rPr>
        <w:t>鱼、鳜鱼、台鳅、泥鳅、河蟹等。湖泊养殖以粗放型、半精养为主，养殖品种以鳙鱼、白鲢、鲫鱼、鲤鱼、草鱼为主，</w:t>
      </w:r>
      <w:r>
        <w:rPr>
          <w:rFonts w:hint="eastAsia" w:ascii="宋体" w:hAnsi="宋体"/>
          <w:szCs w:val="28"/>
          <w:lang w:val="en-US" w:eastAsia="zh-CN"/>
        </w:rPr>
        <w:t>其他</w:t>
      </w:r>
      <w:r>
        <w:rPr>
          <w:rFonts w:hint="default" w:ascii="宋体" w:hAnsi="宋体"/>
          <w:szCs w:val="28"/>
          <w:lang w:val="en-US" w:eastAsia="zh-CN"/>
        </w:rPr>
        <w:t>小型自然经济鱼类如柳根鱼（拉氏鱥、湖鱥）、老头鱼（葛氏卢塘鳢）为辅等。水库实行“人放天养”模式，不投放饵料，通过鲢鳙摄食浮游生物，达到优化水体的目的，养殖品种以鳙鱼、鲢鱼、草鱼等。近年来，随着养鱼高产技术不断发展普及，出现了成鱼池套养鱼种，鱼种池套养成鱼、网箱养鱼、生态养殖、休闲渔业等养殖模式，打破了传统养殖方式，拓展了养殖新领域，延伸了产业链，进一步拓宽了水产业发展空间。</w:t>
      </w:r>
    </w:p>
    <w:p w14:paraId="44D38613">
      <w:pPr>
        <w:ind w:firstLine="565" w:firstLineChars="202"/>
        <w:jc w:val="both"/>
        <w:rPr>
          <w:rFonts w:hint="default" w:ascii="宋体" w:hAnsi="宋体"/>
          <w:szCs w:val="28"/>
          <w:lang w:val="en-US" w:eastAsia="zh-CN"/>
        </w:rPr>
      </w:pPr>
      <w:r>
        <w:rPr>
          <w:rFonts w:hint="default" w:ascii="宋体" w:hAnsi="宋体"/>
          <w:szCs w:val="28"/>
          <w:lang w:val="en-US" w:eastAsia="zh-CN"/>
        </w:rPr>
        <w:t>3</w:t>
      </w:r>
      <w:r>
        <w:rPr>
          <w:rFonts w:hint="eastAsia" w:ascii="宋体" w:hAnsi="宋体"/>
          <w:szCs w:val="28"/>
          <w:lang w:val="en-US" w:eastAsia="zh-CN"/>
        </w:rPr>
        <w:t>.</w:t>
      </w:r>
      <w:r>
        <w:rPr>
          <w:rFonts w:hint="default" w:ascii="宋体" w:hAnsi="宋体"/>
          <w:szCs w:val="28"/>
          <w:lang w:val="en-US" w:eastAsia="zh-CN"/>
        </w:rPr>
        <w:t>养殖产量</w:t>
      </w:r>
    </w:p>
    <w:p w14:paraId="75998926">
      <w:pPr>
        <w:ind w:firstLine="565" w:firstLineChars="202"/>
        <w:jc w:val="both"/>
        <w:rPr>
          <w:rFonts w:hint="default" w:ascii="宋体" w:hAnsi="宋体"/>
          <w:szCs w:val="28"/>
          <w:lang w:val="en-US" w:eastAsia="zh-CN"/>
        </w:rPr>
      </w:pPr>
      <w:r>
        <w:rPr>
          <w:rFonts w:hint="eastAsia" w:ascii="宋体" w:hAnsi="宋体"/>
          <w:szCs w:val="28"/>
          <w:lang w:val="en-US" w:eastAsia="zh-CN"/>
        </w:rPr>
        <w:t>截止</w:t>
      </w:r>
      <w:r>
        <w:rPr>
          <w:rFonts w:hint="default" w:ascii="宋体" w:hAnsi="宋体"/>
          <w:szCs w:val="28"/>
          <w:lang w:val="en-US" w:eastAsia="zh-CN"/>
        </w:rPr>
        <w:t>20</w:t>
      </w:r>
      <w:r>
        <w:rPr>
          <w:rFonts w:hint="eastAsia" w:ascii="宋体" w:hAnsi="宋体"/>
          <w:szCs w:val="28"/>
          <w:lang w:val="en-US" w:eastAsia="zh-CN"/>
        </w:rPr>
        <w:t>24</w:t>
      </w:r>
      <w:r>
        <w:rPr>
          <w:rFonts w:hint="default" w:ascii="宋体" w:hAnsi="宋体"/>
          <w:szCs w:val="28"/>
          <w:lang w:val="en-US" w:eastAsia="zh-CN"/>
        </w:rPr>
        <w:t>年末，</w:t>
      </w:r>
      <w:r>
        <w:rPr>
          <w:rFonts w:hint="eastAsia" w:ascii="宋体" w:hAnsi="宋体"/>
          <w:szCs w:val="28"/>
          <w:lang w:val="en-US" w:eastAsia="zh-CN"/>
        </w:rPr>
        <w:t>嘉荫县</w:t>
      </w:r>
      <w:r>
        <w:rPr>
          <w:rFonts w:hint="default" w:ascii="宋体" w:hAnsi="宋体"/>
          <w:szCs w:val="28"/>
          <w:lang w:val="en-US" w:eastAsia="zh-CN"/>
        </w:rPr>
        <w:t>渔业</w:t>
      </w:r>
      <w:r>
        <w:rPr>
          <w:rFonts w:hint="eastAsia" w:ascii="宋体" w:hAnsi="宋体"/>
          <w:szCs w:val="28"/>
          <w:lang w:val="en-US" w:eastAsia="zh-CN"/>
        </w:rPr>
        <w:t>总产量1245吨，鱼类养殖</w:t>
      </w:r>
      <w:r>
        <w:rPr>
          <w:rFonts w:hint="default" w:ascii="宋体" w:hAnsi="宋体"/>
          <w:szCs w:val="28"/>
          <w:lang w:val="en-US" w:eastAsia="zh-CN"/>
        </w:rPr>
        <w:t>产量</w:t>
      </w:r>
      <w:r>
        <w:rPr>
          <w:rFonts w:hint="eastAsia" w:ascii="宋体" w:hAnsi="宋体"/>
          <w:szCs w:val="28"/>
          <w:lang w:val="en-US" w:eastAsia="zh-CN"/>
        </w:rPr>
        <w:t>937</w:t>
      </w:r>
      <w:r>
        <w:rPr>
          <w:rFonts w:hint="default" w:ascii="宋体" w:hAnsi="宋体"/>
          <w:szCs w:val="28"/>
          <w:lang w:val="en-US" w:eastAsia="zh-CN"/>
        </w:rPr>
        <w:t>吨</w:t>
      </w:r>
      <w:r>
        <w:rPr>
          <w:rFonts w:hint="eastAsia" w:ascii="宋体" w:hAnsi="宋体"/>
          <w:szCs w:val="28"/>
          <w:lang w:val="en-US" w:eastAsia="zh-CN"/>
        </w:rPr>
        <w:t>，林蛙产量90吨</w:t>
      </w:r>
      <w:r>
        <w:rPr>
          <w:rFonts w:hint="default" w:ascii="宋体" w:hAnsi="宋体"/>
          <w:szCs w:val="28"/>
          <w:lang w:val="en-US" w:eastAsia="zh-CN"/>
        </w:rPr>
        <w:t>。</w:t>
      </w:r>
    </w:p>
    <w:p w14:paraId="015BD103">
      <w:pPr>
        <w:ind w:firstLine="565" w:firstLineChars="202"/>
        <w:jc w:val="both"/>
        <w:rPr>
          <w:rFonts w:hint="default" w:ascii="宋体" w:hAnsi="宋体"/>
          <w:szCs w:val="28"/>
          <w:lang w:val="en-US" w:eastAsia="zh-CN"/>
        </w:rPr>
      </w:pPr>
      <w:r>
        <w:rPr>
          <w:rFonts w:hint="default" w:ascii="宋体" w:hAnsi="宋体"/>
          <w:szCs w:val="28"/>
          <w:lang w:val="en-US" w:eastAsia="zh-CN"/>
        </w:rPr>
        <w:t>4</w:t>
      </w:r>
      <w:r>
        <w:rPr>
          <w:rFonts w:hint="eastAsia" w:ascii="宋体" w:hAnsi="宋体"/>
          <w:szCs w:val="28"/>
          <w:lang w:val="en-US" w:eastAsia="zh-CN"/>
        </w:rPr>
        <w:t>.</w:t>
      </w:r>
      <w:r>
        <w:rPr>
          <w:rFonts w:hint="default" w:ascii="宋体" w:hAnsi="宋体"/>
          <w:szCs w:val="28"/>
          <w:lang w:val="en-US" w:eastAsia="zh-CN"/>
        </w:rPr>
        <w:t>技术支持有力</w:t>
      </w:r>
    </w:p>
    <w:p w14:paraId="01F57151">
      <w:pPr>
        <w:ind w:firstLine="565" w:firstLineChars="202"/>
        <w:jc w:val="both"/>
        <w:rPr>
          <w:rFonts w:hint="default" w:ascii="宋体" w:hAnsi="宋体"/>
          <w:szCs w:val="28"/>
          <w:lang w:val="en-US" w:eastAsia="zh-CN"/>
        </w:rPr>
      </w:pPr>
      <w:r>
        <w:rPr>
          <w:rFonts w:hint="eastAsia" w:ascii="宋体" w:hAnsi="宋体"/>
          <w:szCs w:val="28"/>
          <w:lang w:val="en-US" w:eastAsia="zh-CN"/>
        </w:rPr>
        <w:t>嘉荫县水产总站</w:t>
      </w:r>
      <w:r>
        <w:rPr>
          <w:rFonts w:hint="default" w:ascii="宋体" w:hAnsi="宋体"/>
          <w:szCs w:val="28"/>
          <w:lang w:val="en-US" w:eastAsia="zh-CN"/>
        </w:rPr>
        <w:t>技术人员常年深入乡村，到各个养殖点向渔民传授养殖技术、病害防治知识，及时解决养殖户在养殖过程中遇到的疑难问题，使水产养殖户的技术水平获得了有效提升。</w:t>
      </w:r>
    </w:p>
    <w:p w14:paraId="4FF00F71">
      <w:pPr>
        <w:ind w:firstLine="565" w:firstLineChars="202"/>
        <w:jc w:val="both"/>
        <w:rPr>
          <w:rFonts w:hint="default" w:ascii="宋体" w:hAnsi="宋体"/>
          <w:szCs w:val="28"/>
          <w:lang w:val="en-US" w:eastAsia="zh-CN"/>
        </w:rPr>
      </w:pPr>
      <w:r>
        <w:rPr>
          <w:rFonts w:hint="eastAsia" w:ascii="宋体" w:hAnsi="宋体"/>
          <w:szCs w:val="28"/>
          <w:lang w:val="en-US" w:eastAsia="zh-CN"/>
        </w:rPr>
        <w:t>5.</w:t>
      </w:r>
      <w:r>
        <w:rPr>
          <w:rFonts w:hint="default" w:ascii="宋体" w:hAnsi="宋体"/>
          <w:szCs w:val="28"/>
          <w:lang w:val="en-US" w:eastAsia="zh-CN"/>
        </w:rPr>
        <w:t>政策支持到位</w:t>
      </w:r>
    </w:p>
    <w:p w14:paraId="7C6CCDF1">
      <w:pPr>
        <w:ind w:firstLine="565" w:firstLineChars="202"/>
        <w:jc w:val="both"/>
        <w:rPr>
          <w:rFonts w:hint="default" w:ascii="宋体" w:hAnsi="宋体"/>
          <w:szCs w:val="28"/>
          <w:lang w:val="en-US" w:eastAsia="zh-CN"/>
        </w:rPr>
      </w:pPr>
      <w:r>
        <w:rPr>
          <w:rFonts w:hint="eastAsia" w:ascii="宋体" w:hAnsi="宋体"/>
          <w:szCs w:val="28"/>
          <w:lang w:val="en-US" w:eastAsia="zh-CN"/>
        </w:rPr>
        <w:t>嘉荫</w:t>
      </w:r>
      <w:r>
        <w:rPr>
          <w:rFonts w:hint="default" w:ascii="宋体" w:hAnsi="宋体"/>
          <w:szCs w:val="28"/>
          <w:lang w:val="en-US" w:eastAsia="zh-CN"/>
        </w:rPr>
        <w:t>县高度重视养殖业发展，充分发挥寒地黑土优势，积极引进优质品种，推广先进养殖技术。当地政府制定了相关政策，扶持水产养殖产业发展，为养殖户提供了良好的政策环境。在水产主推技术适用范围内，以乡镇为单位，以基层农技推广体系为支撑，形成主推技术操作规范，发挥试验示范基地、科技示范主体等示范展示和引领带动作用，组织专家、农技人员开展技术指导和集中培训，引导广大养殖户科学应用渔业先进适用技术。</w:t>
      </w:r>
    </w:p>
    <w:p w14:paraId="2AAEEA2E">
      <w:pPr>
        <w:pStyle w:val="4"/>
        <w:rPr>
          <w:rFonts w:ascii="Times New Roman" w:hAnsi="宋体"/>
        </w:rPr>
      </w:pPr>
      <w:bookmarkStart w:id="46" w:name="_Toc22227"/>
      <w:r>
        <w:rPr>
          <w:rFonts w:ascii="Times New Roman" w:hAnsi="Times New Roman"/>
        </w:rPr>
        <w:t xml:space="preserve">2.2.2 </w:t>
      </w:r>
      <w:r>
        <w:rPr>
          <w:rFonts w:ascii="Times New Roman" w:hAnsi="宋体"/>
        </w:rPr>
        <w:t>区域经济发展方向</w:t>
      </w:r>
      <w:bookmarkEnd w:id="46"/>
    </w:p>
    <w:p w14:paraId="6799E30E">
      <w:pPr>
        <w:pStyle w:val="5"/>
        <w:rPr>
          <w:rFonts w:hint="eastAsia" w:ascii="Times New Roman" w:hAnsi="Times New Roman" w:eastAsia="宋体"/>
          <w:lang w:val="en-US" w:eastAsia="zh-CN"/>
        </w:rPr>
      </w:pPr>
      <w:r>
        <w:rPr>
          <w:rFonts w:hint="eastAsia" w:ascii="Times New Roman" w:hAnsi="Times New Roman" w:eastAsia="宋体"/>
          <w:lang w:val="en-US" w:eastAsia="zh-CN"/>
        </w:rPr>
        <w:t>2.2.2.1</w:t>
      </w:r>
      <w:r>
        <w:rPr>
          <w:rFonts w:hint="eastAsia" w:ascii="Times New Roman" w:hAnsi="Times New Roman"/>
          <w:lang w:val="en-US" w:eastAsia="zh-CN"/>
        </w:rPr>
        <w:t xml:space="preserve"> </w:t>
      </w:r>
      <w:r>
        <w:rPr>
          <w:rFonts w:hint="eastAsia" w:ascii="Times New Roman" w:hAnsi="Times New Roman" w:eastAsia="宋体"/>
          <w:lang w:val="en-US" w:eastAsia="zh-CN"/>
        </w:rPr>
        <w:t>区域经济概况</w:t>
      </w:r>
    </w:p>
    <w:p w14:paraId="55981358">
      <w:pPr>
        <w:ind w:firstLine="565" w:firstLineChars="202"/>
        <w:jc w:val="both"/>
        <w:rPr>
          <w:rFonts w:hint="default" w:ascii="宋体" w:hAnsi="宋体"/>
          <w:szCs w:val="28"/>
          <w:lang w:val="en-US" w:eastAsia="zh-CN"/>
        </w:rPr>
      </w:pPr>
      <w:r>
        <w:rPr>
          <w:rFonts w:hint="default" w:ascii="宋体" w:hAnsi="宋体"/>
          <w:szCs w:val="28"/>
          <w:lang w:val="en-US" w:eastAsia="zh-CN"/>
        </w:rPr>
        <w:t>1</w:t>
      </w:r>
      <w:r>
        <w:rPr>
          <w:rFonts w:hint="eastAsia" w:ascii="宋体" w:hAnsi="宋体"/>
          <w:szCs w:val="28"/>
          <w:lang w:val="en-US" w:eastAsia="zh-CN"/>
        </w:rPr>
        <w:t>.</w:t>
      </w:r>
      <w:r>
        <w:rPr>
          <w:rFonts w:hint="default" w:ascii="宋体" w:hAnsi="宋体"/>
          <w:szCs w:val="28"/>
          <w:lang w:val="en-US" w:eastAsia="zh-CN"/>
        </w:rPr>
        <w:t>区位条件</w:t>
      </w:r>
    </w:p>
    <w:p w14:paraId="3BE09B99">
      <w:pPr>
        <w:ind w:firstLine="565" w:firstLineChars="202"/>
        <w:jc w:val="both"/>
        <w:rPr>
          <w:rFonts w:hint="default" w:ascii="宋体" w:hAnsi="宋体"/>
          <w:szCs w:val="28"/>
          <w:lang w:val="en-US" w:eastAsia="zh-CN"/>
        </w:rPr>
      </w:pPr>
      <w:r>
        <w:rPr>
          <w:rFonts w:hint="eastAsia" w:ascii="宋体" w:hAnsi="宋体"/>
          <w:szCs w:val="28"/>
          <w:lang w:val="en-US" w:eastAsia="zh-CN"/>
        </w:rPr>
        <w:t>嘉荫县</w:t>
      </w:r>
      <w:r>
        <w:rPr>
          <w:rFonts w:hint="default" w:ascii="宋体" w:hAnsi="宋体"/>
          <w:szCs w:val="28"/>
          <w:lang w:val="en-US" w:eastAsia="zh-CN"/>
        </w:rPr>
        <w:t>属于农业生产占主导地位的县份，耕地面积占全县总面积的1</w:t>
      </w:r>
      <w:r>
        <w:rPr>
          <w:rFonts w:hint="eastAsia" w:ascii="宋体" w:hAnsi="宋体"/>
          <w:szCs w:val="28"/>
          <w:lang w:val="en-US" w:eastAsia="zh-CN"/>
        </w:rPr>
        <w:t>7.81</w:t>
      </w:r>
      <w:r>
        <w:rPr>
          <w:rFonts w:hint="default" w:ascii="宋体" w:hAnsi="宋体"/>
          <w:szCs w:val="28"/>
          <w:lang w:val="en-US" w:eastAsia="zh-CN"/>
        </w:rPr>
        <w:t>%；县境内水域丰富，水域总面积</w:t>
      </w:r>
      <w:r>
        <w:rPr>
          <w:rFonts w:hint="eastAsia" w:ascii="宋体" w:hAnsi="宋体"/>
          <w:szCs w:val="28"/>
          <w:lang w:val="en-US" w:eastAsia="zh-CN"/>
        </w:rPr>
        <w:t>17472.69公顷</w:t>
      </w:r>
      <w:r>
        <w:rPr>
          <w:rFonts w:hint="default" w:ascii="宋体" w:hAnsi="宋体"/>
          <w:szCs w:val="28"/>
          <w:lang w:val="en-US" w:eastAsia="zh-CN"/>
        </w:rPr>
        <w:t>，占全县总面积的2.</w:t>
      </w:r>
      <w:r>
        <w:rPr>
          <w:rFonts w:hint="eastAsia" w:ascii="宋体" w:hAnsi="宋体"/>
          <w:szCs w:val="28"/>
          <w:lang w:val="en-US" w:eastAsia="zh-CN"/>
        </w:rPr>
        <w:t>59</w:t>
      </w:r>
      <w:r>
        <w:rPr>
          <w:rFonts w:hint="default" w:ascii="宋体" w:hAnsi="宋体"/>
          <w:szCs w:val="28"/>
          <w:lang w:val="en-US" w:eastAsia="zh-CN"/>
        </w:rPr>
        <w:t>%。</w:t>
      </w:r>
      <w:r>
        <w:rPr>
          <w:rFonts w:hint="eastAsia" w:ascii="宋体" w:hAnsi="宋体"/>
          <w:szCs w:val="28"/>
          <w:lang w:val="en-US" w:eastAsia="zh-CN"/>
        </w:rPr>
        <w:t>嘉荫县</w:t>
      </w:r>
      <w:r>
        <w:rPr>
          <w:rFonts w:hint="default" w:ascii="宋体" w:hAnsi="宋体"/>
          <w:szCs w:val="28"/>
          <w:lang w:val="en-US" w:eastAsia="zh-CN"/>
        </w:rPr>
        <w:t>属于温带大陆性季风气候，全年平均日照时数2459.9小时，昼夜温差较大；</w:t>
      </w:r>
      <w:r>
        <w:rPr>
          <w:rFonts w:hint="eastAsia" w:ascii="宋体" w:hAnsi="宋体"/>
          <w:szCs w:val="28"/>
          <w:lang w:val="en-US" w:eastAsia="zh-CN"/>
        </w:rPr>
        <w:t>嘉荫县</w:t>
      </w:r>
      <w:r>
        <w:rPr>
          <w:rFonts w:hint="default" w:ascii="宋体" w:hAnsi="宋体"/>
          <w:szCs w:val="28"/>
          <w:lang w:val="en-US" w:eastAsia="zh-CN"/>
        </w:rPr>
        <w:t>整体环境保持较好，污染程度较低。从上述区位条件看，</w:t>
      </w:r>
      <w:r>
        <w:rPr>
          <w:rFonts w:hint="eastAsia" w:ascii="宋体" w:hAnsi="宋体"/>
          <w:szCs w:val="28"/>
          <w:lang w:val="en-US" w:eastAsia="zh-CN"/>
        </w:rPr>
        <w:t>嘉荫县</w:t>
      </w:r>
      <w:r>
        <w:rPr>
          <w:rFonts w:hint="default" w:ascii="宋体" w:hAnsi="宋体"/>
          <w:szCs w:val="28"/>
          <w:lang w:val="en-US" w:eastAsia="zh-CN"/>
        </w:rPr>
        <w:t>发展渔业生产有着很大的区位优势。首先，</w:t>
      </w:r>
      <w:r>
        <w:rPr>
          <w:rFonts w:hint="eastAsia" w:ascii="宋体" w:hAnsi="宋体"/>
          <w:szCs w:val="28"/>
          <w:lang w:val="en-US" w:eastAsia="zh-CN"/>
        </w:rPr>
        <w:t>嘉荫县</w:t>
      </w:r>
      <w:r>
        <w:rPr>
          <w:rFonts w:hint="default" w:ascii="宋体" w:hAnsi="宋体"/>
          <w:szCs w:val="28"/>
          <w:lang w:val="en-US" w:eastAsia="zh-CN"/>
        </w:rPr>
        <w:t>有着丰富的水域资源，为发展渔业生产奠定了水域资源基础；其次，</w:t>
      </w:r>
      <w:r>
        <w:rPr>
          <w:rFonts w:hint="eastAsia" w:ascii="宋体" w:hAnsi="宋体"/>
          <w:szCs w:val="28"/>
          <w:lang w:val="en-US" w:eastAsia="zh-CN"/>
        </w:rPr>
        <w:t>嘉荫县</w:t>
      </w:r>
      <w:r>
        <w:rPr>
          <w:rFonts w:hint="default" w:ascii="宋体" w:hAnsi="宋体"/>
          <w:szCs w:val="28"/>
          <w:lang w:val="en-US" w:eastAsia="zh-CN"/>
        </w:rPr>
        <w:t>有着广阔的农业耕地和雄厚的粮食生产，为渔业生产奠定了饲料生产基础；再次，</w:t>
      </w:r>
      <w:r>
        <w:rPr>
          <w:rFonts w:hint="eastAsia" w:ascii="宋体" w:hAnsi="宋体"/>
          <w:szCs w:val="28"/>
          <w:lang w:val="en-US" w:eastAsia="zh-CN"/>
        </w:rPr>
        <w:t>嘉荫县</w:t>
      </w:r>
      <w:r>
        <w:rPr>
          <w:rFonts w:hint="default" w:ascii="宋体" w:hAnsi="宋体"/>
          <w:szCs w:val="28"/>
          <w:lang w:val="en-US" w:eastAsia="zh-CN"/>
        </w:rPr>
        <w:t>环境良好，污染程度较低，为创造绿色有机渔业品牌奠定基础；第四，</w:t>
      </w:r>
      <w:r>
        <w:rPr>
          <w:rFonts w:hint="eastAsia" w:ascii="宋体" w:hAnsi="宋体"/>
          <w:szCs w:val="28"/>
          <w:lang w:val="en-US" w:eastAsia="zh-CN"/>
        </w:rPr>
        <w:t>嘉荫县</w:t>
      </w:r>
      <w:r>
        <w:rPr>
          <w:rFonts w:hint="default" w:ascii="宋体" w:hAnsi="宋体"/>
          <w:szCs w:val="28"/>
          <w:lang w:val="en-US" w:eastAsia="zh-CN"/>
        </w:rPr>
        <w:t>日照时数长，昼夜温差较大，为温水性、冷水性鱼类生产奠定了基础。</w:t>
      </w:r>
    </w:p>
    <w:p w14:paraId="2D1BD983">
      <w:pPr>
        <w:ind w:firstLine="565" w:firstLineChars="202"/>
        <w:jc w:val="both"/>
        <w:rPr>
          <w:rFonts w:hint="default" w:ascii="宋体" w:hAnsi="宋体"/>
          <w:szCs w:val="28"/>
          <w:lang w:val="en-US" w:eastAsia="zh-CN"/>
        </w:rPr>
      </w:pPr>
      <w:r>
        <w:rPr>
          <w:rFonts w:hint="eastAsia" w:ascii="宋体" w:hAnsi="宋体"/>
          <w:szCs w:val="28"/>
          <w:lang w:val="en-US" w:eastAsia="zh-CN"/>
        </w:rPr>
        <w:t>2.</w:t>
      </w:r>
      <w:r>
        <w:rPr>
          <w:rFonts w:hint="default" w:ascii="宋体" w:hAnsi="宋体"/>
          <w:szCs w:val="28"/>
          <w:lang w:val="en-US" w:eastAsia="zh-CN"/>
        </w:rPr>
        <w:t>经济总量</w:t>
      </w:r>
    </w:p>
    <w:p w14:paraId="12E387E0">
      <w:pPr>
        <w:ind w:firstLine="565" w:firstLineChars="202"/>
        <w:jc w:val="both"/>
        <w:rPr>
          <w:rFonts w:hint="default" w:ascii="宋体" w:hAnsi="宋体"/>
          <w:szCs w:val="28"/>
          <w:lang w:val="en-US" w:eastAsia="zh-CN"/>
        </w:rPr>
      </w:pPr>
      <w:r>
        <w:rPr>
          <w:rFonts w:hint="default" w:ascii="宋体" w:hAnsi="宋体"/>
          <w:szCs w:val="28"/>
          <w:lang w:val="en-US" w:eastAsia="zh-CN"/>
        </w:rPr>
        <w:t>20</w:t>
      </w:r>
      <w:r>
        <w:rPr>
          <w:rFonts w:hint="eastAsia" w:ascii="宋体" w:hAnsi="宋体"/>
          <w:szCs w:val="28"/>
          <w:lang w:val="en-US" w:eastAsia="zh-CN"/>
        </w:rPr>
        <w:t>24</w:t>
      </w:r>
      <w:r>
        <w:rPr>
          <w:rFonts w:hint="default" w:ascii="宋体" w:hAnsi="宋体"/>
          <w:szCs w:val="28"/>
          <w:lang w:val="en-US" w:eastAsia="zh-CN"/>
        </w:rPr>
        <w:t>年全县</w:t>
      </w:r>
      <w:r>
        <w:rPr>
          <w:rFonts w:hint="eastAsia" w:ascii="宋体" w:hAnsi="宋体"/>
          <w:szCs w:val="28"/>
          <w:lang w:val="en-US" w:eastAsia="zh-CN"/>
        </w:rPr>
        <w:t>地区生产总值32.59</w:t>
      </w:r>
      <w:r>
        <w:rPr>
          <w:rFonts w:hint="default" w:ascii="宋体" w:hAnsi="宋体"/>
          <w:szCs w:val="28"/>
          <w:lang w:val="en-US" w:eastAsia="zh-CN"/>
        </w:rPr>
        <w:t>亿元；农业</w:t>
      </w:r>
      <w:r>
        <w:rPr>
          <w:rFonts w:hint="eastAsia" w:ascii="宋体" w:hAnsi="宋体"/>
          <w:szCs w:val="28"/>
          <w:lang w:val="en-US" w:eastAsia="zh-CN"/>
        </w:rPr>
        <w:t>总产值24.96</w:t>
      </w:r>
      <w:r>
        <w:rPr>
          <w:rFonts w:hint="default" w:ascii="宋体" w:hAnsi="宋体"/>
          <w:szCs w:val="28"/>
          <w:lang w:val="en-US" w:eastAsia="zh-CN"/>
        </w:rPr>
        <w:t>亿元。</w:t>
      </w:r>
    </w:p>
    <w:p w14:paraId="35664112">
      <w:pPr>
        <w:ind w:firstLine="565" w:firstLineChars="202"/>
        <w:jc w:val="both"/>
        <w:rPr>
          <w:rFonts w:hint="default" w:ascii="宋体" w:hAnsi="宋体"/>
          <w:szCs w:val="28"/>
          <w:lang w:val="en-US" w:eastAsia="zh-CN"/>
        </w:rPr>
      </w:pPr>
      <w:r>
        <w:rPr>
          <w:rFonts w:hint="eastAsia" w:ascii="宋体" w:hAnsi="宋体"/>
          <w:szCs w:val="28"/>
          <w:lang w:val="en-US" w:eastAsia="zh-CN"/>
        </w:rPr>
        <w:t>3.</w:t>
      </w:r>
      <w:r>
        <w:rPr>
          <w:rFonts w:hint="default" w:ascii="宋体" w:hAnsi="宋体"/>
          <w:szCs w:val="28"/>
          <w:lang w:val="en-US" w:eastAsia="zh-CN"/>
        </w:rPr>
        <w:t>产业结构</w:t>
      </w:r>
    </w:p>
    <w:p w14:paraId="51E0D1D2">
      <w:pPr>
        <w:ind w:firstLine="565" w:firstLineChars="202"/>
        <w:jc w:val="both"/>
        <w:rPr>
          <w:rFonts w:hint="default" w:ascii="宋体" w:hAnsi="宋体"/>
          <w:szCs w:val="28"/>
          <w:lang w:val="en-US" w:eastAsia="zh-CN"/>
        </w:rPr>
      </w:pPr>
      <w:r>
        <w:rPr>
          <w:rFonts w:hint="eastAsia" w:ascii="宋体" w:hAnsi="宋体"/>
          <w:szCs w:val="28"/>
          <w:lang w:val="en-US" w:eastAsia="zh-CN"/>
        </w:rPr>
        <w:t>嘉荫县</w:t>
      </w:r>
      <w:r>
        <w:rPr>
          <w:rFonts w:hint="default" w:ascii="宋体" w:hAnsi="宋体"/>
          <w:szCs w:val="28"/>
          <w:lang w:val="en-US" w:eastAsia="zh-CN"/>
        </w:rPr>
        <w:t>现有的渔业产业结构还属于家庭式、分散型小农生产结构。经营主体弱小</w:t>
      </w:r>
      <w:r>
        <w:rPr>
          <w:rFonts w:hint="eastAsia" w:ascii="宋体" w:hAnsi="宋体"/>
          <w:szCs w:val="28"/>
          <w:lang w:val="en-US" w:eastAsia="zh-CN"/>
        </w:rPr>
        <w:t>，</w:t>
      </w:r>
      <w:r>
        <w:rPr>
          <w:rFonts w:hint="default" w:ascii="宋体" w:hAnsi="宋体"/>
          <w:szCs w:val="28"/>
          <w:lang w:val="en-US" w:eastAsia="zh-CN"/>
        </w:rPr>
        <w:t>自</w:t>
      </w:r>
      <w:r>
        <w:rPr>
          <w:rFonts w:hint="eastAsia" w:ascii="宋体" w:hAnsi="宋体"/>
          <w:szCs w:val="28"/>
          <w:lang w:val="en-US" w:eastAsia="zh-CN"/>
        </w:rPr>
        <w:t>有资金不足，抗</w:t>
      </w:r>
      <w:r>
        <w:rPr>
          <w:rFonts w:hint="default" w:ascii="宋体" w:hAnsi="宋体"/>
          <w:szCs w:val="28"/>
          <w:lang w:val="en-US" w:eastAsia="zh-CN"/>
        </w:rPr>
        <w:t>风险能力薄弱</w:t>
      </w:r>
      <w:r>
        <w:rPr>
          <w:rFonts w:hint="eastAsia" w:ascii="宋体" w:hAnsi="宋体"/>
          <w:szCs w:val="28"/>
          <w:lang w:val="en-US" w:eastAsia="zh-CN"/>
        </w:rPr>
        <w:t>，</w:t>
      </w:r>
      <w:r>
        <w:rPr>
          <w:rFonts w:hint="default" w:ascii="宋体" w:hAnsi="宋体"/>
          <w:szCs w:val="28"/>
          <w:lang w:val="en-US" w:eastAsia="zh-CN"/>
        </w:rPr>
        <w:t>遇到大的灾害</w:t>
      </w:r>
      <w:r>
        <w:rPr>
          <w:rFonts w:hint="eastAsia" w:ascii="宋体" w:hAnsi="宋体"/>
          <w:szCs w:val="28"/>
          <w:lang w:val="en-US" w:eastAsia="zh-CN"/>
        </w:rPr>
        <w:t>，</w:t>
      </w:r>
      <w:r>
        <w:rPr>
          <w:rFonts w:hint="default" w:ascii="宋体" w:hAnsi="宋体"/>
          <w:szCs w:val="28"/>
          <w:lang w:val="en-US" w:eastAsia="zh-CN"/>
        </w:rPr>
        <w:t>就很容易垮掉。</w:t>
      </w:r>
    </w:p>
    <w:p w14:paraId="71631EA6">
      <w:pPr>
        <w:pStyle w:val="5"/>
        <w:rPr>
          <w:rFonts w:hint="eastAsia" w:ascii="Times New Roman" w:hAnsi="Times New Roman"/>
          <w:lang w:val="en-US" w:eastAsia="zh-CN"/>
        </w:rPr>
      </w:pPr>
      <w:r>
        <w:rPr>
          <w:rFonts w:ascii="Times New Roman" w:hAnsi="Times New Roman"/>
        </w:rPr>
        <w:t>2.2.</w:t>
      </w:r>
      <w:r>
        <w:rPr>
          <w:rFonts w:hint="eastAsia" w:ascii="Times New Roman" w:hAnsi="Times New Roman"/>
        </w:rPr>
        <w:t>2</w:t>
      </w:r>
      <w:r>
        <w:rPr>
          <w:rFonts w:ascii="Times New Roman" w:hAnsi="Times New Roman"/>
        </w:rPr>
        <w:t>.</w:t>
      </w:r>
      <w:r>
        <w:rPr>
          <w:rFonts w:hint="eastAsia" w:ascii="Times New Roman" w:hAnsi="Times New Roman"/>
          <w:lang w:val="en-US" w:eastAsia="zh-CN"/>
        </w:rPr>
        <w:t>2</w:t>
      </w:r>
      <w:r>
        <w:rPr>
          <w:rFonts w:ascii="Times New Roman" w:hAnsi="Times New Roman"/>
        </w:rPr>
        <w:t xml:space="preserve"> 发展</w:t>
      </w:r>
      <w:r>
        <w:rPr>
          <w:rFonts w:hint="eastAsia" w:ascii="Times New Roman" w:hAnsi="Times New Roman"/>
          <w:lang w:val="en-US" w:eastAsia="zh-CN"/>
        </w:rPr>
        <w:t>方向</w:t>
      </w:r>
    </w:p>
    <w:p w14:paraId="16AD94BF">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cs="宋体"/>
          <w:sz w:val="28"/>
          <w:szCs w:val="28"/>
          <w:lang w:val="en-US" w:eastAsia="zh-CN"/>
        </w:rPr>
        <w:t>1.</w:t>
      </w:r>
      <w:r>
        <w:rPr>
          <w:rFonts w:hint="eastAsia" w:ascii="宋体" w:hAnsi="宋体" w:eastAsia="宋体" w:cs="宋体"/>
          <w:sz w:val="28"/>
          <w:szCs w:val="28"/>
          <w:lang w:val="en-US" w:eastAsia="zh-CN"/>
        </w:rPr>
        <w:t>技术支撑与品种优化</w:t>
      </w:r>
    </w:p>
    <w:p w14:paraId="64259781">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嘉荫县将紧抓技术关键，通过开展水产技术指导服务、推广</w:t>
      </w:r>
      <w:r>
        <w:rPr>
          <w:rFonts w:hint="eastAsia" w:ascii="宋体" w:hAnsi="宋体" w:cs="宋体"/>
          <w:sz w:val="28"/>
          <w:szCs w:val="28"/>
          <w:lang w:val="en-US" w:eastAsia="zh-CN"/>
        </w:rPr>
        <w:t>生态</w:t>
      </w:r>
      <w:r>
        <w:rPr>
          <w:rFonts w:hint="eastAsia" w:ascii="宋体" w:hAnsi="宋体" w:eastAsia="宋体" w:cs="宋体"/>
          <w:sz w:val="28"/>
          <w:szCs w:val="28"/>
          <w:lang w:val="en-US" w:eastAsia="zh-CN"/>
        </w:rPr>
        <w:t>养殖和鱼病防治技术，以及组织技术培训活动，为冷水鱼产业发展提供硬支撑。同时，调优品种结构，在稳产鲤、鲢、鳙等传统品种的基础上，重点推广细鳞鱼、柳根鱼、鳜等名特优水产品养殖，并引进优质鱼苗，提升产业竞争力。</w:t>
      </w:r>
    </w:p>
    <w:p w14:paraId="4DA56656">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cs="宋体"/>
          <w:sz w:val="28"/>
          <w:szCs w:val="28"/>
          <w:lang w:val="en-US" w:eastAsia="zh-CN"/>
        </w:rPr>
        <w:t>2.</w:t>
      </w:r>
      <w:r>
        <w:rPr>
          <w:rFonts w:hint="eastAsia" w:ascii="宋体" w:hAnsi="宋体" w:eastAsia="宋体" w:cs="宋体"/>
          <w:sz w:val="28"/>
          <w:szCs w:val="28"/>
          <w:lang w:val="en-US" w:eastAsia="zh-CN"/>
        </w:rPr>
        <w:t>示范基地建设</w:t>
      </w:r>
    </w:p>
    <w:p w14:paraId="421622CE">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通过打造青山乡冷水养殖示范基地，推广瘦身鱼养殖等高效模式，扩大冷水鱼养殖规模。如青山乡以党建为引领，通过“党组织+合作社+农户”机制，发展冷水鱼养殖，并探索鱼产品深加工、休闲渔业等业态，形成</w:t>
      </w:r>
      <w:r>
        <w:rPr>
          <w:rFonts w:hint="eastAsia" w:ascii="宋体" w:hAnsi="宋体" w:cs="宋体"/>
          <w:sz w:val="28"/>
          <w:szCs w:val="28"/>
          <w:lang w:val="en-US" w:eastAsia="zh-CN"/>
        </w:rPr>
        <w:t>综合型</w:t>
      </w:r>
      <w:r>
        <w:rPr>
          <w:rFonts w:hint="eastAsia" w:ascii="宋体" w:hAnsi="宋体" w:eastAsia="宋体" w:cs="宋体"/>
          <w:sz w:val="28"/>
          <w:szCs w:val="28"/>
          <w:lang w:val="en-US" w:eastAsia="zh-CN"/>
        </w:rPr>
        <w:t>产业格局。</w:t>
      </w:r>
    </w:p>
    <w:p w14:paraId="5AC8DCDE">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cs="宋体"/>
          <w:sz w:val="28"/>
          <w:szCs w:val="28"/>
          <w:lang w:val="en-US" w:eastAsia="zh-CN"/>
        </w:rPr>
        <w:t>3.</w:t>
      </w:r>
      <w:r>
        <w:rPr>
          <w:rFonts w:hint="eastAsia" w:ascii="宋体" w:hAnsi="宋体" w:eastAsia="宋体" w:cs="宋体"/>
          <w:sz w:val="28"/>
          <w:szCs w:val="28"/>
          <w:lang w:val="en-US" w:eastAsia="zh-CN"/>
        </w:rPr>
        <w:t>产业融合与品牌打造</w:t>
      </w:r>
    </w:p>
    <w:p w14:paraId="17097424">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依托生态优势，嘉荫县将冷水鱼产业与乡村振兴紧密结合，通过“党建红”引领“产业兴”，延伸产业链条，提升产业附加值。发展现代农业，推动产业升级</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继续巩固农业基础地位，大力发展现代农业。如深入推进农业科技创新，提高农业机械化、智能化水平；推进农产品精深加工，延伸农业产业链，提高农产品附加值；加强农产品品牌建设，提升“两品一标”农产品知名度和市场竞争力等。</w:t>
      </w:r>
    </w:p>
    <w:p w14:paraId="3D841C42">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kern w:val="2"/>
          <w:sz w:val="28"/>
          <w:szCs w:val="28"/>
          <w:lang w:val="en-US" w:eastAsia="zh-CN" w:bidi="ar-SA"/>
        </w:rPr>
        <w:t>4.</w:t>
      </w:r>
      <w:r>
        <w:rPr>
          <w:rFonts w:hint="eastAsia" w:ascii="宋体" w:hAnsi="宋体" w:eastAsia="宋体" w:cs="宋体"/>
          <w:sz w:val="28"/>
          <w:szCs w:val="28"/>
          <w:lang w:val="en-US" w:eastAsia="zh-CN"/>
        </w:rPr>
        <w:t>培育新兴产业，激发经济活力</w:t>
      </w:r>
    </w:p>
    <w:p w14:paraId="096B825E">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积极培育和发展数字经济、生物经济、冰雪经济等新兴产业。例如，利用当地资源和产业基础，发展冰雪旅游、冰雪运动等产业，打造冰雪经济实践地；推动数字技术与传统产业融合，提升产业数字化水平。</w:t>
      </w:r>
    </w:p>
    <w:p w14:paraId="3DC2C393">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kern w:val="2"/>
          <w:sz w:val="28"/>
          <w:szCs w:val="28"/>
          <w:lang w:val="en-US" w:eastAsia="zh-CN" w:bidi="ar-SA"/>
        </w:rPr>
        <w:t>5.</w:t>
      </w:r>
      <w:r>
        <w:rPr>
          <w:rFonts w:hint="eastAsia" w:ascii="宋体" w:hAnsi="宋体" w:eastAsia="宋体" w:cs="宋体"/>
          <w:sz w:val="28"/>
          <w:szCs w:val="28"/>
          <w:lang w:val="en-US" w:eastAsia="zh-CN"/>
        </w:rPr>
        <w:t>推动绿色发展，加强生态保护</w:t>
      </w:r>
    </w:p>
    <w:p w14:paraId="788F6001">
      <w:pPr>
        <w:numPr>
          <w:ilvl w:val="0"/>
          <w:numId w:val="0"/>
        </w:numPr>
        <w:spacing w:line="360" w:lineRule="auto"/>
        <w:ind w:firstLine="560" w:firstLineChars="200"/>
        <w:jc w:val="both"/>
        <w:rPr>
          <w:rFonts w:hint="eastAsia"/>
          <w:lang w:val="en-US" w:eastAsia="zh-CN"/>
        </w:rPr>
      </w:pPr>
      <w:r>
        <w:rPr>
          <w:rFonts w:hint="eastAsia" w:ascii="宋体" w:hAnsi="宋体" w:eastAsia="宋体" w:cs="宋体"/>
          <w:sz w:val="28"/>
          <w:szCs w:val="28"/>
          <w:lang w:val="en-US" w:eastAsia="zh-CN"/>
        </w:rPr>
        <w:t>在经济发展过程中，注重生态环境保护，推动绿色发展。发展绿色食品产业、新能源产业等，实现经济发展与生态保护良性互动，促进可持续发展。</w:t>
      </w:r>
    </w:p>
    <w:p w14:paraId="3F9A0F96">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cs="宋体"/>
          <w:sz w:val="28"/>
          <w:szCs w:val="28"/>
          <w:lang w:val="en-US" w:eastAsia="zh-CN"/>
        </w:rPr>
        <w:t>6.</w:t>
      </w:r>
      <w:r>
        <w:rPr>
          <w:rFonts w:hint="eastAsia" w:ascii="宋体" w:hAnsi="宋体" w:eastAsia="宋体" w:cs="宋体"/>
          <w:sz w:val="28"/>
          <w:szCs w:val="28"/>
          <w:lang w:val="en-US" w:eastAsia="zh-CN"/>
        </w:rPr>
        <w:t>政策与资金保障</w:t>
      </w:r>
    </w:p>
    <w:p w14:paraId="1CB270BB">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嘉荫县积极争取上级政策支持，并加强预算绩效管理，确保资金使用规范高效。此外，优化养殖布局，明确养殖区、限养区和禁养区范围，为产业绿色可持续发展提供依据。</w:t>
      </w:r>
    </w:p>
    <w:p w14:paraId="55FC7803">
      <w:pPr>
        <w:pStyle w:val="4"/>
        <w:rPr>
          <w:rFonts w:ascii="Times New Roman" w:hAnsi="宋体"/>
        </w:rPr>
      </w:pPr>
      <w:bookmarkStart w:id="47" w:name="_Toc11168"/>
      <w:r>
        <w:rPr>
          <w:rFonts w:ascii="Times New Roman" w:hAnsi="Times New Roman"/>
        </w:rPr>
        <w:t xml:space="preserve">2.2.3 </w:t>
      </w:r>
      <w:r>
        <w:rPr>
          <w:rFonts w:ascii="Times New Roman" w:hAnsi="宋体"/>
        </w:rPr>
        <w:t>水产养殖前景预测</w:t>
      </w:r>
      <w:bookmarkEnd w:id="47"/>
    </w:p>
    <w:p w14:paraId="1AE39391">
      <w:pPr>
        <w:numPr>
          <w:ilvl w:val="0"/>
          <w:numId w:val="0"/>
        </w:numPr>
        <w:spacing w:line="360" w:lineRule="auto"/>
        <w:ind w:firstLine="560" w:firstLineChars="200"/>
        <w:jc w:val="both"/>
        <w:rPr>
          <w:rFonts w:hint="default" w:ascii="宋体" w:hAnsi="宋体" w:eastAsia="宋体" w:cs="宋体"/>
          <w:sz w:val="28"/>
          <w:szCs w:val="28"/>
          <w:lang w:val="en-US" w:eastAsia="zh-CN"/>
        </w:rPr>
      </w:pPr>
      <w:r>
        <w:rPr>
          <w:rFonts w:hint="eastAsia" w:ascii="宋体" w:hAnsi="宋体" w:cs="宋体"/>
          <w:sz w:val="28"/>
          <w:szCs w:val="28"/>
          <w:lang w:val="en-US" w:eastAsia="zh-CN"/>
        </w:rPr>
        <w:t>1.</w:t>
      </w:r>
      <w:r>
        <w:rPr>
          <w:rFonts w:hint="default" w:ascii="宋体" w:hAnsi="宋体" w:eastAsia="宋体" w:cs="宋体"/>
          <w:sz w:val="28"/>
          <w:szCs w:val="28"/>
          <w:lang w:val="en-US" w:eastAsia="zh-CN"/>
        </w:rPr>
        <w:t>技术升级与品种优化‌</w:t>
      </w:r>
    </w:p>
    <w:p w14:paraId="510869CF">
      <w:pPr>
        <w:numPr>
          <w:ilvl w:val="0"/>
          <w:numId w:val="0"/>
        </w:numPr>
        <w:spacing w:line="360" w:lineRule="auto"/>
        <w:ind w:firstLine="560" w:firstLineChars="200"/>
        <w:jc w:val="both"/>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嘉荫县通过推广高密度养殖、混养及鱼病防治技术，并引进鳜鱼、细鳞鱼等名特优品种，持续提升产业竞争力</w:t>
      </w:r>
      <w:r>
        <w:rPr>
          <w:rFonts w:hint="eastAsia" w:ascii="宋体" w:hAnsi="宋体" w:cs="宋体"/>
          <w:sz w:val="28"/>
          <w:szCs w:val="28"/>
          <w:lang w:val="en-US" w:eastAsia="zh-CN"/>
        </w:rPr>
        <w:t>，</w:t>
      </w:r>
      <w:r>
        <w:rPr>
          <w:rFonts w:hint="default" w:ascii="宋体" w:hAnsi="宋体" w:eastAsia="宋体" w:cs="宋体"/>
          <w:sz w:val="28"/>
          <w:szCs w:val="28"/>
          <w:lang w:val="en-US" w:eastAsia="zh-CN"/>
        </w:rPr>
        <w:t>为规模化发展奠定基础。</w:t>
      </w:r>
    </w:p>
    <w:p w14:paraId="333FCEB8">
      <w:pPr>
        <w:numPr>
          <w:ilvl w:val="0"/>
          <w:numId w:val="0"/>
        </w:numPr>
        <w:spacing w:line="360" w:lineRule="auto"/>
        <w:ind w:firstLine="560" w:firstLineChars="200"/>
        <w:jc w:val="both"/>
        <w:rPr>
          <w:rFonts w:hint="default" w:ascii="宋体" w:hAnsi="宋体" w:eastAsia="宋体" w:cs="宋体"/>
          <w:sz w:val="28"/>
          <w:szCs w:val="28"/>
          <w:lang w:val="en-US" w:eastAsia="zh-CN"/>
        </w:rPr>
      </w:pPr>
      <w:r>
        <w:rPr>
          <w:rFonts w:hint="eastAsia" w:ascii="宋体" w:hAnsi="宋体" w:cs="宋体"/>
          <w:sz w:val="28"/>
          <w:szCs w:val="28"/>
          <w:lang w:val="en-US" w:eastAsia="zh-CN"/>
        </w:rPr>
        <w:t>2.</w:t>
      </w:r>
      <w:r>
        <w:rPr>
          <w:rFonts w:hint="default" w:ascii="宋体" w:hAnsi="宋体" w:eastAsia="宋体" w:cs="宋体"/>
          <w:sz w:val="28"/>
          <w:szCs w:val="28"/>
          <w:lang w:val="en-US" w:eastAsia="zh-CN"/>
        </w:rPr>
        <w:t>全产业链建设‌</w:t>
      </w:r>
    </w:p>
    <w:p w14:paraId="0D446FB4">
      <w:pPr>
        <w:numPr>
          <w:ilvl w:val="0"/>
          <w:numId w:val="0"/>
        </w:numPr>
        <w:spacing w:line="360" w:lineRule="auto"/>
        <w:ind w:firstLine="560" w:firstLineChars="200"/>
        <w:jc w:val="both"/>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以“育、养、加、销”为核心，推进鱼池改扩建、室内养殖池建设，破解冬季养殖瓶颈，形成“全季节设施渔业”。同时发展鱼产品深加工、休闲渔业，如打造“冷泉鱼”馆特色餐厅，延伸产业链附加值。</w:t>
      </w:r>
    </w:p>
    <w:p w14:paraId="2DBA7D66">
      <w:pPr>
        <w:numPr>
          <w:ilvl w:val="0"/>
          <w:numId w:val="0"/>
        </w:numPr>
        <w:spacing w:line="360" w:lineRule="auto"/>
        <w:ind w:firstLine="560" w:firstLineChars="200"/>
        <w:jc w:val="both"/>
        <w:rPr>
          <w:rFonts w:hint="default" w:ascii="宋体" w:hAnsi="宋体" w:eastAsia="宋体" w:cs="宋体"/>
          <w:sz w:val="28"/>
          <w:szCs w:val="28"/>
          <w:lang w:val="en-US" w:eastAsia="zh-CN"/>
        </w:rPr>
      </w:pPr>
      <w:r>
        <w:rPr>
          <w:rFonts w:hint="eastAsia" w:ascii="宋体" w:hAnsi="宋体" w:cs="宋体"/>
          <w:sz w:val="28"/>
          <w:szCs w:val="28"/>
          <w:lang w:val="en-US" w:eastAsia="zh-CN"/>
        </w:rPr>
        <w:t>3.</w:t>
      </w:r>
      <w:r>
        <w:rPr>
          <w:rFonts w:hint="default" w:ascii="宋体" w:hAnsi="宋体" w:eastAsia="宋体" w:cs="宋体"/>
          <w:sz w:val="28"/>
          <w:szCs w:val="28"/>
          <w:lang w:val="en-US" w:eastAsia="zh-CN"/>
        </w:rPr>
        <w:t>品牌与市场拓展‌</w:t>
      </w:r>
    </w:p>
    <w:p w14:paraId="50C7F436">
      <w:pPr>
        <w:numPr>
          <w:ilvl w:val="0"/>
          <w:numId w:val="0"/>
        </w:numPr>
        <w:spacing w:line="360" w:lineRule="auto"/>
        <w:ind w:firstLine="560" w:firstLineChars="200"/>
        <w:jc w:val="both"/>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通过“冬捕季”等活动提升知名度，并与“龙乡嘉品”展销区联动，推动农文旅融合。未来可进一步拓展冷链加工、电商渠道，增强市场渗透力。</w:t>
      </w:r>
    </w:p>
    <w:p w14:paraId="7DBDAE2D">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cs="宋体"/>
          <w:sz w:val="28"/>
          <w:szCs w:val="28"/>
          <w:lang w:val="en-US" w:eastAsia="zh-CN"/>
        </w:rPr>
        <w:t>4.</w:t>
      </w:r>
      <w:r>
        <w:rPr>
          <w:rFonts w:hint="eastAsia" w:ascii="宋体" w:hAnsi="宋体" w:eastAsia="宋体" w:cs="宋体"/>
          <w:sz w:val="28"/>
          <w:szCs w:val="28"/>
          <w:lang w:val="en-US" w:eastAsia="zh-CN"/>
        </w:rPr>
        <w:t>渔业发展趋势</w:t>
      </w:r>
    </w:p>
    <w:p w14:paraId="436FEA2F">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从渔业的发展趋势来看：一是产品供给由数量型向质量型转变，更加关注产品质量安全，渔业标准化、信息化、精准化、组织化程度不断提高，市场准入机制与可追溯体系更加完善；二是生产方式由粗放型向集约型转变，更加注重养殖环境的保护，以氮磷等环境因子为基本评价指标的养殖容量评估体系日益完善，监管措施稳步强化；三是市场需求由大众化向差异化转变，更加关注产品的个性化需求，随着消费者经济实力的增强，名优特色高质产品，方便快捷即食型、半成品小包装类产品市场需求更加强劲；四是经营业态由生产</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消费</w:t>
      </w:r>
      <w:r>
        <w:rPr>
          <w:rFonts w:hint="eastAsia" w:ascii="宋体" w:hAnsi="宋体" w:cs="宋体"/>
          <w:sz w:val="28"/>
          <w:szCs w:val="28"/>
          <w:lang w:val="en-US" w:eastAsia="zh-CN"/>
        </w:rPr>
        <w:t>型向</w:t>
      </w:r>
      <w:r>
        <w:rPr>
          <w:rFonts w:hint="eastAsia" w:ascii="宋体" w:hAnsi="宋体" w:eastAsia="宋体" w:cs="宋体"/>
          <w:sz w:val="28"/>
          <w:szCs w:val="28"/>
          <w:lang w:val="en-US" w:eastAsia="zh-CN"/>
        </w:rPr>
        <w:t>生产</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体验</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消费型转变，更加关注产品的文化需求，借助“互联网+”整合线上线下资源，促使渔业新业态不断涌现。</w:t>
      </w:r>
    </w:p>
    <w:p w14:paraId="6521D2BB">
      <w:pPr>
        <w:pStyle w:val="3"/>
        <w:rPr>
          <w:rFonts w:hint="default" w:ascii="Times New Roman" w:hAnsi="Times New Roman"/>
          <w:lang w:val="en-US" w:eastAsia="zh-CN"/>
        </w:rPr>
      </w:pPr>
      <w:bookmarkStart w:id="48" w:name="_Toc1753"/>
      <w:r>
        <w:rPr>
          <w:rFonts w:hint="default" w:ascii="Times New Roman" w:hAnsi="Times New Roman"/>
          <w:lang w:val="en-US" w:eastAsia="zh-CN"/>
        </w:rPr>
        <w:t>2.3 养殖水域滩涂开发总体思路</w:t>
      </w:r>
      <w:bookmarkEnd w:id="48"/>
    </w:p>
    <w:p w14:paraId="60B7E3C4">
      <w:pPr>
        <w:pStyle w:val="4"/>
        <w:rPr>
          <w:rFonts w:hint="default" w:ascii="Times New Roman" w:hAnsi="宋体"/>
          <w:lang w:val="en-US" w:eastAsia="zh-CN"/>
        </w:rPr>
      </w:pPr>
      <w:r>
        <w:rPr>
          <w:rFonts w:hint="default" w:ascii="Times New Roman" w:hAnsi="宋体"/>
          <w:lang w:val="en-US" w:eastAsia="zh-CN"/>
        </w:rPr>
        <w:t>2.3.1</w:t>
      </w:r>
      <w:r>
        <w:rPr>
          <w:rFonts w:hint="eastAsia" w:hAnsi="宋体"/>
          <w:lang w:val="en-US" w:eastAsia="zh-CN"/>
        </w:rPr>
        <w:t xml:space="preserve"> </w:t>
      </w:r>
      <w:r>
        <w:rPr>
          <w:rFonts w:hint="default" w:ascii="Times New Roman" w:hAnsi="宋体"/>
          <w:lang w:val="en-US" w:eastAsia="zh-CN"/>
        </w:rPr>
        <w:t>总体目标</w:t>
      </w:r>
    </w:p>
    <w:p w14:paraId="7734C145">
      <w:pPr>
        <w:ind w:firstLine="565" w:firstLineChars="202"/>
        <w:jc w:val="both"/>
        <w:rPr>
          <w:rFonts w:hint="default" w:ascii="宋体" w:hAnsi="宋体"/>
          <w:szCs w:val="28"/>
          <w:lang w:val="en-US" w:eastAsia="zh-CN"/>
        </w:rPr>
      </w:pPr>
      <w:r>
        <w:rPr>
          <w:rFonts w:hint="default" w:ascii="宋体" w:hAnsi="宋体"/>
          <w:szCs w:val="28"/>
          <w:lang w:val="en-US" w:eastAsia="zh-CN"/>
        </w:rPr>
        <w:t>以“创新、协调、绿色、开放、共享”五大发展理念为指引，紧密结合</w:t>
      </w:r>
      <w:r>
        <w:rPr>
          <w:rFonts w:hint="eastAsia" w:ascii="宋体" w:hAnsi="宋体"/>
          <w:szCs w:val="28"/>
          <w:lang w:val="en-US" w:eastAsia="zh-CN"/>
        </w:rPr>
        <w:t>嘉荫县</w:t>
      </w:r>
      <w:r>
        <w:rPr>
          <w:rFonts w:hint="default" w:ascii="宋体" w:hAnsi="宋体"/>
          <w:szCs w:val="28"/>
          <w:lang w:val="en-US" w:eastAsia="zh-CN"/>
        </w:rPr>
        <w:t>的经济发展需求与生态保护要求，对水域滩涂资源禀赋及环境承载力展开科学评估。在此基础上，科学划分各类养殖功能区，合理布局水产养殖生产活动，稳固基本养殖水域，切实保障渔民的合法权益，全力保护水域生态环境，确保有效供给安全、环境生态安全以及产品质量安全，达成提质增效、减量增收、绿色发展、渔民富裕的发展总目标。</w:t>
      </w:r>
    </w:p>
    <w:p w14:paraId="5523F8BC">
      <w:pPr>
        <w:pStyle w:val="4"/>
        <w:rPr>
          <w:rFonts w:hint="default" w:ascii="Times New Roman" w:hAnsi="宋体"/>
          <w:lang w:val="en-US" w:eastAsia="zh-CN"/>
        </w:rPr>
      </w:pPr>
      <w:r>
        <w:rPr>
          <w:rFonts w:hint="default" w:ascii="Times New Roman" w:hAnsi="宋体"/>
          <w:lang w:val="en-US" w:eastAsia="zh-CN"/>
        </w:rPr>
        <w:t>2.3.2</w:t>
      </w:r>
      <w:r>
        <w:rPr>
          <w:rFonts w:hint="eastAsia" w:hAnsi="宋体"/>
          <w:lang w:val="en-US" w:eastAsia="zh-CN"/>
        </w:rPr>
        <w:t xml:space="preserve"> </w:t>
      </w:r>
      <w:r>
        <w:rPr>
          <w:rFonts w:hint="default" w:ascii="Times New Roman" w:hAnsi="宋体"/>
          <w:lang w:val="en-US" w:eastAsia="zh-CN"/>
        </w:rPr>
        <w:t>保障养殖权益</w:t>
      </w:r>
    </w:p>
    <w:p w14:paraId="569D4FC8">
      <w:pPr>
        <w:ind w:firstLine="565" w:firstLineChars="202"/>
        <w:jc w:val="both"/>
        <w:rPr>
          <w:rFonts w:hint="default" w:ascii="宋体" w:hAnsi="宋体"/>
          <w:szCs w:val="28"/>
          <w:lang w:val="en-US" w:eastAsia="zh-CN"/>
        </w:rPr>
      </w:pPr>
      <w:r>
        <w:rPr>
          <w:rFonts w:hint="default" w:ascii="宋体" w:hAnsi="宋体"/>
          <w:szCs w:val="28"/>
          <w:lang w:val="en-US" w:eastAsia="zh-CN"/>
        </w:rPr>
        <w:t>1.稳定基本养殖水域：明确并保障渔民正常生产生活所需的养殖水域，依法对商品鱼基地等重要养殖水域予以重点保护，确保养殖水域的稳定性和可持续利用性。</w:t>
      </w:r>
    </w:p>
    <w:p w14:paraId="22975631">
      <w:pPr>
        <w:ind w:firstLine="565" w:firstLineChars="202"/>
        <w:jc w:val="both"/>
        <w:rPr>
          <w:rFonts w:hint="default" w:ascii="宋体" w:hAnsi="宋体"/>
          <w:szCs w:val="28"/>
          <w:lang w:val="en-US" w:eastAsia="zh-CN"/>
        </w:rPr>
      </w:pPr>
      <w:r>
        <w:rPr>
          <w:rFonts w:hint="default" w:ascii="宋体" w:hAnsi="宋体"/>
          <w:szCs w:val="28"/>
          <w:lang w:val="en-US" w:eastAsia="zh-CN"/>
        </w:rPr>
        <w:t>2.完善制度：进一步健全和完善以养殖证为核心的养殖管理制度，加强水域滩涂养殖登记发证工作，依法确认渔民使用水域滩涂从事水产养殖的合法权利，为渔业养殖生产提供坚实的法律保障。</w:t>
      </w:r>
    </w:p>
    <w:p w14:paraId="721C284A">
      <w:pPr>
        <w:pStyle w:val="4"/>
        <w:rPr>
          <w:rFonts w:hint="default" w:ascii="Times New Roman" w:hAnsi="宋体"/>
          <w:lang w:val="en-US" w:eastAsia="zh-CN"/>
        </w:rPr>
      </w:pPr>
      <w:r>
        <w:rPr>
          <w:rFonts w:hint="default" w:ascii="Times New Roman" w:hAnsi="宋体"/>
          <w:lang w:val="en-US" w:eastAsia="zh-CN"/>
        </w:rPr>
        <w:t>2.3.3</w:t>
      </w:r>
      <w:r>
        <w:rPr>
          <w:rFonts w:hint="eastAsia" w:hAnsi="宋体"/>
          <w:lang w:val="en-US" w:eastAsia="zh-CN"/>
        </w:rPr>
        <w:t xml:space="preserve"> </w:t>
      </w:r>
      <w:r>
        <w:rPr>
          <w:rFonts w:hint="default" w:ascii="Times New Roman" w:hAnsi="宋体"/>
          <w:lang w:val="en-US" w:eastAsia="zh-CN"/>
        </w:rPr>
        <w:t>优化产业布局</w:t>
      </w:r>
    </w:p>
    <w:p w14:paraId="7D412EB7">
      <w:pPr>
        <w:ind w:firstLine="565" w:firstLineChars="202"/>
        <w:jc w:val="both"/>
        <w:rPr>
          <w:rFonts w:hint="default" w:ascii="宋体" w:hAnsi="宋体"/>
          <w:szCs w:val="28"/>
          <w:lang w:val="en-US" w:eastAsia="zh-CN"/>
        </w:rPr>
      </w:pPr>
      <w:r>
        <w:rPr>
          <w:rFonts w:hint="default" w:ascii="宋体" w:hAnsi="宋体"/>
          <w:szCs w:val="28"/>
          <w:lang w:val="en-US" w:eastAsia="zh-CN"/>
        </w:rPr>
        <w:t>1.调整水产养殖布局：综合考量</w:t>
      </w:r>
      <w:r>
        <w:rPr>
          <w:rFonts w:hint="eastAsia" w:ascii="宋体" w:hAnsi="宋体"/>
          <w:szCs w:val="28"/>
          <w:lang w:val="en-US" w:eastAsia="zh-CN"/>
        </w:rPr>
        <w:t>嘉荫</w:t>
      </w:r>
      <w:r>
        <w:rPr>
          <w:rFonts w:hint="default" w:ascii="宋体" w:hAnsi="宋体"/>
          <w:szCs w:val="28"/>
          <w:lang w:val="en-US" w:eastAsia="zh-CN"/>
        </w:rPr>
        <w:t>县的地缘优势、资源特点以及市场需求，合理调整和规划优质水产养殖（种苗）区的布局。例如，可在水资源丰富、水质优良的区域，重点发展特色水产种苗培育产业；在交通便利的地区，布局商品鱼养殖基地，以降低运输成本，提高市场竞争力，促进水产养殖行业的持续健康发展。</w:t>
      </w:r>
    </w:p>
    <w:p w14:paraId="584C7F77">
      <w:pPr>
        <w:ind w:firstLine="565" w:firstLineChars="202"/>
        <w:jc w:val="both"/>
        <w:rPr>
          <w:rFonts w:hint="default" w:ascii="宋体" w:hAnsi="宋体"/>
          <w:szCs w:val="28"/>
          <w:lang w:val="en-US" w:eastAsia="zh-CN"/>
        </w:rPr>
      </w:pPr>
      <w:r>
        <w:rPr>
          <w:rFonts w:hint="default" w:ascii="宋体" w:hAnsi="宋体"/>
          <w:szCs w:val="28"/>
          <w:lang w:val="en-US" w:eastAsia="zh-CN"/>
        </w:rPr>
        <w:t>2.推动产业多元化发展：在稳定传统池塘养殖的基础上，积极发展生态养殖、设施养殖，并引导设施养殖向工厂化循环水养殖方向转型升级。大力推广稻田综合种养模式，充分利用</w:t>
      </w:r>
      <w:r>
        <w:rPr>
          <w:rFonts w:hint="eastAsia" w:ascii="宋体" w:hAnsi="宋体"/>
          <w:szCs w:val="28"/>
          <w:lang w:val="en-US" w:eastAsia="zh-CN"/>
        </w:rPr>
        <w:t>嘉荫县近万亩非基本农田的水田</w:t>
      </w:r>
      <w:r>
        <w:rPr>
          <w:rFonts w:hint="default" w:ascii="宋体" w:hAnsi="宋体"/>
          <w:szCs w:val="28"/>
          <w:lang w:val="en-US" w:eastAsia="zh-CN"/>
        </w:rPr>
        <w:t>空间，实现稻鱼互利共生，挖掘闲置土地资源的潜力，形成多元化的水产养殖产业格局。</w:t>
      </w:r>
    </w:p>
    <w:p w14:paraId="1439283A">
      <w:pPr>
        <w:pStyle w:val="4"/>
        <w:rPr>
          <w:rFonts w:hint="default" w:ascii="Times New Roman" w:hAnsi="宋体"/>
          <w:lang w:val="en-US" w:eastAsia="zh-CN"/>
        </w:rPr>
      </w:pPr>
      <w:r>
        <w:rPr>
          <w:rFonts w:hint="default" w:ascii="Times New Roman" w:hAnsi="宋体"/>
          <w:lang w:val="en-US" w:eastAsia="zh-CN"/>
        </w:rPr>
        <w:t>2.3.4</w:t>
      </w:r>
      <w:r>
        <w:rPr>
          <w:rFonts w:hint="eastAsia" w:hAnsi="宋体"/>
          <w:lang w:val="en-US" w:eastAsia="zh-CN"/>
        </w:rPr>
        <w:t xml:space="preserve"> </w:t>
      </w:r>
      <w:r>
        <w:rPr>
          <w:rFonts w:hint="default" w:ascii="Times New Roman" w:hAnsi="宋体"/>
          <w:lang w:val="en-US" w:eastAsia="zh-CN"/>
        </w:rPr>
        <w:t>加强生态环境保护</w:t>
      </w:r>
    </w:p>
    <w:p w14:paraId="4B1A329A">
      <w:pPr>
        <w:ind w:firstLine="565" w:firstLineChars="202"/>
        <w:jc w:val="both"/>
        <w:rPr>
          <w:rFonts w:hint="default" w:ascii="宋体" w:hAnsi="宋体"/>
          <w:szCs w:val="28"/>
          <w:lang w:val="en-US" w:eastAsia="zh-CN"/>
        </w:rPr>
      </w:pPr>
      <w:r>
        <w:rPr>
          <w:rFonts w:hint="default" w:ascii="宋体" w:hAnsi="宋体"/>
          <w:szCs w:val="28"/>
          <w:lang w:val="en-US" w:eastAsia="zh-CN"/>
        </w:rPr>
        <w:t>1.控制养殖规模与密度：依据水域滩涂的承载力评价结果，科学合理地控制养殖规模和密度，避免过度养殖导致水体富营养化、生态系统失衡等问题。推广生态养殖技术，如生物净化、立体养殖等，降低养殖对环境的负面影响。</w:t>
      </w:r>
    </w:p>
    <w:p w14:paraId="2549F91F">
      <w:pPr>
        <w:ind w:firstLine="565" w:firstLineChars="202"/>
        <w:jc w:val="both"/>
        <w:rPr>
          <w:rFonts w:hint="default" w:ascii="宋体" w:hAnsi="宋体"/>
          <w:szCs w:val="28"/>
          <w:lang w:val="en-US" w:eastAsia="zh-CN"/>
        </w:rPr>
      </w:pPr>
      <w:r>
        <w:rPr>
          <w:rFonts w:hint="default" w:ascii="宋体" w:hAnsi="宋体"/>
          <w:szCs w:val="28"/>
          <w:lang w:val="en-US" w:eastAsia="zh-CN"/>
        </w:rPr>
        <w:t>2.治理养殖污染：督促水产养殖生产者切实履行环境保护主体责任，积极推进集中连片老旧池塘的标准化改造工作。完善进排水分离设施，合理配备集中处理尾水的池塘及沟渠，严格执行国家水产养殖尾水排放相关标准。鼓励采用物理、化学、生物等多种先进技术手段，对养殖尾水进行有效处理，保护水域生态环境。</w:t>
      </w:r>
    </w:p>
    <w:p w14:paraId="62067E0D">
      <w:pPr>
        <w:ind w:firstLine="565" w:firstLineChars="202"/>
        <w:jc w:val="both"/>
        <w:rPr>
          <w:rFonts w:hint="default" w:ascii="宋体" w:hAnsi="宋体"/>
          <w:szCs w:val="28"/>
          <w:lang w:val="en-US" w:eastAsia="zh-CN"/>
        </w:rPr>
      </w:pPr>
      <w:r>
        <w:rPr>
          <w:rFonts w:hint="eastAsia" w:ascii="宋体" w:hAnsi="宋体"/>
          <w:szCs w:val="28"/>
          <w:lang w:val="en-US" w:eastAsia="zh-CN"/>
        </w:rPr>
        <w:t>3.做好建设项目环境影响审批工作：本规划养殖区划定不涉及国家公园、自然保护区、风景名胜区、世界文化和自然遗产地、海洋特别保护区、饮用水水源保护区等环境敏感区，依据《建设项目环境影响评价分类管理名录（2021年版）》，项目建设应严格按分类管理要求编制环境影响评价报告表或登记表。</w:t>
      </w:r>
    </w:p>
    <w:p w14:paraId="6A9ED629">
      <w:pPr>
        <w:pStyle w:val="4"/>
        <w:rPr>
          <w:rFonts w:hint="default" w:ascii="Times New Roman" w:hAnsi="宋体"/>
          <w:lang w:val="en-US" w:eastAsia="zh-CN"/>
        </w:rPr>
      </w:pPr>
      <w:r>
        <w:rPr>
          <w:rFonts w:hint="default" w:ascii="Times New Roman" w:hAnsi="宋体"/>
          <w:lang w:val="en-US" w:eastAsia="zh-CN"/>
        </w:rPr>
        <w:t>2.3.5</w:t>
      </w:r>
      <w:r>
        <w:rPr>
          <w:rFonts w:hint="eastAsia" w:hAnsi="宋体"/>
          <w:lang w:val="en-US" w:eastAsia="zh-CN"/>
        </w:rPr>
        <w:t xml:space="preserve"> </w:t>
      </w:r>
      <w:r>
        <w:rPr>
          <w:rFonts w:hint="default" w:ascii="Times New Roman" w:hAnsi="宋体"/>
          <w:lang w:val="en-US" w:eastAsia="zh-CN"/>
        </w:rPr>
        <w:t>科技支撑与创新驱动</w:t>
      </w:r>
    </w:p>
    <w:p w14:paraId="69E6A97F">
      <w:pPr>
        <w:ind w:firstLine="565" w:firstLineChars="202"/>
        <w:jc w:val="both"/>
        <w:rPr>
          <w:rFonts w:hint="default" w:ascii="宋体" w:hAnsi="宋体"/>
          <w:szCs w:val="28"/>
          <w:lang w:val="en-US" w:eastAsia="zh-CN"/>
        </w:rPr>
      </w:pPr>
      <w:r>
        <w:rPr>
          <w:rFonts w:hint="default" w:ascii="宋体" w:hAnsi="宋体"/>
          <w:szCs w:val="28"/>
          <w:lang w:val="en-US" w:eastAsia="zh-CN"/>
        </w:rPr>
        <w:t>1.推广先进养殖技术：积极引进和推广先进的水产养殖技术，如精准投喂技术、水质在线监测技术、智能化养殖设备等，提高养殖生产的科技含量和管理水平。加强与科研院校的合作，开展产学研联合攻关，解决养殖生产中的关键技术难题。</w:t>
      </w:r>
    </w:p>
    <w:p w14:paraId="4C6259FC">
      <w:pPr>
        <w:ind w:firstLine="565" w:firstLineChars="202"/>
        <w:jc w:val="both"/>
        <w:rPr>
          <w:rFonts w:hint="default" w:ascii="宋体" w:hAnsi="宋体"/>
          <w:szCs w:val="28"/>
          <w:lang w:val="en-US" w:eastAsia="zh-CN"/>
        </w:rPr>
      </w:pPr>
      <w:r>
        <w:rPr>
          <w:rFonts w:hint="default" w:ascii="宋体" w:hAnsi="宋体"/>
          <w:szCs w:val="28"/>
          <w:lang w:val="en-US" w:eastAsia="zh-CN"/>
        </w:rPr>
        <w:t>2.培育优良品种：加大对水产优良品种的培育和引进力度，优化养殖品种结构。结合</w:t>
      </w:r>
      <w:r>
        <w:rPr>
          <w:rFonts w:hint="eastAsia" w:ascii="宋体" w:hAnsi="宋体"/>
          <w:szCs w:val="28"/>
          <w:lang w:val="en-US" w:eastAsia="zh-CN"/>
        </w:rPr>
        <w:t>嘉荫</w:t>
      </w:r>
      <w:r>
        <w:rPr>
          <w:rFonts w:hint="default" w:ascii="宋体" w:hAnsi="宋体"/>
          <w:szCs w:val="28"/>
          <w:lang w:val="en-US" w:eastAsia="zh-CN"/>
        </w:rPr>
        <w:t>县的气候、水质等自然条件，筛选出适宜本地养殖的生长快、品质优、抗逆性强的品种，提高养殖产品的市场竞争力和经济效益。</w:t>
      </w:r>
    </w:p>
    <w:p w14:paraId="64EDA9A7">
      <w:pPr>
        <w:pStyle w:val="4"/>
        <w:rPr>
          <w:rFonts w:hint="default" w:ascii="Times New Roman" w:hAnsi="宋体"/>
          <w:lang w:val="en-US" w:eastAsia="zh-CN"/>
        </w:rPr>
      </w:pPr>
      <w:r>
        <w:rPr>
          <w:rFonts w:hint="default" w:ascii="Times New Roman" w:hAnsi="宋体"/>
          <w:lang w:val="en-US" w:eastAsia="zh-CN"/>
        </w:rPr>
        <w:t>2.3.6加强规划衔接与管理</w:t>
      </w:r>
    </w:p>
    <w:p w14:paraId="2D0964AA">
      <w:pPr>
        <w:ind w:firstLine="565" w:firstLineChars="202"/>
        <w:jc w:val="both"/>
        <w:rPr>
          <w:rFonts w:hint="default" w:ascii="宋体" w:hAnsi="宋体"/>
          <w:szCs w:val="28"/>
          <w:lang w:val="en-US" w:eastAsia="zh-CN"/>
        </w:rPr>
      </w:pPr>
      <w:r>
        <w:rPr>
          <w:rFonts w:hint="default" w:ascii="宋体" w:hAnsi="宋体"/>
          <w:szCs w:val="28"/>
          <w:lang w:val="en-US" w:eastAsia="zh-CN"/>
        </w:rPr>
        <w:t>1.规划衔接：将</w:t>
      </w:r>
      <w:r>
        <w:rPr>
          <w:rFonts w:hint="eastAsia" w:ascii="宋体" w:hAnsi="宋体"/>
          <w:szCs w:val="28"/>
          <w:lang w:val="en-US" w:eastAsia="zh-CN"/>
        </w:rPr>
        <w:t>嘉荫县</w:t>
      </w:r>
      <w:r>
        <w:rPr>
          <w:rFonts w:hint="default" w:ascii="宋体" w:hAnsi="宋体"/>
          <w:szCs w:val="28"/>
          <w:lang w:val="en-US" w:eastAsia="zh-CN"/>
        </w:rPr>
        <w:t>养殖水域滩涂规划置于区域整体空间布局的框架下进行综合考虑，确保与</w:t>
      </w:r>
      <w:r>
        <w:rPr>
          <w:rFonts w:hint="eastAsia" w:ascii="宋体" w:hAnsi="宋体"/>
          <w:szCs w:val="28"/>
          <w:lang w:val="en-US" w:eastAsia="zh-CN"/>
        </w:rPr>
        <w:t>嘉荫县</w:t>
      </w:r>
      <w:r>
        <w:rPr>
          <w:rFonts w:hint="default" w:ascii="宋体" w:hAnsi="宋体"/>
          <w:szCs w:val="28"/>
          <w:lang w:val="en-US" w:eastAsia="zh-CN"/>
        </w:rPr>
        <w:t>的《</w:t>
      </w:r>
      <w:r>
        <w:rPr>
          <w:rFonts w:hint="eastAsia" w:ascii="宋体" w:hAnsi="宋体"/>
          <w:szCs w:val="28"/>
          <w:lang w:val="en-US" w:eastAsia="zh-CN"/>
        </w:rPr>
        <w:t>国土空间总体规划</w:t>
      </w:r>
      <w:r>
        <w:rPr>
          <w:rFonts w:hint="default" w:ascii="宋体" w:hAnsi="宋体"/>
          <w:szCs w:val="28"/>
          <w:lang w:val="en-US" w:eastAsia="zh-CN"/>
        </w:rPr>
        <w:t>》《生态环境保护规划》</w:t>
      </w:r>
      <w:r>
        <w:rPr>
          <w:rFonts w:hint="eastAsia" w:ascii="宋体" w:hAnsi="宋体"/>
          <w:szCs w:val="28"/>
          <w:lang w:val="en-US" w:eastAsia="zh-CN"/>
        </w:rPr>
        <w:t>《伊春市人民政府关于实施“三线一单”生态环境分区管控的意见》</w:t>
      </w:r>
      <w:r>
        <w:rPr>
          <w:rFonts w:hint="default" w:ascii="宋体" w:hAnsi="宋体"/>
          <w:szCs w:val="28"/>
          <w:lang w:val="en-US" w:eastAsia="zh-CN"/>
        </w:rPr>
        <w:t>等相协调，同时与城市建设、交通、旅游、环保等其他相关专项规划紧密衔接，避免出现规划冲突和矛盾，促进区域</w:t>
      </w:r>
      <w:r>
        <w:rPr>
          <w:rFonts w:hint="eastAsia" w:ascii="宋体" w:hAnsi="宋体"/>
          <w:szCs w:val="28"/>
          <w:lang w:val="en-US" w:eastAsia="zh-CN"/>
        </w:rPr>
        <w:t>经济</w:t>
      </w:r>
      <w:r>
        <w:rPr>
          <w:rFonts w:hint="default" w:ascii="宋体" w:hAnsi="宋体"/>
          <w:szCs w:val="28"/>
          <w:lang w:val="en-US" w:eastAsia="zh-CN"/>
        </w:rPr>
        <w:t>协调可持续发展。</w:t>
      </w:r>
    </w:p>
    <w:p w14:paraId="7ED33431">
      <w:pPr>
        <w:ind w:firstLine="565" w:firstLineChars="202"/>
        <w:jc w:val="both"/>
        <w:rPr>
          <w:rFonts w:hint="default" w:ascii="宋体" w:hAnsi="宋体"/>
          <w:szCs w:val="28"/>
          <w:lang w:val="en-US" w:eastAsia="zh-CN"/>
        </w:rPr>
        <w:sectPr>
          <w:pgSz w:w="11906" w:h="16838"/>
          <w:pgMar w:top="1531" w:right="1247" w:bottom="1417" w:left="1417" w:header="851" w:footer="992" w:gutter="0"/>
          <w:pgNumType w:fmt="decimal"/>
          <w:cols w:space="425" w:num="1"/>
          <w:rtlGutter w:val="0"/>
          <w:docGrid w:type="lines" w:linePitch="312" w:charSpace="0"/>
        </w:sectPr>
      </w:pPr>
      <w:r>
        <w:rPr>
          <w:rFonts w:hint="default" w:ascii="宋体" w:hAnsi="宋体"/>
          <w:szCs w:val="28"/>
          <w:lang w:val="en-US" w:eastAsia="zh-CN"/>
        </w:rPr>
        <w:t>2.加强管理与监督：建立健全养殖水域滩涂管理的长效机制，加强对养殖生产过程的监督管理。严厉打击非法占用养殖水域、违规排放养殖污染物等违法行为，维护良好的养殖生产秩序。加强对养殖投入品的监管，确保水产品质量安全。</w:t>
      </w:r>
    </w:p>
    <w:p w14:paraId="310EC463">
      <w:pPr>
        <w:pStyle w:val="2"/>
        <w:keepNext/>
        <w:keepLines/>
        <w:pageBreakBefore w:val="0"/>
        <w:widowControl/>
        <w:kinsoku/>
        <w:wordWrap/>
        <w:overflowPunct/>
        <w:topLinePunct w:val="0"/>
        <w:autoSpaceDE/>
        <w:autoSpaceDN/>
        <w:bidi w:val="0"/>
        <w:adjustRightInd/>
        <w:snapToGrid w:val="0"/>
        <w:spacing w:before="120" w:after="120"/>
        <w:ind w:firstLine="723" w:firstLineChars="200"/>
        <w:jc w:val="center"/>
        <w:textAlignment w:val="auto"/>
        <w:rPr>
          <w:rFonts w:hint="eastAsia" w:eastAsia="宋体"/>
          <w:lang w:val="en-US" w:eastAsia="zh-CN"/>
        </w:rPr>
      </w:pPr>
      <w:bookmarkStart w:id="49" w:name="_Toc28726"/>
      <w:bookmarkStart w:id="50" w:name="_Toc29294"/>
      <w:r>
        <w:rPr>
          <w:rFonts w:hint="eastAsia"/>
        </w:rPr>
        <w:t>第三章 养殖水域滩涂功能区划</w:t>
      </w:r>
      <w:r>
        <w:rPr>
          <w:rFonts w:hint="eastAsia"/>
          <w:lang w:val="en-US" w:eastAsia="zh-CN"/>
        </w:rPr>
        <w:t>定</w:t>
      </w:r>
      <w:bookmarkEnd w:id="49"/>
      <w:bookmarkEnd w:id="50"/>
    </w:p>
    <w:p w14:paraId="3D32CD24">
      <w:pPr>
        <w:pStyle w:val="3"/>
        <w:rPr>
          <w:rFonts w:hint="default" w:ascii="Times New Roman" w:hAnsi="宋体" w:eastAsia="宋体"/>
          <w:lang w:val="en-US" w:eastAsia="zh-CN"/>
        </w:rPr>
      </w:pPr>
      <w:bookmarkStart w:id="51" w:name="_Toc11454"/>
      <w:bookmarkStart w:id="52" w:name="_Toc5656"/>
      <w:r>
        <w:rPr>
          <w:rFonts w:ascii="Times New Roman" w:hAnsi="Times New Roman"/>
        </w:rPr>
        <w:t xml:space="preserve">3.1 </w:t>
      </w:r>
      <w:r>
        <w:rPr>
          <w:rFonts w:ascii="Times New Roman" w:hAnsi="宋体"/>
        </w:rPr>
        <w:t>功能区划</w:t>
      </w:r>
      <w:r>
        <w:rPr>
          <w:rFonts w:hint="eastAsia" w:ascii="Times New Roman" w:hAnsi="宋体"/>
          <w:lang w:val="en-US" w:eastAsia="zh-CN"/>
        </w:rPr>
        <w:t>定标准</w:t>
      </w:r>
      <w:bookmarkEnd w:id="51"/>
      <w:bookmarkEnd w:id="52"/>
    </w:p>
    <w:p w14:paraId="7DDBC86D">
      <w:pPr>
        <w:bidi w:val="0"/>
        <w:ind w:firstLine="560" w:firstLineChars="200"/>
      </w:pPr>
      <w:r>
        <w:rPr>
          <w:rFonts w:hint="eastAsia"/>
          <w:lang w:val="en-US" w:eastAsia="zh-CN"/>
        </w:rPr>
        <w:t>根据农业农村部《养殖水域滩涂规划》编制大纲的要求、《国土空间规划》及嘉荫县养殖现状和水域自然条件、生产特点将水域养殖区域划分为禁止养殖区、限制养殖区、养殖区。</w:t>
      </w:r>
    </w:p>
    <w:p w14:paraId="0BE2816B">
      <w:pPr>
        <w:pStyle w:val="4"/>
        <w:rPr>
          <w:rFonts w:hint="default" w:ascii="Times New Roman" w:hAnsi="宋体"/>
          <w:lang w:val="en-US" w:eastAsia="zh-CN"/>
        </w:rPr>
      </w:pPr>
      <w:bookmarkStart w:id="53" w:name="_Toc13533"/>
      <w:r>
        <w:rPr>
          <w:rFonts w:hint="default" w:ascii="Times New Roman" w:hAnsi="宋体"/>
          <w:lang w:val="en-US" w:eastAsia="zh-CN"/>
        </w:rPr>
        <w:t xml:space="preserve">3.1.1 </w:t>
      </w:r>
      <w:bookmarkEnd w:id="53"/>
      <w:r>
        <w:rPr>
          <w:rFonts w:hint="default" w:ascii="Times New Roman" w:hAnsi="宋体"/>
          <w:lang w:val="en-US" w:eastAsia="zh-CN"/>
        </w:rPr>
        <w:t>禁止养殖区</w:t>
      </w:r>
      <w:r>
        <w:rPr>
          <w:rFonts w:hint="eastAsia" w:ascii="Times New Roman" w:hAnsi="宋体"/>
          <w:lang w:val="en-US" w:eastAsia="zh-CN"/>
        </w:rPr>
        <w:t>划定标准</w:t>
      </w:r>
    </w:p>
    <w:p w14:paraId="024753B9">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1.耕地及永久基本农田保护红线：除稻渔综合种养区外，其他涉及耕地和永久基本农田保护红线内的水域滩涂，原则上划为禁止养殖区，以确保耕地面积不减、质量不降。</w:t>
      </w:r>
    </w:p>
    <w:p w14:paraId="47F2ABA7">
      <w:pPr>
        <w:numPr>
          <w:ilvl w:val="0"/>
          <w:numId w:val="0"/>
        </w:numPr>
        <w:spacing w:line="360" w:lineRule="auto"/>
        <w:ind w:leftChars="0"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2.生态保护红线核心区域：包括整合优化后的</w:t>
      </w:r>
      <w:r>
        <w:rPr>
          <w:rFonts w:hint="eastAsia" w:ascii="宋体" w:hAnsi="宋体" w:cs="宋体"/>
          <w:sz w:val="28"/>
          <w:szCs w:val="28"/>
          <w:lang w:val="en-US" w:eastAsia="zh-CN"/>
        </w:rPr>
        <w:t>自然保护地核心保护区</w:t>
      </w:r>
      <w:r>
        <w:rPr>
          <w:rFonts w:hint="eastAsia" w:ascii="宋体" w:hAnsi="宋体" w:eastAsia="宋体" w:cs="宋体"/>
          <w:sz w:val="28"/>
          <w:szCs w:val="28"/>
          <w:lang w:val="en-US" w:eastAsia="zh-CN"/>
        </w:rPr>
        <w:t>、重要水源涵养区、河湖自然岸线、生物多样性维护区、生态极敏感区及极脆弱区、水土保持区、防风固沙区等生态功能极其重要的区域，以及目前无明显人类活动、具有潜在重要生态价值的其他区域（诸如极小种群物种分布的栖息地、国家一级公益林、重要湿地、国家级水土流失重点预防区、沙化土地封禁保护区、野生植物集中分布地等）核心及确需要严格保护区域的水域滩涂，按照法律法规及地方管理要求一般划为禁止养殖区。</w:t>
      </w:r>
    </w:p>
    <w:p w14:paraId="43C3CA27">
      <w:pPr>
        <w:numPr>
          <w:ilvl w:val="0"/>
          <w:numId w:val="0"/>
        </w:numPr>
        <w:spacing w:line="360" w:lineRule="auto"/>
        <w:ind w:leftChars="0"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3.饮用水水源地一级保护区、自然保护区核心</w:t>
      </w:r>
      <w:r>
        <w:rPr>
          <w:rFonts w:hint="eastAsia" w:ascii="宋体" w:hAnsi="宋体" w:cs="宋体"/>
          <w:sz w:val="28"/>
          <w:szCs w:val="28"/>
          <w:lang w:val="en-US" w:eastAsia="zh-CN"/>
        </w:rPr>
        <w:t>保护</w:t>
      </w:r>
      <w:r>
        <w:rPr>
          <w:rFonts w:hint="eastAsia" w:ascii="宋体" w:hAnsi="宋体" w:eastAsia="宋体" w:cs="宋体"/>
          <w:sz w:val="28"/>
          <w:szCs w:val="28"/>
          <w:lang w:val="en-US" w:eastAsia="zh-CN"/>
        </w:rPr>
        <w:t>区、国家级水产种质资源保护区核心区和未批准利用的无居民岛屿等重点生态功能区划为禁止养殖区，禁止开展水产养殖。</w:t>
      </w:r>
    </w:p>
    <w:p w14:paraId="776C5F54">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4.城镇开发边界：为避免对城镇生态环境造成不利影响，城镇开发边界内的水域滩涂，划为禁止养殖区。</w:t>
      </w:r>
    </w:p>
    <w:p w14:paraId="4128D55C">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自然灾害综合风险重点防控区及其他高风险区域：包括地震、地质灾害、洪涝等自然灾害综合风险防控重点区域，战略性矿产资源安全保障核心区及接续区，以及历史文化保护线范围内的水域滩涂，原则上均划为禁止养殖区，以降低自然灾害、矿业生产对水产养殖业的影响，加强对历史文化遗产保护并确保生态安全。</w:t>
      </w:r>
    </w:p>
    <w:p w14:paraId="768D4DF2">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6.禁止在港口、航道、行洪区、河道堤防安全保护区等公共设施安全区域开展水产养殖。</w:t>
      </w:r>
    </w:p>
    <w:p w14:paraId="7D446C41">
      <w:pPr>
        <w:numPr>
          <w:ilvl w:val="0"/>
          <w:numId w:val="0"/>
        </w:numPr>
        <w:spacing w:line="360" w:lineRule="auto"/>
        <w:ind w:leftChars="0"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7.禁止在有毒有害物质超过规定标准的水体开展水产养殖。</w:t>
      </w:r>
    </w:p>
    <w:p w14:paraId="353D2E8D">
      <w:pPr>
        <w:ind w:firstLine="560" w:firstLineChars="200"/>
      </w:pPr>
      <w:r>
        <w:rPr>
          <w:rFonts w:hint="eastAsia" w:ascii="宋体" w:hAnsi="宋体" w:eastAsia="宋体" w:cs="宋体"/>
          <w:sz w:val="28"/>
          <w:szCs w:val="28"/>
          <w:lang w:val="en-US" w:eastAsia="zh-CN"/>
        </w:rPr>
        <w:t>8.法律法规规定的其他禁止从事水产养殖的区域。</w:t>
      </w:r>
    </w:p>
    <w:p w14:paraId="12A9FB47">
      <w:pPr>
        <w:pStyle w:val="4"/>
        <w:rPr>
          <w:rFonts w:hint="default" w:ascii="Times New Roman" w:hAnsi="宋体"/>
          <w:lang w:val="en-US" w:eastAsia="zh-CN"/>
        </w:rPr>
      </w:pPr>
      <w:r>
        <w:rPr>
          <w:rFonts w:hint="default" w:ascii="Times New Roman" w:hAnsi="宋体"/>
          <w:lang w:val="en-US" w:eastAsia="zh-CN"/>
        </w:rPr>
        <w:t>3.1.2 限制养殖区</w:t>
      </w:r>
      <w:r>
        <w:rPr>
          <w:rFonts w:hint="eastAsia" w:ascii="Times New Roman" w:hAnsi="宋体"/>
          <w:lang w:val="en-US" w:eastAsia="zh-CN"/>
        </w:rPr>
        <w:t>划定标准</w:t>
      </w:r>
    </w:p>
    <w:p w14:paraId="7D7DFF7D">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1.限制在饮用水水源二级保护区、自然保护</w:t>
      </w:r>
      <w:r>
        <w:rPr>
          <w:rFonts w:hint="eastAsia" w:ascii="宋体" w:hAnsi="宋体" w:cs="宋体"/>
          <w:sz w:val="28"/>
          <w:szCs w:val="28"/>
          <w:lang w:val="en-US" w:eastAsia="zh-CN"/>
        </w:rPr>
        <w:t>地一般控制区</w:t>
      </w:r>
      <w:r>
        <w:rPr>
          <w:rFonts w:hint="eastAsia" w:ascii="宋体" w:hAnsi="宋体" w:eastAsia="宋体" w:cs="宋体"/>
          <w:sz w:val="28"/>
          <w:szCs w:val="28"/>
          <w:lang w:val="en-US" w:eastAsia="zh-CN"/>
        </w:rPr>
        <w:t>、</w:t>
      </w:r>
      <w:r>
        <w:rPr>
          <w:rFonts w:hint="eastAsia" w:ascii="宋体" w:hAnsi="宋体" w:cs="宋体"/>
          <w:sz w:val="28"/>
          <w:szCs w:val="28"/>
          <w:lang w:val="en-US" w:eastAsia="zh-CN"/>
        </w:rPr>
        <w:t>国家级</w:t>
      </w:r>
      <w:r>
        <w:rPr>
          <w:rFonts w:hint="eastAsia" w:ascii="宋体" w:hAnsi="宋体" w:eastAsia="宋体" w:cs="宋体"/>
          <w:sz w:val="28"/>
          <w:szCs w:val="28"/>
          <w:lang w:val="en-US" w:eastAsia="zh-CN"/>
        </w:rPr>
        <w:t>水产种质资源保护区实验区、风景名胜区、生态保护红线</w:t>
      </w:r>
      <w:r>
        <w:rPr>
          <w:rFonts w:hint="eastAsia" w:ascii="宋体" w:hAnsi="宋体" w:cs="宋体"/>
          <w:sz w:val="28"/>
          <w:szCs w:val="28"/>
          <w:lang w:val="en-US" w:eastAsia="zh-CN"/>
        </w:rPr>
        <w:t>内自然保护地核心保护区外</w:t>
      </w:r>
      <w:r>
        <w:rPr>
          <w:rFonts w:hint="eastAsia" w:ascii="宋体" w:hAnsi="宋体" w:eastAsia="宋体" w:cs="宋体"/>
          <w:sz w:val="28"/>
          <w:szCs w:val="28"/>
          <w:lang w:val="en-US" w:eastAsia="zh-CN"/>
        </w:rPr>
        <w:t>非核心区等生态功能区开展水产养殖，在以上区域内进行水产养殖的应采取污染防治措施，污染物排放不得超过国家和地方规定的污染物排放标准。</w:t>
      </w:r>
    </w:p>
    <w:p w14:paraId="7D14A68B">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限制在重点湖泊水库等公共自然水域开展网箱围栏养殖。重点湖泊水库饲养滤食性鱼类的网箱围栏总面积不超过水域面积的1%，饲养吃食性鱼类的网箱围栏总面积不超过水域面积的0.25%；重点近岸海域浮动式网箱面积不超过海域宜养面积的10%。</w:t>
      </w:r>
    </w:p>
    <w:p w14:paraId="1F7ABAF4">
      <w:pPr>
        <w:numPr>
          <w:ilvl w:val="0"/>
          <w:numId w:val="0"/>
        </w:numPr>
        <w:spacing w:line="360" w:lineRule="auto"/>
        <w:ind w:firstLine="560" w:firstLineChars="200"/>
        <w:jc w:val="both"/>
        <w:rPr>
          <w:rFonts w:ascii="Times New Roman" w:hAnsi="Times New Roman" w:eastAsia="宋体"/>
        </w:rPr>
      </w:pPr>
      <w:r>
        <w:rPr>
          <w:rFonts w:hint="eastAsia" w:ascii="宋体" w:hAnsi="宋体" w:eastAsia="宋体" w:cs="宋体"/>
          <w:sz w:val="28"/>
          <w:szCs w:val="28"/>
          <w:lang w:val="en-US" w:eastAsia="zh-CN"/>
        </w:rPr>
        <w:t>3.法律法规规定的其他限制养殖区。</w:t>
      </w:r>
    </w:p>
    <w:p w14:paraId="545E2BFD">
      <w:pPr>
        <w:pStyle w:val="4"/>
        <w:rPr>
          <w:rFonts w:hint="default" w:ascii="Times New Roman" w:hAnsi="宋体"/>
          <w:lang w:val="en-US" w:eastAsia="zh-CN"/>
        </w:rPr>
      </w:pPr>
      <w:r>
        <w:rPr>
          <w:rFonts w:hint="default" w:ascii="Times New Roman" w:hAnsi="宋体"/>
          <w:lang w:val="en-US" w:eastAsia="zh-CN"/>
        </w:rPr>
        <w:t>3.1.</w:t>
      </w:r>
      <w:r>
        <w:rPr>
          <w:rFonts w:hint="eastAsia" w:ascii="Times New Roman" w:hAnsi="宋体"/>
          <w:lang w:val="en-US" w:eastAsia="zh-CN"/>
        </w:rPr>
        <w:t>3</w:t>
      </w:r>
      <w:r>
        <w:rPr>
          <w:rFonts w:hint="default" w:ascii="Times New Roman" w:hAnsi="宋体"/>
          <w:lang w:val="en-US" w:eastAsia="zh-CN"/>
        </w:rPr>
        <w:t>养殖区</w:t>
      </w:r>
      <w:r>
        <w:rPr>
          <w:rFonts w:hint="eastAsia" w:ascii="Times New Roman" w:hAnsi="宋体"/>
          <w:lang w:val="en-US" w:eastAsia="zh-CN"/>
        </w:rPr>
        <w:t>划定标准</w:t>
      </w:r>
    </w:p>
    <w:p w14:paraId="7942C3B1">
      <w:pPr>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嘉荫县</w:t>
      </w:r>
      <w:r>
        <w:rPr>
          <w:rFonts w:hint="eastAsia" w:ascii="宋体" w:hAnsi="宋体" w:eastAsia="宋体" w:cs="宋体"/>
          <w:sz w:val="28"/>
          <w:szCs w:val="28"/>
          <w:lang w:val="en-US" w:eastAsia="zh-CN"/>
        </w:rPr>
        <w:t>养殖区</w:t>
      </w:r>
      <w:r>
        <w:rPr>
          <w:rFonts w:hint="eastAsia" w:ascii="宋体" w:hAnsi="宋体" w:cs="宋体"/>
          <w:sz w:val="28"/>
          <w:szCs w:val="28"/>
          <w:lang w:val="en-US" w:eastAsia="zh-CN"/>
        </w:rPr>
        <w:t>全部</w:t>
      </w:r>
      <w:r>
        <w:rPr>
          <w:rFonts w:hint="eastAsia" w:ascii="宋体" w:hAnsi="宋体" w:eastAsia="宋体" w:cs="宋体"/>
          <w:sz w:val="28"/>
          <w:szCs w:val="28"/>
          <w:lang w:val="en-US" w:eastAsia="zh-CN"/>
        </w:rPr>
        <w:t>为淡水养殖区，包括</w:t>
      </w:r>
      <w:r>
        <w:rPr>
          <w:rFonts w:hint="eastAsia" w:ascii="宋体" w:hAnsi="宋体" w:cs="宋体"/>
          <w:sz w:val="28"/>
          <w:szCs w:val="28"/>
          <w:lang w:val="en-US" w:eastAsia="zh-CN"/>
        </w:rPr>
        <w:t>河流水面、坑塘水面和养殖坑塘</w:t>
      </w:r>
      <w:r>
        <w:rPr>
          <w:rFonts w:hint="eastAsia" w:ascii="宋体" w:hAnsi="宋体" w:eastAsia="宋体" w:cs="宋体"/>
          <w:sz w:val="28"/>
          <w:szCs w:val="28"/>
          <w:lang w:val="en-US" w:eastAsia="zh-CN"/>
        </w:rPr>
        <w:t>。按照《国土空间</w:t>
      </w:r>
      <w:r>
        <w:rPr>
          <w:rFonts w:hint="eastAsia" w:ascii="宋体" w:hAnsi="宋体" w:cs="宋体"/>
          <w:sz w:val="28"/>
          <w:szCs w:val="28"/>
          <w:lang w:val="en-US" w:eastAsia="zh-CN"/>
        </w:rPr>
        <w:t>总体</w:t>
      </w:r>
      <w:r>
        <w:rPr>
          <w:rFonts w:hint="eastAsia" w:ascii="宋体" w:hAnsi="宋体" w:eastAsia="宋体" w:cs="宋体"/>
          <w:sz w:val="28"/>
          <w:szCs w:val="28"/>
          <w:lang w:val="en-US" w:eastAsia="zh-CN"/>
        </w:rPr>
        <w:t>规划》，养殖区主要集中在农业空间内的水域。这些区域适合发展水产养殖，并能在生态保护和资源利用之间找到平衡。此外，生态保护红线</w:t>
      </w:r>
      <w:r>
        <w:rPr>
          <w:rFonts w:hint="eastAsia" w:ascii="宋体" w:hAnsi="宋体" w:cs="宋体"/>
          <w:sz w:val="28"/>
          <w:szCs w:val="28"/>
          <w:lang w:val="en-US" w:eastAsia="zh-CN"/>
        </w:rPr>
        <w:t>内自然保护地</w:t>
      </w:r>
      <w:r>
        <w:rPr>
          <w:rFonts w:hint="eastAsia" w:ascii="宋体" w:hAnsi="宋体" w:eastAsia="宋体" w:cs="宋体"/>
          <w:sz w:val="28"/>
          <w:szCs w:val="28"/>
          <w:lang w:val="en-US" w:eastAsia="zh-CN"/>
        </w:rPr>
        <w:t>核心保护区域之外的水域，历史上有原住居民或其他合法权益主体从事水产养殖活动的区域，可规划为养殖区，养殖活动可继续，但应严格控制规模强度，防止破坏生态环境，确保可持续发展。并根据池塘养殖、大水面养殖、设施养殖等不同的养殖模式进行分区规划，清</w:t>
      </w:r>
      <w:r>
        <w:rPr>
          <w:rFonts w:hint="eastAsia" w:ascii="宋体" w:hAnsi="宋体" w:cs="宋体"/>
          <w:sz w:val="28"/>
          <w:szCs w:val="28"/>
          <w:lang w:val="en-US" w:eastAsia="zh-CN"/>
        </w:rPr>
        <w:t>晰地</w:t>
      </w:r>
      <w:r>
        <w:rPr>
          <w:rFonts w:hint="eastAsia" w:ascii="宋体" w:hAnsi="宋体" w:eastAsia="宋体" w:cs="宋体"/>
          <w:sz w:val="28"/>
          <w:szCs w:val="28"/>
          <w:lang w:val="en-US" w:eastAsia="zh-CN"/>
        </w:rPr>
        <w:t>标明各区域的四至范围。为各类养殖模式提供适宜的发展空间，推动养殖生产的规范化和科学化。</w:t>
      </w:r>
    </w:p>
    <w:p w14:paraId="0E956DC9">
      <w:pPr>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表3-1 养殖水域滩涂功能区划表</w:t>
      </w:r>
    </w:p>
    <w:tbl>
      <w:tblPr>
        <w:tblStyle w:val="12"/>
        <w:tblW w:w="5253"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503"/>
        <w:gridCol w:w="507"/>
        <w:gridCol w:w="759"/>
        <w:gridCol w:w="2422"/>
        <w:gridCol w:w="1235"/>
        <w:gridCol w:w="4511"/>
      </w:tblGrid>
      <w:tr w14:paraId="51FC9B6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508" w:type="pct"/>
            <w:gridSpan w:val="2"/>
            <w:noWrap w:val="0"/>
            <w:vAlign w:val="center"/>
          </w:tcPr>
          <w:p w14:paraId="23F17C52">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一级</w:t>
            </w:r>
          </w:p>
        </w:tc>
        <w:tc>
          <w:tcPr>
            <w:tcW w:w="1600" w:type="pct"/>
            <w:gridSpan w:val="2"/>
            <w:noWrap w:val="0"/>
            <w:vAlign w:val="center"/>
          </w:tcPr>
          <w:p w14:paraId="7CC60BFB">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二级</w:t>
            </w:r>
          </w:p>
        </w:tc>
        <w:tc>
          <w:tcPr>
            <w:tcW w:w="2890" w:type="pct"/>
            <w:gridSpan w:val="2"/>
            <w:noWrap w:val="0"/>
            <w:vAlign w:val="center"/>
          </w:tcPr>
          <w:p w14:paraId="1D630F03">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三级</w:t>
            </w:r>
          </w:p>
        </w:tc>
      </w:tr>
      <w:tr w14:paraId="71411D1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253" w:type="pct"/>
            <w:noWrap w:val="0"/>
            <w:vAlign w:val="center"/>
          </w:tcPr>
          <w:p w14:paraId="41B61085">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代码</w:t>
            </w:r>
          </w:p>
        </w:tc>
        <w:tc>
          <w:tcPr>
            <w:tcW w:w="255" w:type="pct"/>
            <w:noWrap w:val="0"/>
            <w:vAlign w:val="center"/>
          </w:tcPr>
          <w:p w14:paraId="5CB9D85A">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名称</w:t>
            </w:r>
          </w:p>
        </w:tc>
        <w:tc>
          <w:tcPr>
            <w:tcW w:w="382" w:type="pct"/>
            <w:noWrap w:val="0"/>
            <w:vAlign w:val="center"/>
          </w:tcPr>
          <w:p w14:paraId="57E3D2D3">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代码</w:t>
            </w:r>
          </w:p>
        </w:tc>
        <w:tc>
          <w:tcPr>
            <w:tcW w:w="1218" w:type="pct"/>
            <w:noWrap w:val="0"/>
            <w:vAlign w:val="center"/>
          </w:tcPr>
          <w:p w14:paraId="57B2B1FB">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名称</w:t>
            </w:r>
          </w:p>
        </w:tc>
        <w:tc>
          <w:tcPr>
            <w:tcW w:w="621" w:type="pct"/>
            <w:noWrap w:val="0"/>
            <w:vAlign w:val="center"/>
          </w:tcPr>
          <w:p w14:paraId="2DC2D863">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代码</w:t>
            </w:r>
          </w:p>
        </w:tc>
        <w:tc>
          <w:tcPr>
            <w:tcW w:w="2269" w:type="pct"/>
            <w:noWrap w:val="0"/>
            <w:vAlign w:val="center"/>
          </w:tcPr>
          <w:p w14:paraId="45708A1A">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名称</w:t>
            </w:r>
          </w:p>
        </w:tc>
      </w:tr>
      <w:tr w14:paraId="664B4C3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restart"/>
            <w:noWrap w:val="0"/>
            <w:vAlign w:val="center"/>
          </w:tcPr>
          <w:p w14:paraId="7800067E">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255" w:type="pct"/>
            <w:vMerge w:val="restart"/>
            <w:noWrap w:val="0"/>
            <w:vAlign w:val="center"/>
          </w:tcPr>
          <w:p w14:paraId="04D19468">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禁</w:t>
            </w:r>
          </w:p>
          <w:p w14:paraId="134BB192">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养</w:t>
            </w:r>
          </w:p>
          <w:p w14:paraId="12A90916">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区</w:t>
            </w:r>
          </w:p>
        </w:tc>
        <w:tc>
          <w:tcPr>
            <w:tcW w:w="382" w:type="pct"/>
            <w:vMerge w:val="restart"/>
            <w:noWrap w:val="0"/>
            <w:vAlign w:val="center"/>
          </w:tcPr>
          <w:p w14:paraId="1AC6DA35">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1-1</w:t>
            </w:r>
          </w:p>
        </w:tc>
        <w:tc>
          <w:tcPr>
            <w:tcW w:w="1218" w:type="pct"/>
            <w:vMerge w:val="restart"/>
            <w:noWrap w:val="0"/>
            <w:vAlign w:val="center"/>
          </w:tcPr>
          <w:p w14:paraId="68C6E7C4">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生态保护红线核心区域禁养区</w:t>
            </w:r>
          </w:p>
        </w:tc>
        <w:tc>
          <w:tcPr>
            <w:tcW w:w="621" w:type="pct"/>
            <w:noWrap w:val="0"/>
            <w:vAlign w:val="center"/>
          </w:tcPr>
          <w:p w14:paraId="1F701E84">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1-1-1</w:t>
            </w:r>
          </w:p>
        </w:tc>
        <w:tc>
          <w:tcPr>
            <w:tcW w:w="2269" w:type="pct"/>
            <w:noWrap w:val="0"/>
            <w:vAlign w:val="center"/>
          </w:tcPr>
          <w:p w14:paraId="6FE85565">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自然保护地核心保护区禁养区</w:t>
            </w:r>
          </w:p>
        </w:tc>
      </w:tr>
      <w:tr w14:paraId="1E149BB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68DE192C">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6A4C2A98">
            <w:pPr>
              <w:widowControl/>
              <w:spacing w:line="240" w:lineRule="auto"/>
              <w:rPr>
                <w:rFonts w:hint="eastAsia" w:ascii="宋体" w:hAnsi="宋体" w:eastAsia="宋体" w:cs="宋体"/>
                <w:color w:val="000000"/>
                <w:sz w:val="24"/>
                <w:szCs w:val="24"/>
              </w:rPr>
            </w:pPr>
          </w:p>
        </w:tc>
        <w:tc>
          <w:tcPr>
            <w:tcW w:w="382" w:type="pct"/>
            <w:vMerge w:val="continue"/>
            <w:noWrap w:val="0"/>
            <w:vAlign w:val="center"/>
          </w:tcPr>
          <w:p w14:paraId="719A7EBA">
            <w:pPr>
              <w:widowControl/>
              <w:spacing w:line="240" w:lineRule="auto"/>
              <w:jc w:val="center"/>
              <w:rPr>
                <w:rFonts w:hint="eastAsia" w:ascii="宋体" w:hAnsi="宋体" w:eastAsia="宋体" w:cs="宋体"/>
                <w:color w:val="000000"/>
                <w:sz w:val="24"/>
                <w:szCs w:val="24"/>
              </w:rPr>
            </w:pPr>
          </w:p>
        </w:tc>
        <w:tc>
          <w:tcPr>
            <w:tcW w:w="1218" w:type="pct"/>
            <w:vMerge w:val="continue"/>
            <w:noWrap w:val="0"/>
            <w:vAlign w:val="center"/>
          </w:tcPr>
          <w:p w14:paraId="6911F501">
            <w:pPr>
              <w:widowControl/>
              <w:spacing w:line="240" w:lineRule="auto"/>
              <w:rPr>
                <w:rFonts w:hint="eastAsia" w:ascii="宋体" w:hAnsi="宋体" w:eastAsia="宋体" w:cs="宋体"/>
                <w:color w:val="000000"/>
                <w:sz w:val="24"/>
                <w:szCs w:val="24"/>
              </w:rPr>
            </w:pPr>
          </w:p>
        </w:tc>
        <w:tc>
          <w:tcPr>
            <w:tcW w:w="621" w:type="pct"/>
            <w:noWrap w:val="0"/>
            <w:vAlign w:val="center"/>
          </w:tcPr>
          <w:p w14:paraId="21F3E2DF">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1-1-2</w:t>
            </w:r>
          </w:p>
        </w:tc>
        <w:tc>
          <w:tcPr>
            <w:tcW w:w="2269" w:type="pct"/>
            <w:noWrap w:val="0"/>
            <w:vAlign w:val="center"/>
          </w:tcPr>
          <w:p w14:paraId="2540259F">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河湖自然岸线禁养区</w:t>
            </w:r>
          </w:p>
        </w:tc>
      </w:tr>
      <w:tr w14:paraId="598132B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4A453559">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3FF470D0">
            <w:pPr>
              <w:widowControl/>
              <w:spacing w:line="240" w:lineRule="auto"/>
              <w:rPr>
                <w:rFonts w:hint="eastAsia" w:ascii="宋体" w:hAnsi="宋体" w:eastAsia="宋体" w:cs="宋体"/>
                <w:color w:val="000000"/>
                <w:sz w:val="24"/>
                <w:szCs w:val="24"/>
              </w:rPr>
            </w:pPr>
          </w:p>
        </w:tc>
        <w:tc>
          <w:tcPr>
            <w:tcW w:w="382" w:type="pct"/>
            <w:vMerge w:val="continue"/>
            <w:noWrap w:val="0"/>
            <w:vAlign w:val="center"/>
          </w:tcPr>
          <w:p w14:paraId="1E7986FB">
            <w:pPr>
              <w:widowControl/>
              <w:spacing w:line="240" w:lineRule="auto"/>
              <w:jc w:val="center"/>
              <w:rPr>
                <w:rFonts w:hint="eastAsia" w:ascii="宋体" w:hAnsi="宋体" w:eastAsia="宋体" w:cs="宋体"/>
                <w:color w:val="000000"/>
                <w:sz w:val="24"/>
                <w:szCs w:val="24"/>
              </w:rPr>
            </w:pPr>
          </w:p>
        </w:tc>
        <w:tc>
          <w:tcPr>
            <w:tcW w:w="1218" w:type="pct"/>
            <w:vMerge w:val="continue"/>
            <w:noWrap w:val="0"/>
            <w:vAlign w:val="center"/>
          </w:tcPr>
          <w:p w14:paraId="2E7DCCE1">
            <w:pPr>
              <w:widowControl/>
              <w:spacing w:line="240" w:lineRule="auto"/>
              <w:rPr>
                <w:rFonts w:hint="eastAsia" w:ascii="宋体" w:hAnsi="宋体" w:eastAsia="宋体" w:cs="宋体"/>
                <w:color w:val="000000"/>
                <w:sz w:val="24"/>
                <w:szCs w:val="24"/>
              </w:rPr>
            </w:pPr>
          </w:p>
        </w:tc>
        <w:tc>
          <w:tcPr>
            <w:tcW w:w="621" w:type="pct"/>
            <w:noWrap w:val="0"/>
            <w:vAlign w:val="center"/>
          </w:tcPr>
          <w:p w14:paraId="1B4470E3">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1-1-3</w:t>
            </w:r>
          </w:p>
        </w:tc>
        <w:tc>
          <w:tcPr>
            <w:tcW w:w="2269" w:type="pct"/>
            <w:noWrap w:val="0"/>
            <w:vAlign w:val="center"/>
          </w:tcPr>
          <w:p w14:paraId="6725FF98">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重要水源涵养区禁养区</w:t>
            </w:r>
          </w:p>
        </w:tc>
      </w:tr>
      <w:tr w14:paraId="77BFABE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732BF280">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162EB999">
            <w:pPr>
              <w:widowControl/>
              <w:spacing w:line="240" w:lineRule="auto"/>
              <w:rPr>
                <w:rFonts w:hint="eastAsia" w:ascii="宋体" w:hAnsi="宋体" w:eastAsia="宋体" w:cs="宋体"/>
                <w:color w:val="000000"/>
                <w:sz w:val="24"/>
                <w:szCs w:val="24"/>
              </w:rPr>
            </w:pPr>
          </w:p>
        </w:tc>
        <w:tc>
          <w:tcPr>
            <w:tcW w:w="382" w:type="pct"/>
            <w:vMerge w:val="continue"/>
            <w:noWrap w:val="0"/>
            <w:vAlign w:val="center"/>
          </w:tcPr>
          <w:p w14:paraId="17F3EB1C">
            <w:pPr>
              <w:widowControl/>
              <w:spacing w:line="240" w:lineRule="auto"/>
              <w:jc w:val="center"/>
              <w:rPr>
                <w:rFonts w:hint="eastAsia" w:ascii="宋体" w:hAnsi="宋体" w:eastAsia="宋体" w:cs="宋体"/>
                <w:color w:val="000000"/>
                <w:sz w:val="24"/>
                <w:szCs w:val="24"/>
              </w:rPr>
            </w:pPr>
          </w:p>
        </w:tc>
        <w:tc>
          <w:tcPr>
            <w:tcW w:w="1218" w:type="pct"/>
            <w:vMerge w:val="continue"/>
            <w:noWrap w:val="0"/>
            <w:vAlign w:val="center"/>
          </w:tcPr>
          <w:p w14:paraId="1B02CBB7">
            <w:pPr>
              <w:widowControl/>
              <w:spacing w:line="240" w:lineRule="auto"/>
              <w:rPr>
                <w:rFonts w:hint="eastAsia" w:ascii="宋体" w:hAnsi="宋体" w:eastAsia="宋体" w:cs="宋体"/>
                <w:color w:val="000000"/>
                <w:sz w:val="24"/>
                <w:szCs w:val="24"/>
              </w:rPr>
            </w:pPr>
          </w:p>
        </w:tc>
        <w:tc>
          <w:tcPr>
            <w:tcW w:w="621" w:type="pct"/>
            <w:noWrap w:val="0"/>
            <w:vAlign w:val="center"/>
          </w:tcPr>
          <w:p w14:paraId="70DC0CE5">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1-1-4</w:t>
            </w:r>
          </w:p>
        </w:tc>
        <w:tc>
          <w:tcPr>
            <w:tcW w:w="2269" w:type="pct"/>
            <w:noWrap w:val="0"/>
            <w:vAlign w:val="center"/>
          </w:tcPr>
          <w:p w14:paraId="799E7AB5">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生物多样性维护区禁养区</w:t>
            </w:r>
          </w:p>
        </w:tc>
      </w:tr>
      <w:tr w14:paraId="123A4EE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097C109E">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67D98BCA">
            <w:pPr>
              <w:widowControl/>
              <w:spacing w:line="240" w:lineRule="auto"/>
              <w:rPr>
                <w:rFonts w:hint="eastAsia" w:ascii="宋体" w:hAnsi="宋体" w:eastAsia="宋体" w:cs="宋体"/>
                <w:color w:val="000000"/>
                <w:sz w:val="24"/>
                <w:szCs w:val="24"/>
              </w:rPr>
            </w:pPr>
          </w:p>
        </w:tc>
        <w:tc>
          <w:tcPr>
            <w:tcW w:w="382" w:type="pct"/>
            <w:vMerge w:val="continue"/>
            <w:noWrap w:val="0"/>
            <w:vAlign w:val="center"/>
          </w:tcPr>
          <w:p w14:paraId="0EA4D14A">
            <w:pPr>
              <w:widowControl/>
              <w:spacing w:line="240" w:lineRule="auto"/>
              <w:jc w:val="center"/>
              <w:rPr>
                <w:rFonts w:hint="eastAsia" w:ascii="宋体" w:hAnsi="宋体" w:eastAsia="宋体" w:cs="宋体"/>
                <w:color w:val="000000"/>
                <w:sz w:val="24"/>
                <w:szCs w:val="24"/>
              </w:rPr>
            </w:pPr>
          </w:p>
        </w:tc>
        <w:tc>
          <w:tcPr>
            <w:tcW w:w="1218" w:type="pct"/>
            <w:vMerge w:val="continue"/>
            <w:noWrap w:val="0"/>
            <w:vAlign w:val="center"/>
          </w:tcPr>
          <w:p w14:paraId="01648952">
            <w:pPr>
              <w:widowControl/>
              <w:spacing w:line="240" w:lineRule="auto"/>
              <w:rPr>
                <w:rFonts w:hint="eastAsia" w:ascii="宋体" w:hAnsi="宋体" w:eastAsia="宋体" w:cs="宋体"/>
                <w:color w:val="000000"/>
                <w:sz w:val="24"/>
                <w:szCs w:val="24"/>
              </w:rPr>
            </w:pPr>
          </w:p>
        </w:tc>
        <w:tc>
          <w:tcPr>
            <w:tcW w:w="621" w:type="pct"/>
            <w:noWrap w:val="0"/>
            <w:vAlign w:val="center"/>
          </w:tcPr>
          <w:p w14:paraId="69FF78B0">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1-1-5</w:t>
            </w:r>
          </w:p>
        </w:tc>
        <w:tc>
          <w:tcPr>
            <w:tcW w:w="2269" w:type="pct"/>
            <w:noWrap w:val="0"/>
            <w:vAlign w:val="center"/>
          </w:tcPr>
          <w:p w14:paraId="295D2232">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水土保持区禁养区</w:t>
            </w:r>
          </w:p>
        </w:tc>
      </w:tr>
      <w:tr w14:paraId="26DDC28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00FB173A">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3C1D727D">
            <w:pPr>
              <w:widowControl/>
              <w:spacing w:line="240" w:lineRule="auto"/>
              <w:rPr>
                <w:rFonts w:hint="eastAsia" w:ascii="宋体" w:hAnsi="宋体" w:eastAsia="宋体" w:cs="宋体"/>
                <w:color w:val="000000"/>
                <w:sz w:val="24"/>
                <w:szCs w:val="24"/>
              </w:rPr>
            </w:pPr>
          </w:p>
        </w:tc>
        <w:tc>
          <w:tcPr>
            <w:tcW w:w="382" w:type="pct"/>
            <w:vMerge w:val="continue"/>
            <w:noWrap w:val="0"/>
            <w:vAlign w:val="center"/>
          </w:tcPr>
          <w:p w14:paraId="183A2E27">
            <w:pPr>
              <w:widowControl/>
              <w:spacing w:line="240" w:lineRule="auto"/>
              <w:jc w:val="center"/>
              <w:rPr>
                <w:rFonts w:hint="eastAsia" w:ascii="宋体" w:hAnsi="宋体" w:eastAsia="宋体" w:cs="宋体"/>
                <w:color w:val="000000"/>
                <w:sz w:val="24"/>
                <w:szCs w:val="24"/>
              </w:rPr>
            </w:pPr>
          </w:p>
        </w:tc>
        <w:tc>
          <w:tcPr>
            <w:tcW w:w="1218" w:type="pct"/>
            <w:vMerge w:val="continue"/>
            <w:noWrap w:val="0"/>
            <w:vAlign w:val="center"/>
          </w:tcPr>
          <w:p w14:paraId="11DA20A0">
            <w:pPr>
              <w:widowControl/>
              <w:spacing w:line="240" w:lineRule="auto"/>
              <w:rPr>
                <w:rFonts w:hint="eastAsia" w:ascii="宋体" w:hAnsi="宋体" w:eastAsia="宋体" w:cs="宋体"/>
                <w:color w:val="000000"/>
                <w:sz w:val="24"/>
                <w:szCs w:val="24"/>
              </w:rPr>
            </w:pPr>
          </w:p>
        </w:tc>
        <w:tc>
          <w:tcPr>
            <w:tcW w:w="621" w:type="pct"/>
            <w:noWrap w:val="0"/>
            <w:vAlign w:val="center"/>
          </w:tcPr>
          <w:p w14:paraId="6E03379C">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1-1-6</w:t>
            </w:r>
          </w:p>
        </w:tc>
        <w:tc>
          <w:tcPr>
            <w:tcW w:w="2269" w:type="pct"/>
            <w:noWrap w:val="0"/>
            <w:vAlign w:val="center"/>
          </w:tcPr>
          <w:p w14:paraId="7413DAD4">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防风固沙区禁养区</w:t>
            </w:r>
          </w:p>
        </w:tc>
      </w:tr>
      <w:tr w14:paraId="1BD3513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62C9BD95">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47794658">
            <w:pPr>
              <w:widowControl/>
              <w:spacing w:line="240" w:lineRule="auto"/>
              <w:rPr>
                <w:rFonts w:hint="eastAsia" w:ascii="宋体" w:hAnsi="宋体" w:eastAsia="宋体" w:cs="宋体"/>
                <w:color w:val="000000"/>
                <w:sz w:val="24"/>
                <w:szCs w:val="24"/>
              </w:rPr>
            </w:pPr>
          </w:p>
        </w:tc>
        <w:tc>
          <w:tcPr>
            <w:tcW w:w="382" w:type="pct"/>
            <w:vMerge w:val="continue"/>
            <w:noWrap w:val="0"/>
            <w:vAlign w:val="center"/>
          </w:tcPr>
          <w:p w14:paraId="03FB8418">
            <w:pPr>
              <w:widowControl/>
              <w:spacing w:line="240" w:lineRule="auto"/>
              <w:jc w:val="center"/>
              <w:rPr>
                <w:rFonts w:hint="eastAsia" w:ascii="宋体" w:hAnsi="宋体" w:eastAsia="宋体" w:cs="宋体"/>
                <w:color w:val="000000"/>
                <w:sz w:val="24"/>
                <w:szCs w:val="24"/>
              </w:rPr>
            </w:pPr>
          </w:p>
        </w:tc>
        <w:tc>
          <w:tcPr>
            <w:tcW w:w="1218" w:type="pct"/>
            <w:vMerge w:val="continue"/>
            <w:noWrap w:val="0"/>
            <w:vAlign w:val="center"/>
          </w:tcPr>
          <w:p w14:paraId="1D117341">
            <w:pPr>
              <w:widowControl/>
              <w:spacing w:line="240" w:lineRule="auto"/>
              <w:rPr>
                <w:rFonts w:hint="eastAsia" w:ascii="宋体" w:hAnsi="宋体" w:eastAsia="宋体" w:cs="宋体"/>
                <w:color w:val="000000"/>
                <w:sz w:val="24"/>
                <w:szCs w:val="24"/>
              </w:rPr>
            </w:pPr>
          </w:p>
        </w:tc>
        <w:tc>
          <w:tcPr>
            <w:tcW w:w="621" w:type="pct"/>
            <w:noWrap w:val="0"/>
            <w:vAlign w:val="center"/>
          </w:tcPr>
          <w:p w14:paraId="39767DC1">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1-1-7</w:t>
            </w:r>
          </w:p>
        </w:tc>
        <w:tc>
          <w:tcPr>
            <w:tcW w:w="2269" w:type="pct"/>
            <w:noWrap w:val="0"/>
            <w:vAlign w:val="center"/>
          </w:tcPr>
          <w:p w14:paraId="1B275F42">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其他生态极敏感区及极脆弱区禁养区</w:t>
            </w:r>
          </w:p>
        </w:tc>
      </w:tr>
      <w:tr w14:paraId="4557E0B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6B40EE45">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189EA2DF">
            <w:pPr>
              <w:widowControl/>
              <w:spacing w:line="240" w:lineRule="auto"/>
              <w:rPr>
                <w:rFonts w:hint="eastAsia" w:ascii="宋体" w:hAnsi="宋体" w:eastAsia="宋体" w:cs="宋体"/>
                <w:color w:val="000000"/>
                <w:sz w:val="24"/>
                <w:szCs w:val="24"/>
              </w:rPr>
            </w:pPr>
          </w:p>
        </w:tc>
        <w:tc>
          <w:tcPr>
            <w:tcW w:w="382" w:type="pct"/>
            <w:vMerge w:val="continue"/>
            <w:noWrap w:val="0"/>
            <w:vAlign w:val="center"/>
          </w:tcPr>
          <w:p w14:paraId="180B431D">
            <w:pPr>
              <w:widowControl/>
              <w:spacing w:line="240" w:lineRule="auto"/>
              <w:jc w:val="center"/>
              <w:rPr>
                <w:rFonts w:hint="eastAsia" w:ascii="宋体" w:hAnsi="宋体" w:eastAsia="宋体" w:cs="宋体"/>
                <w:color w:val="000000"/>
                <w:sz w:val="24"/>
                <w:szCs w:val="24"/>
              </w:rPr>
            </w:pPr>
          </w:p>
        </w:tc>
        <w:tc>
          <w:tcPr>
            <w:tcW w:w="1218" w:type="pct"/>
            <w:vMerge w:val="continue"/>
            <w:noWrap w:val="0"/>
            <w:vAlign w:val="center"/>
          </w:tcPr>
          <w:p w14:paraId="5EEF52C3">
            <w:pPr>
              <w:widowControl/>
              <w:spacing w:line="240" w:lineRule="auto"/>
              <w:rPr>
                <w:rFonts w:hint="eastAsia" w:ascii="宋体" w:hAnsi="宋体" w:eastAsia="宋体" w:cs="宋体"/>
                <w:color w:val="000000"/>
                <w:sz w:val="24"/>
                <w:szCs w:val="24"/>
              </w:rPr>
            </w:pPr>
          </w:p>
        </w:tc>
        <w:tc>
          <w:tcPr>
            <w:tcW w:w="621" w:type="pct"/>
            <w:noWrap w:val="0"/>
            <w:vAlign w:val="center"/>
          </w:tcPr>
          <w:p w14:paraId="231C65F3">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1-1-8</w:t>
            </w:r>
          </w:p>
        </w:tc>
        <w:tc>
          <w:tcPr>
            <w:tcW w:w="2269" w:type="pct"/>
            <w:noWrap w:val="0"/>
            <w:vAlign w:val="center"/>
          </w:tcPr>
          <w:p w14:paraId="73419EAE">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其他生态功能极其重要区域禁养区</w:t>
            </w:r>
          </w:p>
        </w:tc>
      </w:tr>
      <w:tr w14:paraId="3C572A6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26028A73">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014780D4">
            <w:pPr>
              <w:widowControl/>
              <w:spacing w:line="240" w:lineRule="auto"/>
              <w:rPr>
                <w:rFonts w:hint="eastAsia" w:ascii="宋体" w:hAnsi="宋体" w:eastAsia="宋体" w:cs="宋体"/>
                <w:color w:val="000000"/>
                <w:sz w:val="24"/>
                <w:szCs w:val="24"/>
              </w:rPr>
            </w:pPr>
          </w:p>
        </w:tc>
        <w:tc>
          <w:tcPr>
            <w:tcW w:w="382" w:type="pct"/>
            <w:vMerge w:val="continue"/>
            <w:noWrap w:val="0"/>
            <w:vAlign w:val="center"/>
          </w:tcPr>
          <w:p w14:paraId="2AB8E30F">
            <w:pPr>
              <w:widowControl/>
              <w:spacing w:line="240" w:lineRule="auto"/>
              <w:jc w:val="center"/>
              <w:rPr>
                <w:rFonts w:hint="eastAsia" w:ascii="宋体" w:hAnsi="宋体" w:eastAsia="宋体" w:cs="宋体"/>
                <w:color w:val="000000"/>
                <w:sz w:val="24"/>
                <w:szCs w:val="24"/>
              </w:rPr>
            </w:pPr>
          </w:p>
        </w:tc>
        <w:tc>
          <w:tcPr>
            <w:tcW w:w="1218" w:type="pct"/>
            <w:vMerge w:val="continue"/>
            <w:noWrap w:val="0"/>
            <w:vAlign w:val="center"/>
          </w:tcPr>
          <w:p w14:paraId="5FF5BF7A">
            <w:pPr>
              <w:widowControl/>
              <w:spacing w:line="240" w:lineRule="auto"/>
              <w:rPr>
                <w:rFonts w:hint="eastAsia" w:ascii="宋体" w:hAnsi="宋体" w:eastAsia="宋体" w:cs="宋体"/>
                <w:color w:val="000000"/>
                <w:sz w:val="24"/>
                <w:szCs w:val="24"/>
              </w:rPr>
            </w:pPr>
          </w:p>
        </w:tc>
        <w:tc>
          <w:tcPr>
            <w:tcW w:w="621" w:type="pct"/>
            <w:noWrap w:val="0"/>
            <w:vAlign w:val="center"/>
          </w:tcPr>
          <w:p w14:paraId="2CE903AB">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1-1-9</w:t>
            </w:r>
          </w:p>
        </w:tc>
        <w:tc>
          <w:tcPr>
            <w:tcW w:w="2269" w:type="pct"/>
            <w:noWrap w:val="0"/>
            <w:vAlign w:val="center"/>
          </w:tcPr>
          <w:p w14:paraId="2373BCC9">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目前无明显人类活动，具有潜在重要生态价值的区域核心禁养区</w:t>
            </w:r>
          </w:p>
        </w:tc>
      </w:tr>
      <w:tr w14:paraId="66E0B4D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4A8963B6">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2626C18D">
            <w:pPr>
              <w:widowControl/>
              <w:spacing w:line="240" w:lineRule="auto"/>
              <w:rPr>
                <w:rFonts w:hint="eastAsia" w:ascii="宋体" w:hAnsi="宋体" w:eastAsia="宋体" w:cs="宋体"/>
                <w:color w:val="000000"/>
                <w:sz w:val="24"/>
                <w:szCs w:val="24"/>
              </w:rPr>
            </w:pPr>
          </w:p>
        </w:tc>
        <w:tc>
          <w:tcPr>
            <w:tcW w:w="382" w:type="pct"/>
            <w:noWrap w:val="0"/>
            <w:vAlign w:val="center"/>
          </w:tcPr>
          <w:p w14:paraId="01259E53">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1-2</w:t>
            </w:r>
          </w:p>
        </w:tc>
        <w:tc>
          <w:tcPr>
            <w:tcW w:w="4108" w:type="pct"/>
            <w:gridSpan w:val="3"/>
            <w:noWrap w:val="0"/>
            <w:vAlign w:val="center"/>
          </w:tcPr>
          <w:p w14:paraId="7B79E0C8">
            <w:pPr>
              <w:widowControl/>
              <w:spacing w:line="240" w:lineRule="auto"/>
              <w:rPr>
                <w:rFonts w:hint="eastAsia" w:ascii="宋体" w:hAnsi="宋体" w:eastAsia="宋体" w:cs="宋体"/>
                <w:color w:val="000000"/>
                <w:sz w:val="24"/>
                <w:szCs w:val="24"/>
              </w:rPr>
            </w:pPr>
            <w:r>
              <w:rPr>
                <w:rFonts w:hint="eastAsia" w:ascii="宋体" w:hAnsi="宋体" w:eastAsia="宋体" w:cs="宋体"/>
                <w:b w:val="0"/>
                <w:bCs w:val="0"/>
                <w:color w:val="000000"/>
                <w:kern w:val="2"/>
                <w:sz w:val="24"/>
                <w:szCs w:val="24"/>
                <w:lang w:val="en-US" w:eastAsia="zh-CN" w:bidi="ar-SA"/>
              </w:rPr>
              <w:t>饮用水水源地一级保护区禁养区</w:t>
            </w:r>
          </w:p>
        </w:tc>
      </w:tr>
      <w:tr w14:paraId="6769CD5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43C954DC">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25C8E6E8">
            <w:pPr>
              <w:widowControl/>
              <w:spacing w:line="240" w:lineRule="auto"/>
              <w:rPr>
                <w:rFonts w:hint="eastAsia" w:ascii="宋体" w:hAnsi="宋体" w:eastAsia="宋体" w:cs="宋体"/>
                <w:color w:val="000000"/>
                <w:sz w:val="24"/>
                <w:szCs w:val="24"/>
              </w:rPr>
            </w:pPr>
          </w:p>
        </w:tc>
        <w:tc>
          <w:tcPr>
            <w:tcW w:w="382" w:type="pct"/>
            <w:noWrap w:val="0"/>
            <w:vAlign w:val="center"/>
          </w:tcPr>
          <w:p w14:paraId="7AC3AC10">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w:t>
            </w:r>
          </w:p>
        </w:tc>
        <w:tc>
          <w:tcPr>
            <w:tcW w:w="4108" w:type="pct"/>
            <w:gridSpan w:val="3"/>
            <w:noWrap w:val="0"/>
            <w:vAlign w:val="center"/>
          </w:tcPr>
          <w:p w14:paraId="37D031B1">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城镇开发边界禁养区</w:t>
            </w:r>
          </w:p>
        </w:tc>
      </w:tr>
      <w:tr w14:paraId="027C5E6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01E847D3">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59B16430">
            <w:pPr>
              <w:widowControl/>
              <w:spacing w:line="240" w:lineRule="auto"/>
              <w:rPr>
                <w:rFonts w:hint="eastAsia" w:ascii="宋体" w:hAnsi="宋体" w:eastAsia="宋体" w:cs="宋体"/>
                <w:color w:val="000000"/>
                <w:sz w:val="24"/>
                <w:szCs w:val="24"/>
              </w:rPr>
            </w:pPr>
          </w:p>
        </w:tc>
        <w:tc>
          <w:tcPr>
            <w:tcW w:w="382" w:type="pct"/>
            <w:noWrap w:val="0"/>
            <w:vAlign w:val="center"/>
          </w:tcPr>
          <w:p w14:paraId="4A7B88A5">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1-4</w:t>
            </w:r>
          </w:p>
        </w:tc>
        <w:tc>
          <w:tcPr>
            <w:tcW w:w="4108" w:type="pct"/>
            <w:gridSpan w:val="3"/>
            <w:noWrap w:val="0"/>
            <w:vAlign w:val="center"/>
          </w:tcPr>
          <w:p w14:paraId="239C52AB">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耕地及永久基本农田保护红线禁养区</w:t>
            </w:r>
          </w:p>
        </w:tc>
      </w:tr>
      <w:tr w14:paraId="33062C2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030E7C96">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65DE3869">
            <w:pPr>
              <w:widowControl/>
              <w:spacing w:line="240" w:lineRule="auto"/>
              <w:rPr>
                <w:rFonts w:hint="eastAsia" w:ascii="宋体" w:hAnsi="宋体" w:eastAsia="宋体" w:cs="宋体"/>
                <w:color w:val="000000"/>
                <w:sz w:val="24"/>
                <w:szCs w:val="24"/>
              </w:rPr>
            </w:pPr>
          </w:p>
        </w:tc>
        <w:tc>
          <w:tcPr>
            <w:tcW w:w="382" w:type="pct"/>
            <w:noWrap w:val="0"/>
            <w:vAlign w:val="center"/>
          </w:tcPr>
          <w:p w14:paraId="6B0F6E0C">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1-5</w:t>
            </w:r>
          </w:p>
        </w:tc>
        <w:tc>
          <w:tcPr>
            <w:tcW w:w="4108" w:type="pct"/>
            <w:gridSpan w:val="3"/>
            <w:noWrap w:val="0"/>
            <w:vAlign w:val="center"/>
          </w:tcPr>
          <w:p w14:paraId="3F05FCB8">
            <w:pPr>
              <w:widowControl/>
              <w:spacing w:line="240" w:lineRule="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国家级水产种质资源保护</w:t>
            </w:r>
            <w:r>
              <w:rPr>
                <w:rFonts w:hint="eastAsia" w:ascii="宋体" w:hAnsi="宋体" w:eastAsia="宋体" w:cs="宋体"/>
                <w:color w:val="000000"/>
                <w:sz w:val="24"/>
                <w:szCs w:val="24"/>
                <w:lang w:val="en-US" w:eastAsia="zh-CN"/>
              </w:rPr>
              <w:t>区核心区</w:t>
            </w:r>
            <w:r>
              <w:rPr>
                <w:rFonts w:hint="eastAsia" w:ascii="宋体" w:hAnsi="宋体" w:eastAsia="宋体" w:cs="宋体"/>
                <w:color w:val="000000"/>
                <w:sz w:val="24"/>
                <w:szCs w:val="24"/>
              </w:rPr>
              <w:t>禁养区</w:t>
            </w:r>
            <w:r>
              <w:rPr>
                <w:rFonts w:hint="eastAsia" w:ascii="宋体" w:hAnsi="宋体" w:eastAsia="宋体" w:cs="宋体"/>
                <w:color w:val="000000"/>
                <w:sz w:val="24"/>
                <w:szCs w:val="24"/>
                <w:lang w:val="en-US" w:eastAsia="zh-CN"/>
              </w:rPr>
              <w:t xml:space="preserve">  </w:t>
            </w:r>
          </w:p>
        </w:tc>
      </w:tr>
      <w:tr w14:paraId="728AE44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6F73A4F0">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7A7A6382">
            <w:pPr>
              <w:widowControl/>
              <w:spacing w:line="240" w:lineRule="auto"/>
              <w:rPr>
                <w:rFonts w:hint="eastAsia" w:ascii="宋体" w:hAnsi="宋体" w:eastAsia="宋体" w:cs="宋体"/>
                <w:color w:val="000000"/>
                <w:sz w:val="24"/>
                <w:szCs w:val="24"/>
              </w:rPr>
            </w:pPr>
          </w:p>
        </w:tc>
        <w:tc>
          <w:tcPr>
            <w:tcW w:w="382" w:type="pct"/>
            <w:vMerge w:val="restart"/>
            <w:noWrap w:val="0"/>
            <w:vAlign w:val="center"/>
          </w:tcPr>
          <w:p w14:paraId="41F75387">
            <w:pPr>
              <w:widowControl/>
              <w:spacing w:line="240" w:lineRule="auto"/>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1-6</w:t>
            </w:r>
          </w:p>
        </w:tc>
        <w:tc>
          <w:tcPr>
            <w:tcW w:w="1218" w:type="pct"/>
            <w:vMerge w:val="restart"/>
            <w:noWrap w:val="0"/>
            <w:vAlign w:val="center"/>
          </w:tcPr>
          <w:p w14:paraId="4E29EDEC">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自然灾害综合风险重点防控区及其他高风险区域禁养区</w:t>
            </w:r>
          </w:p>
        </w:tc>
        <w:tc>
          <w:tcPr>
            <w:tcW w:w="621" w:type="pct"/>
            <w:noWrap w:val="0"/>
            <w:vAlign w:val="center"/>
          </w:tcPr>
          <w:p w14:paraId="79C7585C">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1-6-1</w:t>
            </w:r>
          </w:p>
        </w:tc>
        <w:tc>
          <w:tcPr>
            <w:tcW w:w="2269" w:type="pct"/>
            <w:noWrap w:val="0"/>
            <w:vAlign w:val="center"/>
          </w:tcPr>
          <w:p w14:paraId="4F6948C3">
            <w:pPr>
              <w:widowControl/>
              <w:spacing w:line="24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地震地质灾害禁养区</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FF0000"/>
                <w:sz w:val="24"/>
                <w:szCs w:val="24"/>
                <w:lang w:val="en-US" w:eastAsia="zh-CN"/>
              </w:rPr>
              <w:t xml:space="preserve"> </w:t>
            </w:r>
          </w:p>
        </w:tc>
      </w:tr>
      <w:tr w14:paraId="2CA5C82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66F75720">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243722DA">
            <w:pPr>
              <w:widowControl/>
              <w:spacing w:line="240" w:lineRule="auto"/>
              <w:rPr>
                <w:rFonts w:hint="eastAsia" w:ascii="宋体" w:hAnsi="宋体" w:eastAsia="宋体" w:cs="宋体"/>
                <w:color w:val="000000"/>
                <w:sz w:val="24"/>
                <w:szCs w:val="24"/>
              </w:rPr>
            </w:pPr>
          </w:p>
        </w:tc>
        <w:tc>
          <w:tcPr>
            <w:tcW w:w="382" w:type="pct"/>
            <w:vMerge w:val="continue"/>
            <w:noWrap w:val="0"/>
            <w:vAlign w:val="center"/>
          </w:tcPr>
          <w:p w14:paraId="0DDD006E">
            <w:pPr>
              <w:widowControl/>
              <w:spacing w:line="240" w:lineRule="auto"/>
              <w:jc w:val="center"/>
              <w:rPr>
                <w:rFonts w:hint="eastAsia" w:ascii="宋体" w:hAnsi="宋体" w:eastAsia="宋体" w:cs="宋体"/>
                <w:color w:val="000000"/>
                <w:sz w:val="24"/>
                <w:szCs w:val="24"/>
                <w:lang w:val="en-US" w:eastAsia="zh-CN"/>
              </w:rPr>
            </w:pPr>
          </w:p>
        </w:tc>
        <w:tc>
          <w:tcPr>
            <w:tcW w:w="1218" w:type="pct"/>
            <w:vMerge w:val="continue"/>
            <w:noWrap w:val="0"/>
            <w:vAlign w:val="center"/>
          </w:tcPr>
          <w:p w14:paraId="03512523">
            <w:pPr>
              <w:widowControl/>
              <w:spacing w:line="240" w:lineRule="auto"/>
              <w:rPr>
                <w:rFonts w:hint="eastAsia" w:ascii="宋体" w:hAnsi="宋体" w:eastAsia="宋体" w:cs="宋体"/>
                <w:color w:val="000000"/>
                <w:sz w:val="24"/>
                <w:szCs w:val="24"/>
              </w:rPr>
            </w:pPr>
          </w:p>
        </w:tc>
        <w:tc>
          <w:tcPr>
            <w:tcW w:w="621" w:type="pct"/>
            <w:noWrap w:val="0"/>
            <w:vAlign w:val="center"/>
          </w:tcPr>
          <w:p w14:paraId="5670BDCA">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1-6-2</w:t>
            </w:r>
          </w:p>
        </w:tc>
        <w:tc>
          <w:tcPr>
            <w:tcW w:w="2269" w:type="pct"/>
            <w:noWrap w:val="0"/>
            <w:vAlign w:val="center"/>
          </w:tcPr>
          <w:p w14:paraId="51D87DBE">
            <w:pPr>
              <w:widowControl/>
              <w:spacing w:line="24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洪涝自然灾害禁养区</w:t>
            </w:r>
            <w:r>
              <w:rPr>
                <w:rFonts w:hint="eastAsia" w:ascii="宋体" w:hAnsi="宋体" w:eastAsia="宋体" w:cs="宋体"/>
                <w:color w:val="000000"/>
                <w:sz w:val="24"/>
                <w:szCs w:val="24"/>
                <w:lang w:val="en-US" w:eastAsia="zh-CN"/>
              </w:rPr>
              <w:t xml:space="preserve">  </w:t>
            </w:r>
          </w:p>
        </w:tc>
      </w:tr>
      <w:tr w14:paraId="55E1262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50F7B36C">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3EEE5312">
            <w:pPr>
              <w:widowControl/>
              <w:spacing w:line="240" w:lineRule="auto"/>
              <w:rPr>
                <w:rFonts w:hint="eastAsia" w:ascii="宋体" w:hAnsi="宋体" w:eastAsia="宋体" w:cs="宋体"/>
                <w:color w:val="000000"/>
                <w:sz w:val="24"/>
                <w:szCs w:val="24"/>
              </w:rPr>
            </w:pPr>
          </w:p>
        </w:tc>
        <w:tc>
          <w:tcPr>
            <w:tcW w:w="382" w:type="pct"/>
            <w:vMerge w:val="continue"/>
            <w:noWrap w:val="0"/>
            <w:vAlign w:val="center"/>
          </w:tcPr>
          <w:p w14:paraId="729FCA2C">
            <w:pPr>
              <w:widowControl/>
              <w:spacing w:line="240" w:lineRule="auto"/>
              <w:jc w:val="center"/>
              <w:rPr>
                <w:rFonts w:hint="eastAsia" w:ascii="宋体" w:hAnsi="宋体" w:eastAsia="宋体" w:cs="宋体"/>
                <w:color w:val="000000"/>
                <w:sz w:val="24"/>
                <w:szCs w:val="24"/>
                <w:lang w:val="en-US" w:eastAsia="zh-CN"/>
              </w:rPr>
            </w:pPr>
          </w:p>
        </w:tc>
        <w:tc>
          <w:tcPr>
            <w:tcW w:w="1218" w:type="pct"/>
            <w:vMerge w:val="continue"/>
            <w:noWrap w:val="0"/>
            <w:vAlign w:val="center"/>
          </w:tcPr>
          <w:p w14:paraId="26BE7B15">
            <w:pPr>
              <w:widowControl/>
              <w:spacing w:line="240" w:lineRule="auto"/>
              <w:rPr>
                <w:rFonts w:hint="eastAsia" w:ascii="宋体" w:hAnsi="宋体" w:eastAsia="宋体" w:cs="宋体"/>
                <w:color w:val="000000"/>
                <w:sz w:val="24"/>
                <w:szCs w:val="24"/>
              </w:rPr>
            </w:pPr>
          </w:p>
        </w:tc>
        <w:tc>
          <w:tcPr>
            <w:tcW w:w="621" w:type="pct"/>
            <w:noWrap w:val="0"/>
            <w:vAlign w:val="center"/>
          </w:tcPr>
          <w:p w14:paraId="09021811">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1-6-3</w:t>
            </w:r>
          </w:p>
        </w:tc>
        <w:tc>
          <w:tcPr>
            <w:tcW w:w="2269" w:type="pct"/>
            <w:noWrap w:val="0"/>
            <w:vAlign w:val="center"/>
          </w:tcPr>
          <w:p w14:paraId="6BCB44FE">
            <w:pPr>
              <w:widowControl/>
              <w:spacing w:line="24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战略性矿产资源安全保障核心区及接续区禁养区</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FF0000"/>
                <w:sz w:val="24"/>
                <w:szCs w:val="24"/>
                <w:lang w:val="en-US" w:eastAsia="zh-CN"/>
              </w:rPr>
              <w:t xml:space="preserve"> </w:t>
            </w:r>
          </w:p>
        </w:tc>
      </w:tr>
      <w:tr w14:paraId="27C71A4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58934085">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690AB8E8">
            <w:pPr>
              <w:widowControl/>
              <w:spacing w:line="240" w:lineRule="auto"/>
              <w:rPr>
                <w:rFonts w:hint="eastAsia" w:ascii="宋体" w:hAnsi="宋体" w:eastAsia="宋体" w:cs="宋体"/>
                <w:color w:val="000000"/>
                <w:sz w:val="24"/>
                <w:szCs w:val="24"/>
              </w:rPr>
            </w:pPr>
          </w:p>
        </w:tc>
        <w:tc>
          <w:tcPr>
            <w:tcW w:w="382" w:type="pct"/>
            <w:vMerge w:val="continue"/>
            <w:noWrap w:val="0"/>
            <w:vAlign w:val="center"/>
          </w:tcPr>
          <w:p w14:paraId="5194E427">
            <w:pPr>
              <w:widowControl/>
              <w:spacing w:line="240" w:lineRule="auto"/>
              <w:jc w:val="center"/>
              <w:rPr>
                <w:rFonts w:hint="eastAsia" w:ascii="宋体" w:hAnsi="宋体" w:eastAsia="宋体" w:cs="宋体"/>
                <w:color w:val="000000"/>
                <w:sz w:val="24"/>
                <w:szCs w:val="24"/>
                <w:lang w:val="en-US" w:eastAsia="zh-CN"/>
              </w:rPr>
            </w:pPr>
          </w:p>
        </w:tc>
        <w:tc>
          <w:tcPr>
            <w:tcW w:w="1218" w:type="pct"/>
            <w:vMerge w:val="continue"/>
            <w:noWrap w:val="0"/>
            <w:vAlign w:val="center"/>
          </w:tcPr>
          <w:p w14:paraId="7250782A">
            <w:pPr>
              <w:widowControl/>
              <w:spacing w:line="240" w:lineRule="auto"/>
              <w:rPr>
                <w:rFonts w:hint="eastAsia" w:ascii="宋体" w:hAnsi="宋体" w:eastAsia="宋体" w:cs="宋体"/>
                <w:color w:val="000000"/>
                <w:sz w:val="24"/>
                <w:szCs w:val="24"/>
              </w:rPr>
            </w:pPr>
          </w:p>
        </w:tc>
        <w:tc>
          <w:tcPr>
            <w:tcW w:w="621" w:type="pct"/>
            <w:noWrap w:val="0"/>
            <w:vAlign w:val="center"/>
          </w:tcPr>
          <w:p w14:paraId="62A7F2D4">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1-6-4</w:t>
            </w:r>
          </w:p>
        </w:tc>
        <w:tc>
          <w:tcPr>
            <w:tcW w:w="2269" w:type="pct"/>
            <w:noWrap w:val="0"/>
            <w:vAlign w:val="center"/>
          </w:tcPr>
          <w:p w14:paraId="021F30D4">
            <w:pPr>
              <w:widowControl/>
              <w:spacing w:line="24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历史文化保护线禁养区</w:t>
            </w:r>
            <w:r>
              <w:rPr>
                <w:rFonts w:hint="eastAsia" w:ascii="宋体" w:hAnsi="宋体" w:eastAsia="宋体" w:cs="宋体"/>
                <w:color w:val="000000"/>
                <w:sz w:val="24"/>
                <w:szCs w:val="24"/>
                <w:lang w:val="en-US" w:eastAsia="zh-CN"/>
              </w:rPr>
              <w:t xml:space="preserve"> </w:t>
            </w:r>
          </w:p>
        </w:tc>
      </w:tr>
      <w:tr w14:paraId="5C5245E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004C2556">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163B0D96">
            <w:pPr>
              <w:widowControl/>
              <w:spacing w:line="240" w:lineRule="auto"/>
              <w:rPr>
                <w:rFonts w:hint="eastAsia" w:ascii="宋体" w:hAnsi="宋体" w:eastAsia="宋体" w:cs="宋体"/>
                <w:color w:val="000000"/>
                <w:sz w:val="24"/>
                <w:szCs w:val="24"/>
              </w:rPr>
            </w:pPr>
          </w:p>
        </w:tc>
        <w:tc>
          <w:tcPr>
            <w:tcW w:w="382" w:type="pct"/>
            <w:noWrap w:val="0"/>
            <w:vAlign w:val="center"/>
          </w:tcPr>
          <w:p w14:paraId="7B324F5C">
            <w:pPr>
              <w:widowControl/>
              <w:spacing w:line="240" w:lineRule="auto"/>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1-7</w:t>
            </w:r>
          </w:p>
        </w:tc>
        <w:tc>
          <w:tcPr>
            <w:tcW w:w="4108" w:type="pct"/>
            <w:gridSpan w:val="3"/>
            <w:noWrap w:val="0"/>
            <w:vAlign w:val="center"/>
          </w:tcPr>
          <w:p w14:paraId="4B3D543C">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公共设施安全区域禁养区（港口、航道、行洪区、河道堤防安全区等）</w:t>
            </w:r>
          </w:p>
        </w:tc>
      </w:tr>
      <w:tr w14:paraId="60953E2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664BA8AE">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01758028">
            <w:pPr>
              <w:widowControl/>
              <w:spacing w:line="240" w:lineRule="auto"/>
              <w:rPr>
                <w:rFonts w:hint="eastAsia" w:ascii="宋体" w:hAnsi="宋体" w:eastAsia="宋体" w:cs="宋体"/>
                <w:color w:val="000000"/>
                <w:sz w:val="24"/>
                <w:szCs w:val="24"/>
              </w:rPr>
            </w:pPr>
          </w:p>
        </w:tc>
        <w:tc>
          <w:tcPr>
            <w:tcW w:w="382" w:type="pct"/>
            <w:noWrap w:val="0"/>
            <w:vAlign w:val="center"/>
          </w:tcPr>
          <w:p w14:paraId="10F5EDDC">
            <w:pPr>
              <w:widowControl/>
              <w:spacing w:line="240" w:lineRule="auto"/>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1-8</w:t>
            </w:r>
          </w:p>
        </w:tc>
        <w:tc>
          <w:tcPr>
            <w:tcW w:w="4108" w:type="pct"/>
            <w:gridSpan w:val="3"/>
            <w:noWrap w:val="0"/>
            <w:vAlign w:val="center"/>
          </w:tcPr>
          <w:p w14:paraId="5C7682C6">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有毒有害物质超过规定标准水体禁养区</w:t>
            </w:r>
          </w:p>
        </w:tc>
      </w:tr>
      <w:tr w14:paraId="3A41ACD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2287DDC1">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1B53F581">
            <w:pPr>
              <w:widowControl/>
              <w:spacing w:line="240" w:lineRule="auto"/>
              <w:rPr>
                <w:rFonts w:hint="eastAsia" w:ascii="宋体" w:hAnsi="宋体" w:eastAsia="宋体" w:cs="宋体"/>
                <w:color w:val="000000"/>
                <w:sz w:val="24"/>
                <w:szCs w:val="24"/>
              </w:rPr>
            </w:pPr>
          </w:p>
        </w:tc>
        <w:tc>
          <w:tcPr>
            <w:tcW w:w="382" w:type="pct"/>
            <w:noWrap w:val="0"/>
            <w:vAlign w:val="center"/>
          </w:tcPr>
          <w:p w14:paraId="424ACA27">
            <w:pPr>
              <w:widowControl/>
              <w:spacing w:line="240" w:lineRule="auto"/>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1-9</w:t>
            </w:r>
          </w:p>
        </w:tc>
        <w:tc>
          <w:tcPr>
            <w:tcW w:w="4108" w:type="pct"/>
            <w:gridSpan w:val="3"/>
            <w:noWrap w:val="0"/>
            <w:vAlign w:val="center"/>
          </w:tcPr>
          <w:p w14:paraId="2433734B">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法律法规规定的其他禁养区</w:t>
            </w:r>
          </w:p>
        </w:tc>
      </w:tr>
      <w:tr w14:paraId="2FBD746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restart"/>
            <w:noWrap w:val="0"/>
            <w:vAlign w:val="center"/>
          </w:tcPr>
          <w:p w14:paraId="44594C01">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255" w:type="pct"/>
            <w:vMerge w:val="restart"/>
            <w:noWrap w:val="0"/>
            <w:vAlign w:val="center"/>
          </w:tcPr>
          <w:p w14:paraId="179C537B">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限</w:t>
            </w:r>
          </w:p>
          <w:p w14:paraId="6AB225E2">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养</w:t>
            </w:r>
          </w:p>
          <w:p w14:paraId="0A74F393">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区</w:t>
            </w:r>
          </w:p>
        </w:tc>
        <w:tc>
          <w:tcPr>
            <w:tcW w:w="382" w:type="pct"/>
            <w:vMerge w:val="restart"/>
            <w:noWrap w:val="0"/>
            <w:vAlign w:val="center"/>
          </w:tcPr>
          <w:p w14:paraId="35C7E812">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2-1</w:t>
            </w:r>
          </w:p>
        </w:tc>
        <w:tc>
          <w:tcPr>
            <w:tcW w:w="1218" w:type="pct"/>
            <w:vMerge w:val="restart"/>
            <w:noWrap w:val="0"/>
            <w:vAlign w:val="center"/>
          </w:tcPr>
          <w:p w14:paraId="3C2BA231">
            <w:pPr>
              <w:widowControl/>
              <w:spacing w:line="24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生态保护红线</w:t>
            </w:r>
            <w:r>
              <w:rPr>
                <w:rFonts w:hint="eastAsia" w:ascii="宋体" w:hAnsi="宋体" w:eastAsia="宋体" w:cs="宋体"/>
                <w:color w:val="000000"/>
                <w:sz w:val="24"/>
                <w:szCs w:val="24"/>
                <w:lang w:val="en-US" w:eastAsia="zh-CN"/>
              </w:rPr>
              <w:t>内一般控制区及</w:t>
            </w:r>
            <w:r>
              <w:rPr>
                <w:rFonts w:hint="eastAsia" w:ascii="宋体" w:hAnsi="宋体" w:eastAsia="宋体" w:cs="宋体"/>
                <w:color w:val="000000"/>
                <w:sz w:val="24"/>
                <w:szCs w:val="24"/>
              </w:rPr>
              <w:t>非核心区域</w:t>
            </w:r>
            <w:r>
              <w:rPr>
                <w:rFonts w:hint="eastAsia" w:ascii="宋体" w:hAnsi="宋体" w:eastAsia="宋体" w:cs="宋体"/>
                <w:color w:val="000000"/>
                <w:sz w:val="24"/>
                <w:szCs w:val="24"/>
                <w:lang w:val="en-US" w:eastAsia="zh-CN"/>
              </w:rPr>
              <w:t>限养区</w:t>
            </w:r>
          </w:p>
        </w:tc>
        <w:tc>
          <w:tcPr>
            <w:tcW w:w="621" w:type="pct"/>
            <w:noWrap w:val="0"/>
            <w:vAlign w:val="center"/>
          </w:tcPr>
          <w:p w14:paraId="7E3F071B">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2-1-1</w:t>
            </w:r>
          </w:p>
        </w:tc>
        <w:tc>
          <w:tcPr>
            <w:tcW w:w="2269" w:type="pct"/>
            <w:noWrap w:val="0"/>
            <w:vAlign w:val="center"/>
          </w:tcPr>
          <w:p w14:paraId="7CB94620">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自然保护地一般控制区</w:t>
            </w:r>
            <w:r>
              <w:rPr>
                <w:rFonts w:hint="eastAsia" w:ascii="宋体" w:hAnsi="宋体" w:eastAsia="宋体" w:cs="宋体"/>
                <w:color w:val="000000"/>
                <w:sz w:val="24"/>
                <w:szCs w:val="24"/>
                <w:lang w:val="en-US" w:eastAsia="zh-CN"/>
              </w:rPr>
              <w:t>限养区</w:t>
            </w:r>
          </w:p>
        </w:tc>
      </w:tr>
      <w:tr w14:paraId="0E180F4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0C70969F">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0C09FB1B">
            <w:pPr>
              <w:widowControl/>
              <w:spacing w:line="240" w:lineRule="auto"/>
              <w:rPr>
                <w:rFonts w:hint="eastAsia" w:ascii="宋体" w:hAnsi="宋体" w:eastAsia="宋体" w:cs="宋体"/>
                <w:color w:val="000000"/>
                <w:sz w:val="24"/>
                <w:szCs w:val="24"/>
              </w:rPr>
            </w:pPr>
          </w:p>
        </w:tc>
        <w:tc>
          <w:tcPr>
            <w:tcW w:w="382" w:type="pct"/>
            <w:vMerge w:val="continue"/>
            <w:noWrap w:val="0"/>
            <w:vAlign w:val="center"/>
          </w:tcPr>
          <w:p w14:paraId="08D70325">
            <w:pPr>
              <w:widowControl/>
              <w:spacing w:line="240" w:lineRule="auto"/>
              <w:jc w:val="center"/>
              <w:rPr>
                <w:rFonts w:hint="eastAsia" w:ascii="宋体" w:hAnsi="宋体" w:eastAsia="宋体" w:cs="宋体"/>
                <w:color w:val="000000"/>
                <w:sz w:val="24"/>
                <w:szCs w:val="24"/>
              </w:rPr>
            </w:pPr>
          </w:p>
        </w:tc>
        <w:tc>
          <w:tcPr>
            <w:tcW w:w="1218" w:type="pct"/>
            <w:vMerge w:val="continue"/>
            <w:noWrap w:val="0"/>
            <w:vAlign w:val="center"/>
          </w:tcPr>
          <w:p w14:paraId="0BC58BEC">
            <w:pPr>
              <w:widowControl/>
              <w:spacing w:line="240" w:lineRule="auto"/>
              <w:rPr>
                <w:rFonts w:hint="eastAsia" w:ascii="宋体" w:hAnsi="宋体" w:eastAsia="宋体" w:cs="宋体"/>
                <w:color w:val="000000"/>
                <w:sz w:val="24"/>
                <w:szCs w:val="24"/>
              </w:rPr>
            </w:pPr>
          </w:p>
        </w:tc>
        <w:tc>
          <w:tcPr>
            <w:tcW w:w="621" w:type="pct"/>
            <w:noWrap w:val="0"/>
            <w:vAlign w:val="center"/>
          </w:tcPr>
          <w:p w14:paraId="60B64FC1">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-2</w:t>
            </w:r>
          </w:p>
        </w:tc>
        <w:tc>
          <w:tcPr>
            <w:tcW w:w="2269" w:type="pct"/>
            <w:noWrap w:val="0"/>
            <w:vAlign w:val="center"/>
          </w:tcPr>
          <w:p w14:paraId="5F4D0A2C">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重要水源涵养区</w:t>
            </w:r>
            <w:r>
              <w:rPr>
                <w:rFonts w:hint="eastAsia" w:ascii="宋体" w:hAnsi="宋体" w:eastAsia="宋体" w:cs="宋体"/>
                <w:color w:val="000000"/>
                <w:sz w:val="24"/>
                <w:szCs w:val="24"/>
                <w:lang w:val="en-US" w:eastAsia="zh-CN"/>
              </w:rPr>
              <w:t>限养区</w:t>
            </w:r>
          </w:p>
        </w:tc>
      </w:tr>
      <w:tr w14:paraId="188D857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3EC7D237">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07A55884">
            <w:pPr>
              <w:widowControl/>
              <w:spacing w:line="240" w:lineRule="auto"/>
              <w:rPr>
                <w:rFonts w:hint="eastAsia" w:ascii="宋体" w:hAnsi="宋体" w:eastAsia="宋体" w:cs="宋体"/>
                <w:color w:val="000000"/>
                <w:sz w:val="24"/>
                <w:szCs w:val="24"/>
              </w:rPr>
            </w:pPr>
          </w:p>
        </w:tc>
        <w:tc>
          <w:tcPr>
            <w:tcW w:w="382" w:type="pct"/>
            <w:vMerge w:val="continue"/>
            <w:noWrap w:val="0"/>
            <w:vAlign w:val="center"/>
          </w:tcPr>
          <w:p w14:paraId="6165E7E5">
            <w:pPr>
              <w:widowControl/>
              <w:spacing w:line="240" w:lineRule="auto"/>
              <w:jc w:val="center"/>
              <w:rPr>
                <w:rFonts w:hint="eastAsia" w:ascii="宋体" w:hAnsi="宋体" w:eastAsia="宋体" w:cs="宋体"/>
                <w:color w:val="000000"/>
                <w:sz w:val="24"/>
                <w:szCs w:val="24"/>
              </w:rPr>
            </w:pPr>
          </w:p>
        </w:tc>
        <w:tc>
          <w:tcPr>
            <w:tcW w:w="1218" w:type="pct"/>
            <w:vMerge w:val="continue"/>
            <w:noWrap w:val="0"/>
            <w:vAlign w:val="center"/>
          </w:tcPr>
          <w:p w14:paraId="3BB43DC7">
            <w:pPr>
              <w:widowControl/>
              <w:spacing w:line="240" w:lineRule="auto"/>
              <w:rPr>
                <w:rFonts w:hint="eastAsia" w:ascii="宋体" w:hAnsi="宋体" w:eastAsia="宋体" w:cs="宋体"/>
                <w:color w:val="000000"/>
                <w:sz w:val="24"/>
                <w:szCs w:val="24"/>
              </w:rPr>
            </w:pPr>
          </w:p>
        </w:tc>
        <w:tc>
          <w:tcPr>
            <w:tcW w:w="621" w:type="pct"/>
            <w:noWrap w:val="0"/>
            <w:vAlign w:val="center"/>
          </w:tcPr>
          <w:p w14:paraId="65D011CD">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2-1-3</w:t>
            </w:r>
          </w:p>
        </w:tc>
        <w:tc>
          <w:tcPr>
            <w:tcW w:w="2269" w:type="pct"/>
            <w:noWrap w:val="0"/>
            <w:vAlign w:val="center"/>
          </w:tcPr>
          <w:p w14:paraId="76F88CC6">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生物多样性维护区</w:t>
            </w:r>
            <w:r>
              <w:rPr>
                <w:rFonts w:hint="eastAsia" w:ascii="宋体" w:hAnsi="宋体" w:eastAsia="宋体" w:cs="宋体"/>
                <w:color w:val="000000"/>
                <w:sz w:val="24"/>
                <w:szCs w:val="24"/>
                <w:lang w:val="en-US" w:eastAsia="zh-CN"/>
              </w:rPr>
              <w:t>限养区</w:t>
            </w:r>
          </w:p>
        </w:tc>
      </w:tr>
      <w:tr w14:paraId="30770D8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53758DAA">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70E90061">
            <w:pPr>
              <w:widowControl/>
              <w:spacing w:line="240" w:lineRule="auto"/>
              <w:rPr>
                <w:rFonts w:hint="eastAsia" w:ascii="宋体" w:hAnsi="宋体" w:eastAsia="宋体" w:cs="宋体"/>
                <w:color w:val="000000"/>
                <w:sz w:val="24"/>
                <w:szCs w:val="24"/>
              </w:rPr>
            </w:pPr>
          </w:p>
        </w:tc>
        <w:tc>
          <w:tcPr>
            <w:tcW w:w="382" w:type="pct"/>
            <w:vMerge w:val="continue"/>
            <w:noWrap w:val="0"/>
            <w:vAlign w:val="center"/>
          </w:tcPr>
          <w:p w14:paraId="76950B1A">
            <w:pPr>
              <w:widowControl/>
              <w:spacing w:line="240" w:lineRule="auto"/>
              <w:jc w:val="center"/>
              <w:rPr>
                <w:rFonts w:hint="eastAsia" w:ascii="宋体" w:hAnsi="宋体" w:eastAsia="宋体" w:cs="宋体"/>
                <w:color w:val="000000"/>
                <w:sz w:val="24"/>
                <w:szCs w:val="24"/>
              </w:rPr>
            </w:pPr>
          </w:p>
        </w:tc>
        <w:tc>
          <w:tcPr>
            <w:tcW w:w="1218" w:type="pct"/>
            <w:vMerge w:val="continue"/>
            <w:noWrap w:val="0"/>
            <w:vAlign w:val="center"/>
          </w:tcPr>
          <w:p w14:paraId="1E7AAF24">
            <w:pPr>
              <w:widowControl/>
              <w:spacing w:line="240" w:lineRule="auto"/>
              <w:rPr>
                <w:rFonts w:hint="eastAsia" w:ascii="宋体" w:hAnsi="宋体" w:eastAsia="宋体" w:cs="宋体"/>
                <w:color w:val="000000"/>
                <w:sz w:val="24"/>
                <w:szCs w:val="24"/>
              </w:rPr>
            </w:pPr>
          </w:p>
        </w:tc>
        <w:tc>
          <w:tcPr>
            <w:tcW w:w="621" w:type="pct"/>
            <w:noWrap w:val="0"/>
            <w:vAlign w:val="center"/>
          </w:tcPr>
          <w:p w14:paraId="63F86F03">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2-1-4</w:t>
            </w:r>
          </w:p>
        </w:tc>
        <w:tc>
          <w:tcPr>
            <w:tcW w:w="2269" w:type="pct"/>
            <w:noWrap w:val="0"/>
            <w:vAlign w:val="center"/>
          </w:tcPr>
          <w:p w14:paraId="0F9570B4">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水土保持区</w:t>
            </w:r>
            <w:r>
              <w:rPr>
                <w:rFonts w:hint="eastAsia" w:ascii="宋体" w:hAnsi="宋体" w:eastAsia="宋体" w:cs="宋体"/>
                <w:color w:val="000000"/>
                <w:sz w:val="24"/>
                <w:szCs w:val="24"/>
                <w:lang w:val="en-US" w:eastAsia="zh-CN"/>
              </w:rPr>
              <w:t>限养区</w:t>
            </w:r>
          </w:p>
        </w:tc>
      </w:tr>
      <w:tr w14:paraId="682118E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77912FBA">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7F2F7ED6">
            <w:pPr>
              <w:widowControl/>
              <w:spacing w:line="240" w:lineRule="auto"/>
              <w:rPr>
                <w:rFonts w:hint="eastAsia" w:ascii="宋体" w:hAnsi="宋体" w:eastAsia="宋体" w:cs="宋体"/>
                <w:color w:val="000000"/>
                <w:sz w:val="24"/>
                <w:szCs w:val="24"/>
              </w:rPr>
            </w:pPr>
          </w:p>
        </w:tc>
        <w:tc>
          <w:tcPr>
            <w:tcW w:w="382" w:type="pct"/>
            <w:vMerge w:val="continue"/>
            <w:noWrap w:val="0"/>
            <w:vAlign w:val="center"/>
          </w:tcPr>
          <w:p w14:paraId="7B7400BA">
            <w:pPr>
              <w:widowControl/>
              <w:spacing w:line="240" w:lineRule="auto"/>
              <w:jc w:val="center"/>
              <w:rPr>
                <w:rFonts w:hint="eastAsia" w:ascii="宋体" w:hAnsi="宋体" w:eastAsia="宋体" w:cs="宋体"/>
                <w:color w:val="000000"/>
                <w:sz w:val="24"/>
                <w:szCs w:val="24"/>
              </w:rPr>
            </w:pPr>
          </w:p>
        </w:tc>
        <w:tc>
          <w:tcPr>
            <w:tcW w:w="1218" w:type="pct"/>
            <w:vMerge w:val="continue"/>
            <w:noWrap w:val="0"/>
            <w:vAlign w:val="center"/>
          </w:tcPr>
          <w:p w14:paraId="344C8533">
            <w:pPr>
              <w:widowControl/>
              <w:spacing w:line="240" w:lineRule="auto"/>
              <w:rPr>
                <w:rFonts w:hint="eastAsia" w:ascii="宋体" w:hAnsi="宋体" w:eastAsia="宋体" w:cs="宋体"/>
                <w:color w:val="000000"/>
                <w:sz w:val="24"/>
                <w:szCs w:val="24"/>
              </w:rPr>
            </w:pPr>
          </w:p>
        </w:tc>
        <w:tc>
          <w:tcPr>
            <w:tcW w:w="621" w:type="pct"/>
            <w:noWrap w:val="0"/>
            <w:vAlign w:val="center"/>
          </w:tcPr>
          <w:p w14:paraId="01AA922B">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2-1-5</w:t>
            </w:r>
          </w:p>
        </w:tc>
        <w:tc>
          <w:tcPr>
            <w:tcW w:w="2269" w:type="pct"/>
            <w:noWrap w:val="0"/>
            <w:vAlign w:val="center"/>
          </w:tcPr>
          <w:p w14:paraId="75654FE2">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防风固沙区</w:t>
            </w:r>
            <w:r>
              <w:rPr>
                <w:rFonts w:hint="eastAsia" w:ascii="宋体" w:hAnsi="宋体" w:eastAsia="宋体" w:cs="宋体"/>
                <w:color w:val="000000"/>
                <w:sz w:val="24"/>
                <w:szCs w:val="24"/>
                <w:lang w:val="en-US" w:eastAsia="zh-CN"/>
              </w:rPr>
              <w:t>限养区</w:t>
            </w:r>
          </w:p>
        </w:tc>
      </w:tr>
      <w:tr w14:paraId="4EE42FB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03214B9C">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72DCA231">
            <w:pPr>
              <w:widowControl/>
              <w:spacing w:line="240" w:lineRule="auto"/>
              <w:rPr>
                <w:rFonts w:hint="eastAsia" w:ascii="宋体" w:hAnsi="宋体" w:eastAsia="宋体" w:cs="宋体"/>
                <w:color w:val="000000"/>
                <w:sz w:val="24"/>
                <w:szCs w:val="24"/>
              </w:rPr>
            </w:pPr>
          </w:p>
        </w:tc>
        <w:tc>
          <w:tcPr>
            <w:tcW w:w="382" w:type="pct"/>
            <w:vMerge w:val="continue"/>
            <w:noWrap w:val="0"/>
            <w:vAlign w:val="center"/>
          </w:tcPr>
          <w:p w14:paraId="29A8C120">
            <w:pPr>
              <w:widowControl/>
              <w:spacing w:line="240" w:lineRule="auto"/>
              <w:jc w:val="center"/>
              <w:rPr>
                <w:rFonts w:hint="eastAsia" w:ascii="宋体" w:hAnsi="宋体" w:eastAsia="宋体" w:cs="宋体"/>
                <w:color w:val="000000"/>
                <w:sz w:val="24"/>
                <w:szCs w:val="24"/>
              </w:rPr>
            </w:pPr>
          </w:p>
        </w:tc>
        <w:tc>
          <w:tcPr>
            <w:tcW w:w="1218" w:type="pct"/>
            <w:vMerge w:val="continue"/>
            <w:noWrap w:val="0"/>
            <w:vAlign w:val="center"/>
          </w:tcPr>
          <w:p w14:paraId="5ADD0511">
            <w:pPr>
              <w:widowControl/>
              <w:spacing w:line="240" w:lineRule="auto"/>
              <w:rPr>
                <w:rFonts w:hint="eastAsia" w:ascii="宋体" w:hAnsi="宋体" w:eastAsia="宋体" w:cs="宋体"/>
                <w:color w:val="000000"/>
                <w:sz w:val="24"/>
                <w:szCs w:val="24"/>
              </w:rPr>
            </w:pPr>
          </w:p>
        </w:tc>
        <w:tc>
          <w:tcPr>
            <w:tcW w:w="621" w:type="pct"/>
            <w:noWrap w:val="0"/>
            <w:vAlign w:val="center"/>
          </w:tcPr>
          <w:p w14:paraId="7567494B">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2-1-6</w:t>
            </w:r>
          </w:p>
        </w:tc>
        <w:tc>
          <w:tcPr>
            <w:tcW w:w="2269" w:type="pct"/>
            <w:noWrap w:val="0"/>
            <w:vAlign w:val="center"/>
          </w:tcPr>
          <w:p w14:paraId="114EDDDF">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其他生态极敏感区及极脆弱区</w:t>
            </w:r>
            <w:r>
              <w:rPr>
                <w:rFonts w:hint="eastAsia" w:ascii="宋体" w:hAnsi="宋体" w:eastAsia="宋体" w:cs="宋体"/>
                <w:color w:val="000000"/>
                <w:sz w:val="24"/>
                <w:szCs w:val="24"/>
                <w:lang w:val="en-US" w:eastAsia="zh-CN"/>
              </w:rPr>
              <w:t>限养区</w:t>
            </w:r>
          </w:p>
        </w:tc>
      </w:tr>
      <w:tr w14:paraId="4CA4E65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729DEEBD">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1B0CD775">
            <w:pPr>
              <w:widowControl/>
              <w:spacing w:line="240" w:lineRule="auto"/>
              <w:rPr>
                <w:rFonts w:hint="eastAsia" w:ascii="宋体" w:hAnsi="宋体" w:eastAsia="宋体" w:cs="宋体"/>
                <w:color w:val="000000"/>
                <w:sz w:val="24"/>
                <w:szCs w:val="24"/>
              </w:rPr>
            </w:pPr>
          </w:p>
        </w:tc>
        <w:tc>
          <w:tcPr>
            <w:tcW w:w="382" w:type="pct"/>
            <w:vMerge w:val="continue"/>
            <w:noWrap w:val="0"/>
            <w:vAlign w:val="center"/>
          </w:tcPr>
          <w:p w14:paraId="4D2D9F46">
            <w:pPr>
              <w:widowControl/>
              <w:spacing w:line="240" w:lineRule="auto"/>
              <w:jc w:val="center"/>
              <w:rPr>
                <w:rFonts w:hint="eastAsia" w:ascii="宋体" w:hAnsi="宋体" w:eastAsia="宋体" w:cs="宋体"/>
                <w:color w:val="000000"/>
                <w:sz w:val="24"/>
                <w:szCs w:val="24"/>
              </w:rPr>
            </w:pPr>
          </w:p>
        </w:tc>
        <w:tc>
          <w:tcPr>
            <w:tcW w:w="1218" w:type="pct"/>
            <w:vMerge w:val="continue"/>
            <w:noWrap w:val="0"/>
            <w:vAlign w:val="center"/>
          </w:tcPr>
          <w:p w14:paraId="7F6C9CD8">
            <w:pPr>
              <w:widowControl/>
              <w:spacing w:line="240" w:lineRule="auto"/>
              <w:rPr>
                <w:rFonts w:hint="eastAsia" w:ascii="宋体" w:hAnsi="宋体" w:eastAsia="宋体" w:cs="宋体"/>
                <w:color w:val="000000"/>
                <w:sz w:val="24"/>
                <w:szCs w:val="24"/>
              </w:rPr>
            </w:pPr>
          </w:p>
        </w:tc>
        <w:tc>
          <w:tcPr>
            <w:tcW w:w="621" w:type="pct"/>
            <w:noWrap w:val="0"/>
            <w:vAlign w:val="center"/>
          </w:tcPr>
          <w:p w14:paraId="4F05A3BC">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2-1-7</w:t>
            </w:r>
          </w:p>
        </w:tc>
        <w:tc>
          <w:tcPr>
            <w:tcW w:w="2269" w:type="pct"/>
            <w:noWrap w:val="0"/>
            <w:vAlign w:val="center"/>
          </w:tcPr>
          <w:p w14:paraId="697E97E3">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其他生态功能极其重要区域</w:t>
            </w:r>
            <w:r>
              <w:rPr>
                <w:rFonts w:hint="eastAsia" w:ascii="宋体" w:hAnsi="宋体" w:eastAsia="宋体" w:cs="宋体"/>
                <w:color w:val="000000"/>
                <w:sz w:val="24"/>
                <w:szCs w:val="24"/>
                <w:lang w:val="en-US" w:eastAsia="zh-CN"/>
              </w:rPr>
              <w:t>限养区</w:t>
            </w:r>
          </w:p>
        </w:tc>
      </w:tr>
      <w:tr w14:paraId="3434BBB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7101D7C5">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79EB5B6E">
            <w:pPr>
              <w:widowControl/>
              <w:spacing w:line="240" w:lineRule="auto"/>
              <w:rPr>
                <w:rFonts w:hint="eastAsia" w:ascii="宋体" w:hAnsi="宋体" w:eastAsia="宋体" w:cs="宋体"/>
                <w:color w:val="000000"/>
                <w:sz w:val="24"/>
                <w:szCs w:val="24"/>
              </w:rPr>
            </w:pPr>
          </w:p>
        </w:tc>
        <w:tc>
          <w:tcPr>
            <w:tcW w:w="382" w:type="pct"/>
            <w:vMerge w:val="continue"/>
            <w:noWrap w:val="0"/>
            <w:vAlign w:val="center"/>
          </w:tcPr>
          <w:p w14:paraId="519A0721">
            <w:pPr>
              <w:widowControl/>
              <w:spacing w:line="240" w:lineRule="auto"/>
              <w:jc w:val="center"/>
              <w:rPr>
                <w:rFonts w:hint="eastAsia" w:ascii="宋体" w:hAnsi="宋体" w:eastAsia="宋体" w:cs="宋体"/>
                <w:color w:val="000000"/>
                <w:sz w:val="24"/>
                <w:szCs w:val="24"/>
              </w:rPr>
            </w:pPr>
          </w:p>
        </w:tc>
        <w:tc>
          <w:tcPr>
            <w:tcW w:w="1218" w:type="pct"/>
            <w:vMerge w:val="continue"/>
            <w:noWrap w:val="0"/>
            <w:vAlign w:val="center"/>
          </w:tcPr>
          <w:p w14:paraId="2739FFF2">
            <w:pPr>
              <w:widowControl/>
              <w:spacing w:line="240" w:lineRule="auto"/>
              <w:rPr>
                <w:rFonts w:hint="eastAsia" w:ascii="宋体" w:hAnsi="宋体" w:eastAsia="宋体" w:cs="宋体"/>
                <w:color w:val="000000"/>
                <w:sz w:val="24"/>
                <w:szCs w:val="24"/>
              </w:rPr>
            </w:pPr>
          </w:p>
        </w:tc>
        <w:tc>
          <w:tcPr>
            <w:tcW w:w="621" w:type="pct"/>
            <w:noWrap w:val="0"/>
            <w:vAlign w:val="center"/>
          </w:tcPr>
          <w:p w14:paraId="645D5FE0">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2-1-8</w:t>
            </w:r>
          </w:p>
        </w:tc>
        <w:tc>
          <w:tcPr>
            <w:tcW w:w="2269" w:type="pct"/>
            <w:noWrap w:val="0"/>
            <w:vAlign w:val="center"/>
          </w:tcPr>
          <w:p w14:paraId="6CC375E0">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目前无明显人类活动，具有潜在重要生态价值，必须强制性严格保护地区非核心区</w:t>
            </w:r>
            <w:r>
              <w:rPr>
                <w:rFonts w:hint="eastAsia" w:ascii="宋体" w:hAnsi="宋体" w:eastAsia="宋体" w:cs="宋体"/>
                <w:color w:val="000000"/>
                <w:sz w:val="24"/>
                <w:szCs w:val="24"/>
                <w:lang w:val="en-US" w:eastAsia="zh-CN"/>
              </w:rPr>
              <w:t>限养区</w:t>
            </w:r>
          </w:p>
        </w:tc>
      </w:tr>
      <w:tr w14:paraId="2DDD126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6ECFC665">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17766145">
            <w:pPr>
              <w:widowControl/>
              <w:spacing w:line="240" w:lineRule="auto"/>
              <w:rPr>
                <w:rFonts w:hint="eastAsia" w:ascii="宋体" w:hAnsi="宋体" w:eastAsia="宋体" w:cs="宋体"/>
                <w:color w:val="000000"/>
                <w:sz w:val="24"/>
                <w:szCs w:val="24"/>
              </w:rPr>
            </w:pPr>
          </w:p>
        </w:tc>
        <w:tc>
          <w:tcPr>
            <w:tcW w:w="382" w:type="pct"/>
            <w:noWrap w:val="0"/>
            <w:vAlign w:val="center"/>
          </w:tcPr>
          <w:p w14:paraId="275D527A">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2-2</w:t>
            </w:r>
          </w:p>
        </w:tc>
        <w:tc>
          <w:tcPr>
            <w:tcW w:w="4108" w:type="pct"/>
            <w:gridSpan w:val="3"/>
            <w:noWrap w:val="0"/>
            <w:vAlign w:val="center"/>
          </w:tcPr>
          <w:p w14:paraId="061742AE">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饮用水水源地二级保护区</w:t>
            </w:r>
            <w:r>
              <w:rPr>
                <w:rFonts w:hint="eastAsia" w:ascii="宋体" w:hAnsi="宋体" w:eastAsia="宋体" w:cs="宋体"/>
                <w:color w:val="000000"/>
                <w:sz w:val="24"/>
                <w:szCs w:val="24"/>
                <w:lang w:val="en-US" w:eastAsia="zh-CN"/>
              </w:rPr>
              <w:t>限养区</w:t>
            </w:r>
          </w:p>
        </w:tc>
      </w:tr>
      <w:tr w14:paraId="33FB0B8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247C6290">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50C8E0EC">
            <w:pPr>
              <w:widowControl/>
              <w:spacing w:line="240" w:lineRule="auto"/>
              <w:rPr>
                <w:rFonts w:hint="eastAsia" w:ascii="宋体" w:hAnsi="宋体" w:eastAsia="宋体" w:cs="宋体"/>
                <w:color w:val="000000"/>
                <w:sz w:val="24"/>
                <w:szCs w:val="24"/>
              </w:rPr>
            </w:pPr>
          </w:p>
        </w:tc>
        <w:tc>
          <w:tcPr>
            <w:tcW w:w="382" w:type="pct"/>
            <w:noWrap w:val="0"/>
            <w:vAlign w:val="center"/>
          </w:tcPr>
          <w:p w14:paraId="0D6CB23C">
            <w:pPr>
              <w:widowControl/>
              <w:spacing w:line="240" w:lineRule="auto"/>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2-3</w:t>
            </w:r>
          </w:p>
        </w:tc>
        <w:tc>
          <w:tcPr>
            <w:tcW w:w="4108" w:type="pct"/>
            <w:gridSpan w:val="3"/>
            <w:noWrap w:val="0"/>
            <w:vAlign w:val="center"/>
          </w:tcPr>
          <w:p w14:paraId="553F7059">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国家级水产种质资源保护区</w:t>
            </w:r>
            <w:r>
              <w:rPr>
                <w:rFonts w:hint="eastAsia" w:ascii="宋体" w:hAnsi="宋体" w:eastAsia="宋体" w:cs="宋体"/>
                <w:color w:val="000000"/>
                <w:sz w:val="24"/>
                <w:szCs w:val="24"/>
                <w:lang w:val="en-US" w:eastAsia="zh-CN"/>
              </w:rPr>
              <w:t>实验区限养区</w:t>
            </w:r>
          </w:p>
        </w:tc>
      </w:tr>
      <w:tr w14:paraId="7BB1294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5632E619">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0CC8F00F">
            <w:pPr>
              <w:widowControl/>
              <w:spacing w:line="240" w:lineRule="auto"/>
              <w:rPr>
                <w:rFonts w:hint="eastAsia" w:ascii="宋体" w:hAnsi="宋体" w:eastAsia="宋体" w:cs="宋体"/>
                <w:color w:val="000000"/>
                <w:sz w:val="24"/>
                <w:szCs w:val="24"/>
              </w:rPr>
            </w:pPr>
          </w:p>
        </w:tc>
        <w:tc>
          <w:tcPr>
            <w:tcW w:w="382" w:type="pct"/>
            <w:noWrap w:val="0"/>
            <w:vAlign w:val="center"/>
          </w:tcPr>
          <w:p w14:paraId="1B37D503">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2-4</w:t>
            </w:r>
          </w:p>
        </w:tc>
        <w:tc>
          <w:tcPr>
            <w:tcW w:w="4108" w:type="pct"/>
            <w:gridSpan w:val="3"/>
            <w:noWrap w:val="0"/>
            <w:vAlign w:val="center"/>
          </w:tcPr>
          <w:p w14:paraId="512D3CFA">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风景名胜区限养区</w:t>
            </w:r>
          </w:p>
        </w:tc>
      </w:tr>
      <w:tr w14:paraId="439B624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28321D33">
            <w:pPr>
              <w:widowControl/>
              <w:spacing w:line="240" w:lineRule="auto"/>
              <w:jc w:val="center"/>
              <w:rPr>
                <w:rFonts w:hint="eastAsia" w:ascii="宋体" w:hAnsi="宋体" w:eastAsia="宋体" w:cs="宋体"/>
                <w:color w:val="000000"/>
                <w:sz w:val="24"/>
                <w:szCs w:val="24"/>
              </w:rPr>
            </w:pPr>
          </w:p>
        </w:tc>
        <w:tc>
          <w:tcPr>
            <w:tcW w:w="255" w:type="pct"/>
            <w:vMerge w:val="continue"/>
            <w:noWrap w:val="0"/>
            <w:vAlign w:val="center"/>
          </w:tcPr>
          <w:p w14:paraId="5778B9C5">
            <w:pPr>
              <w:widowControl/>
              <w:spacing w:line="240" w:lineRule="auto"/>
              <w:rPr>
                <w:rFonts w:hint="eastAsia" w:ascii="宋体" w:hAnsi="宋体" w:eastAsia="宋体" w:cs="宋体"/>
                <w:color w:val="000000"/>
                <w:sz w:val="24"/>
                <w:szCs w:val="24"/>
              </w:rPr>
            </w:pPr>
          </w:p>
        </w:tc>
        <w:tc>
          <w:tcPr>
            <w:tcW w:w="382" w:type="pct"/>
            <w:noWrap w:val="0"/>
            <w:vAlign w:val="center"/>
          </w:tcPr>
          <w:p w14:paraId="3CEDCB6E">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2-5</w:t>
            </w:r>
          </w:p>
        </w:tc>
        <w:tc>
          <w:tcPr>
            <w:tcW w:w="4108" w:type="pct"/>
            <w:gridSpan w:val="3"/>
            <w:noWrap w:val="0"/>
            <w:vAlign w:val="center"/>
          </w:tcPr>
          <w:p w14:paraId="5D8D4E21">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重点湖泊水库公共自然水域限养区</w:t>
            </w:r>
          </w:p>
        </w:tc>
      </w:tr>
      <w:tr w14:paraId="678A8A9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restart"/>
            <w:noWrap w:val="0"/>
            <w:vAlign w:val="center"/>
          </w:tcPr>
          <w:p w14:paraId="1E7C4E0E">
            <w:pPr>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w:t>
            </w:r>
          </w:p>
        </w:tc>
        <w:tc>
          <w:tcPr>
            <w:tcW w:w="255" w:type="pct"/>
            <w:vMerge w:val="restart"/>
            <w:noWrap w:val="0"/>
            <w:vAlign w:val="center"/>
          </w:tcPr>
          <w:p w14:paraId="77ED4642">
            <w:pPr>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养</w:t>
            </w:r>
          </w:p>
          <w:p w14:paraId="6E403BBC">
            <w:pPr>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殖</w:t>
            </w:r>
          </w:p>
          <w:p w14:paraId="2576E047">
            <w:pPr>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区</w:t>
            </w:r>
          </w:p>
        </w:tc>
        <w:tc>
          <w:tcPr>
            <w:tcW w:w="382" w:type="pct"/>
            <w:vMerge w:val="restart"/>
            <w:noWrap w:val="0"/>
            <w:vAlign w:val="center"/>
          </w:tcPr>
          <w:p w14:paraId="4856C876">
            <w:pPr>
              <w:widowControl/>
              <w:spacing w:line="24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1</w:t>
            </w:r>
          </w:p>
        </w:tc>
        <w:tc>
          <w:tcPr>
            <w:tcW w:w="1218" w:type="pct"/>
            <w:vMerge w:val="restart"/>
            <w:noWrap w:val="0"/>
            <w:vAlign w:val="center"/>
          </w:tcPr>
          <w:p w14:paraId="747AE146">
            <w:pPr>
              <w:widowControl/>
              <w:spacing w:line="240" w:lineRule="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农业发展空间</w:t>
            </w:r>
          </w:p>
        </w:tc>
        <w:tc>
          <w:tcPr>
            <w:tcW w:w="621" w:type="pct"/>
            <w:noWrap w:val="0"/>
            <w:vAlign w:val="center"/>
          </w:tcPr>
          <w:p w14:paraId="44D1D5F2">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-1</w:t>
            </w:r>
          </w:p>
        </w:tc>
        <w:tc>
          <w:tcPr>
            <w:tcW w:w="2269" w:type="pct"/>
            <w:noWrap w:val="0"/>
            <w:vAlign w:val="center"/>
          </w:tcPr>
          <w:p w14:paraId="6B8937C9">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池塘养殖区</w:t>
            </w:r>
          </w:p>
        </w:tc>
      </w:tr>
      <w:tr w14:paraId="6722331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120B5361">
            <w:pPr>
              <w:widowControl/>
              <w:spacing w:line="240" w:lineRule="auto"/>
              <w:rPr>
                <w:rFonts w:hint="eastAsia" w:ascii="宋体" w:hAnsi="宋体" w:eastAsia="宋体" w:cs="宋体"/>
                <w:color w:val="000000"/>
                <w:sz w:val="24"/>
                <w:szCs w:val="24"/>
              </w:rPr>
            </w:pPr>
          </w:p>
        </w:tc>
        <w:tc>
          <w:tcPr>
            <w:tcW w:w="255" w:type="pct"/>
            <w:vMerge w:val="continue"/>
            <w:noWrap w:val="0"/>
            <w:vAlign w:val="center"/>
          </w:tcPr>
          <w:p w14:paraId="24740344">
            <w:pPr>
              <w:widowControl/>
              <w:spacing w:line="240" w:lineRule="auto"/>
              <w:rPr>
                <w:rFonts w:hint="eastAsia" w:ascii="宋体" w:hAnsi="宋体" w:eastAsia="宋体" w:cs="宋体"/>
                <w:color w:val="000000"/>
                <w:sz w:val="24"/>
                <w:szCs w:val="24"/>
              </w:rPr>
            </w:pPr>
          </w:p>
        </w:tc>
        <w:tc>
          <w:tcPr>
            <w:tcW w:w="382" w:type="pct"/>
            <w:vMerge w:val="continue"/>
            <w:noWrap w:val="0"/>
            <w:vAlign w:val="center"/>
          </w:tcPr>
          <w:p w14:paraId="426E3E76">
            <w:pPr>
              <w:widowControl/>
              <w:spacing w:line="240" w:lineRule="auto"/>
              <w:rPr>
                <w:rFonts w:hint="eastAsia" w:ascii="宋体" w:hAnsi="宋体" w:eastAsia="宋体" w:cs="宋体"/>
                <w:color w:val="000000"/>
                <w:sz w:val="24"/>
                <w:szCs w:val="24"/>
              </w:rPr>
            </w:pPr>
          </w:p>
        </w:tc>
        <w:tc>
          <w:tcPr>
            <w:tcW w:w="1218" w:type="pct"/>
            <w:vMerge w:val="continue"/>
            <w:noWrap w:val="0"/>
            <w:vAlign w:val="center"/>
          </w:tcPr>
          <w:p w14:paraId="4E0D02CA">
            <w:pPr>
              <w:widowControl/>
              <w:spacing w:line="240" w:lineRule="auto"/>
              <w:rPr>
                <w:rFonts w:hint="eastAsia" w:ascii="宋体" w:hAnsi="宋体" w:eastAsia="宋体" w:cs="宋体"/>
                <w:color w:val="000000"/>
                <w:sz w:val="24"/>
                <w:szCs w:val="24"/>
              </w:rPr>
            </w:pPr>
          </w:p>
        </w:tc>
        <w:tc>
          <w:tcPr>
            <w:tcW w:w="621" w:type="pct"/>
            <w:noWrap w:val="0"/>
            <w:vAlign w:val="center"/>
          </w:tcPr>
          <w:p w14:paraId="05EFE2B2">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-2</w:t>
            </w:r>
          </w:p>
        </w:tc>
        <w:tc>
          <w:tcPr>
            <w:tcW w:w="2269" w:type="pct"/>
            <w:noWrap w:val="0"/>
            <w:vAlign w:val="center"/>
          </w:tcPr>
          <w:p w14:paraId="4D03CD95">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湖泊养殖区</w:t>
            </w:r>
          </w:p>
        </w:tc>
      </w:tr>
      <w:tr w14:paraId="5C9B07A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57334764">
            <w:pPr>
              <w:widowControl/>
              <w:spacing w:line="240" w:lineRule="auto"/>
              <w:rPr>
                <w:rFonts w:hint="eastAsia" w:ascii="宋体" w:hAnsi="宋体" w:eastAsia="宋体" w:cs="宋体"/>
                <w:color w:val="000000"/>
                <w:sz w:val="24"/>
                <w:szCs w:val="24"/>
              </w:rPr>
            </w:pPr>
          </w:p>
        </w:tc>
        <w:tc>
          <w:tcPr>
            <w:tcW w:w="255" w:type="pct"/>
            <w:vMerge w:val="continue"/>
            <w:noWrap w:val="0"/>
            <w:vAlign w:val="center"/>
          </w:tcPr>
          <w:p w14:paraId="08881A17">
            <w:pPr>
              <w:widowControl/>
              <w:spacing w:line="240" w:lineRule="auto"/>
              <w:rPr>
                <w:rFonts w:hint="eastAsia" w:ascii="宋体" w:hAnsi="宋体" w:eastAsia="宋体" w:cs="宋体"/>
                <w:color w:val="000000"/>
                <w:sz w:val="24"/>
                <w:szCs w:val="24"/>
              </w:rPr>
            </w:pPr>
          </w:p>
        </w:tc>
        <w:tc>
          <w:tcPr>
            <w:tcW w:w="382" w:type="pct"/>
            <w:vMerge w:val="continue"/>
            <w:noWrap w:val="0"/>
            <w:vAlign w:val="center"/>
          </w:tcPr>
          <w:p w14:paraId="6C463568">
            <w:pPr>
              <w:widowControl/>
              <w:spacing w:line="240" w:lineRule="auto"/>
              <w:rPr>
                <w:rFonts w:hint="eastAsia" w:ascii="宋体" w:hAnsi="宋体" w:eastAsia="宋体" w:cs="宋体"/>
                <w:color w:val="000000"/>
                <w:sz w:val="24"/>
                <w:szCs w:val="24"/>
              </w:rPr>
            </w:pPr>
          </w:p>
        </w:tc>
        <w:tc>
          <w:tcPr>
            <w:tcW w:w="1218" w:type="pct"/>
            <w:vMerge w:val="continue"/>
            <w:noWrap w:val="0"/>
            <w:vAlign w:val="center"/>
          </w:tcPr>
          <w:p w14:paraId="5ED21100">
            <w:pPr>
              <w:widowControl/>
              <w:spacing w:line="240" w:lineRule="auto"/>
              <w:rPr>
                <w:rFonts w:hint="eastAsia" w:ascii="宋体" w:hAnsi="宋体" w:eastAsia="宋体" w:cs="宋体"/>
                <w:color w:val="000000"/>
                <w:sz w:val="24"/>
                <w:szCs w:val="24"/>
              </w:rPr>
            </w:pPr>
          </w:p>
        </w:tc>
        <w:tc>
          <w:tcPr>
            <w:tcW w:w="621" w:type="pct"/>
            <w:noWrap w:val="0"/>
            <w:vAlign w:val="center"/>
          </w:tcPr>
          <w:p w14:paraId="38C5D835">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-3</w:t>
            </w:r>
          </w:p>
        </w:tc>
        <w:tc>
          <w:tcPr>
            <w:tcW w:w="2269" w:type="pct"/>
            <w:noWrap w:val="0"/>
            <w:vAlign w:val="center"/>
          </w:tcPr>
          <w:p w14:paraId="2673C491">
            <w:pPr>
              <w:widowControl/>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水库养殖区</w:t>
            </w:r>
          </w:p>
        </w:tc>
      </w:tr>
      <w:tr w14:paraId="56E66A6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36135F67">
            <w:pPr>
              <w:widowControl/>
              <w:spacing w:line="240" w:lineRule="auto"/>
              <w:rPr>
                <w:rFonts w:hint="eastAsia" w:ascii="宋体" w:hAnsi="宋体" w:eastAsia="宋体" w:cs="宋体"/>
                <w:color w:val="000000"/>
                <w:sz w:val="24"/>
                <w:szCs w:val="24"/>
              </w:rPr>
            </w:pPr>
          </w:p>
        </w:tc>
        <w:tc>
          <w:tcPr>
            <w:tcW w:w="255" w:type="pct"/>
            <w:vMerge w:val="continue"/>
            <w:noWrap w:val="0"/>
            <w:vAlign w:val="center"/>
          </w:tcPr>
          <w:p w14:paraId="75235D79">
            <w:pPr>
              <w:widowControl/>
              <w:spacing w:line="240" w:lineRule="auto"/>
              <w:rPr>
                <w:rFonts w:hint="eastAsia" w:ascii="宋体" w:hAnsi="宋体" w:eastAsia="宋体" w:cs="宋体"/>
                <w:color w:val="000000"/>
                <w:sz w:val="24"/>
                <w:szCs w:val="24"/>
              </w:rPr>
            </w:pPr>
          </w:p>
        </w:tc>
        <w:tc>
          <w:tcPr>
            <w:tcW w:w="382" w:type="pct"/>
            <w:vMerge w:val="continue"/>
            <w:noWrap w:val="0"/>
            <w:vAlign w:val="center"/>
          </w:tcPr>
          <w:p w14:paraId="45272A6F">
            <w:pPr>
              <w:widowControl/>
              <w:spacing w:line="240" w:lineRule="auto"/>
              <w:rPr>
                <w:rFonts w:hint="eastAsia" w:ascii="宋体" w:hAnsi="宋体" w:eastAsia="宋体" w:cs="宋体"/>
                <w:color w:val="000000"/>
                <w:sz w:val="24"/>
                <w:szCs w:val="24"/>
              </w:rPr>
            </w:pPr>
          </w:p>
        </w:tc>
        <w:tc>
          <w:tcPr>
            <w:tcW w:w="1218" w:type="pct"/>
            <w:vMerge w:val="continue"/>
            <w:noWrap w:val="0"/>
            <w:vAlign w:val="center"/>
          </w:tcPr>
          <w:p w14:paraId="5A425F5E">
            <w:pPr>
              <w:widowControl/>
              <w:spacing w:line="240" w:lineRule="auto"/>
              <w:rPr>
                <w:rFonts w:hint="eastAsia" w:ascii="宋体" w:hAnsi="宋体" w:eastAsia="宋体" w:cs="宋体"/>
                <w:color w:val="000000"/>
                <w:sz w:val="24"/>
                <w:szCs w:val="24"/>
              </w:rPr>
            </w:pPr>
          </w:p>
        </w:tc>
        <w:tc>
          <w:tcPr>
            <w:tcW w:w="621" w:type="pct"/>
            <w:noWrap w:val="0"/>
            <w:vAlign w:val="center"/>
          </w:tcPr>
          <w:p w14:paraId="1B79D402">
            <w:pPr>
              <w:widowControl/>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-4</w:t>
            </w:r>
          </w:p>
        </w:tc>
        <w:tc>
          <w:tcPr>
            <w:tcW w:w="2269" w:type="pct"/>
            <w:noWrap w:val="0"/>
            <w:vAlign w:val="center"/>
          </w:tcPr>
          <w:p w14:paraId="55FC2A23">
            <w:pPr>
              <w:widowControl/>
              <w:spacing w:line="240" w:lineRule="auto"/>
              <w:rPr>
                <w:rFonts w:hint="eastAsia" w:ascii="宋体" w:hAnsi="宋体" w:eastAsia="宋体" w:cs="宋体"/>
                <w:color w:val="000000"/>
                <w:sz w:val="24"/>
                <w:szCs w:val="24"/>
              </w:rPr>
            </w:pPr>
            <w:r>
              <w:rPr>
                <w:rFonts w:hint="eastAsia" w:ascii="宋体" w:hAnsi="宋体" w:cs="宋体"/>
                <w:color w:val="000000"/>
                <w:sz w:val="24"/>
                <w:szCs w:val="24"/>
                <w:lang w:eastAsia="zh-CN"/>
              </w:rPr>
              <w:t>其他</w:t>
            </w:r>
            <w:r>
              <w:rPr>
                <w:rFonts w:hint="eastAsia" w:ascii="宋体" w:hAnsi="宋体" w:eastAsia="宋体" w:cs="宋体"/>
                <w:color w:val="000000"/>
                <w:sz w:val="24"/>
                <w:szCs w:val="24"/>
              </w:rPr>
              <w:t>养殖区</w:t>
            </w:r>
          </w:p>
        </w:tc>
      </w:tr>
      <w:tr w14:paraId="4BAF463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53" w:type="pct"/>
            <w:vMerge w:val="continue"/>
            <w:noWrap w:val="0"/>
            <w:vAlign w:val="center"/>
          </w:tcPr>
          <w:p w14:paraId="331A0728">
            <w:pPr>
              <w:widowControl/>
              <w:spacing w:line="240" w:lineRule="auto"/>
              <w:rPr>
                <w:rFonts w:hint="eastAsia" w:ascii="宋体" w:hAnsi="宋体" w:eastAsia="宋体" w:cs="宋体"/>
                <w:color w:val="000000"/>
                <w:sz w:val="24"/>
                <w:szCs w:val="24"/>
              </w:rPr>
            </w:pPr>
          </w:p>
        </w:tc>
        <w:tc>
          <w:tcPr>
            <w:tcW w:w="255" w:type="pct"/>
            <w:vMerge w:val="continue"/>
            <w:noWrap w:val="0"/>
            <w:vAlign w:val="center"/>
          </w:tcPr>
          <w:p w14:paraId="5F6586F0">
            <w:pPr>
              <w:widowControl/>
              <w:spacing w:line="240" w:lineRule="auto"/>
              <w:rPr>
                <w:rFonts w:hint="eastAsia" w:ascii="宋体" w:hAnsi="宋体" w:eastAsia="宋体" w:cs="宋体"/>
                <w:color w:val="000000"/>
                <w:sz w:val="24"/>
                <w:szCs w:val="24"/>
              </w:rPr>
            </w:pPr>
          </w:p>
        </w:tc>
        <w:tc>
          <w:tcPr>
            <w:tcW w:w="382" w:type="pct"/>
            <w:noWrap w:val="0"/>
            <w:vAlign w:val="center"/>
          </w:tcPr>
          <w:p w14:paraId="4AB533C4">
            <w:pPr>
              <w:widowControl/>
              <w:spacing w:line="240" w:lineRule="auto"/>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3-2</w:t>
            </w:r>
          </w:p>
        </w:tc>
        <w:tc>
          <w:tcPr>
            <w:tcW w:w="1218" w:type="pct"/>
            <w:noWrap w:val="0"/>
            <w:vAlign w:val="center"/>
          </w:tcPr>
          <w:p w14:paraId="614DC4A3">
            <w:pPr>
              <w:widowControl/>
              <w:spacing w:line="240" w:lineRule="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生态保护红线非核心保护区域</w:t>
            </w:r>
          </w:p>
        </w:tc>
        <w:tc>
          <w:tcPr>
            <w:tcW w:w="621" w:type="pct"/>
            <w:noWrap w:val="0"/>
            <w:vAlign w:val="center"/>
          </w:tcPr>
          <w:p w14:paraId="0667058C">
            <w:pPr>
              <w:widowControl/>
              <w:spacing w:line="240" w:lineRule="auto"/>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3-2-1</w:t>
            </w:r>
          </w:p>
        </w:tc>
        <w:tc>
          <w:tcPr>
            <w:tcW w:w="2269" w:type="pct"/>
            <w:noWrap w:val="0"/>
            <w:vAlign w:val="center"/>
          </w:tcPr>
          <w:p w14:paraId="3FF9CD73">
            <w:pPr>
              <w:widowControl/>
              <w:spacing w:line="240" w:lineRule="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历史上有原住居民或其他合法权益主体从事水产养殖活动的区域</w:t>
            </w:r>
          </w:p>
        </w:tc>
      </w:tr>
    </w:tbl>
    <w:p w14:paraId="39331686">
      <w:pPr>
        <w:pStyle w:val="3"/>
        <w:keepNext w:val="0"/>
        <w:keepLines/>
        <w:pageBreakBefore w:val="0"/>
        <w:widowControl w:val="0"/>
        <w:kinsoku/>
        <w:wordWrap/>
        <w:overflowPunct/>
        <w:topLinePunct w:val="0"/>
        <w:autoSpaceDE/>
        <w:autoSpaceDN/>
        <w:bidi w:val="0"/>
        <w:adjustRightInd/>
        <w:snapToGrid/>
        <w:jc w:val="left"/>
        <w:textAlignment w:val="auto"/>
        <w:rPr>
          <w:rFonts w:hint="eastAsia" w:ascii="Times New Roman" w:hAnsi="Times New Roman"/>
          <w:color w:val="auto"/>
          <w:highlight w:val="none"/>
          <w:lang w:val="en-US" w:eastAsia="zh-CN"/>
        </w:rPr>
      </w:pPr>
      <w:bookmarkStart w:id="54" w:name="_Toc18710"/>
      <w:bookmarkStart w:id="55" w:name="_Toc8259"/>
      <w:r>
        <w:rPr>
          <w:rFonts w:hint="eastAsia" w:ascii="Times New Roman" w:hAnsi="Times New Roman"/>
          <w:color w:val="auto"/>
          <w:highlight w:val="none"/>
          <w:lang w:val="en-US" w:eastAsia="zh-CN"/>
        </w:rPr>
        <w:t>3.2 “三区三线”划定情况</w:t>
      </w:r>
      <w:bookmarkEnd w:id="54"/>
    </w:p>
    <w:p w14:paraId="11D08198">
      <w:pPr>
        <w:bidi w:val="0"/>
        <w:ind w:firstLine="560" w:firstLineChars="200"/>
        <w:jc w:val="both"/>
        <w:rPr>
          <w:rFonts w:hint="eastAsia" w:ascii="宋体" w:hAnsi="宋体" w:eastAsia="宋体" w:cs="宋体"/>
          <w:color w:val="auto"/>
        </w:rPr>
      </w:pPr>
      <w:r>
        <w:rPr>
          <w:rFonts w:hint="eastAsia" w:ascii="宋体" w:hAnsi="宋体" w:eastAsia="宋体" w:cs="宋体"/>
          <w:color w:val="auto"/>
          <w:lang w:val="en-US" w:eastAsia="zh-CN"/>
        </w:rPr>
        <w:t>《嘉荫县国土空间总体规划（2021</w:t>
      </w:r>
      <w:r>
        <w:rPr>
          <w:rFonts w:hint="eastAsia" w:ascii="宋体" w:hAnsi="宋体" w:cs="宋体"/>
          <w:color w:val="auto"/>
          <w:lang w:val="en-US" w:eastAsia="zh-CN"/>
        </w:rPr>
        <w:t>—</w:t>
      </w:r>
      <w:r>
        <w:rPr>
          <w:rFonts w:hint="eastAsia" w:ascii="宋体" w:hAnsi="宋体" w:eastAsia="宋体" w:cs="宋体"/>
          <w:color w:val="auto"/>
          <w:lang w:val="en-US" w:eastAsia="zh-CN"/>
        </w:rPr>
        <w:t>2035年）》</w:t>
      </w:r>
      <w:r>
        <w:rPr>
          <w:rFonts w:hint="eastAsia" w:ascii="宋体" w:hAnsi="宋体" w:cs="宋体"/>
          <w:color w:val="auto"/>
          <w:lang w:val="en-US" w:eastAsia="zh-CN"/>
        </w:rPr>
        <w:t>，全县实际</w:t>
      </w:r>
      <w:r>
        <w:rPr>
          <w:rFonts w:hint="eastAsia" w:ascii="宋体" w:hAnsi="宋体" w:eastAsia="宋体" w:cs="宋体"/>
          <w:color w:val="auto"/>
          <w:lang w:val="en-US" w:eastAsia="zh-CN"/>
        </w:rPr>
        <w:t>划定耕地</w:t>
      </w:r>
      <w:r>
        <w:rPr>
          <w:rFonts w:hint="eastAsia" w:ascii="宋体" w:hAnsi="宋体" w:cs="宋体"/>
          <w:color w:val="auto"/>
          <w:lang w:val="en-US" w:eastAsia="zh-CN"/>
        </w:rPr>
        <w:t>保护</w:t>
      </w:r>
      <w:r>
        <w:rPr>
          <w:rFonts w:hint="eastAsia" w:ascii="宋体" w:hAnsi="宋体" w:eastAsia="宋体" w:cs="宋体"/>
          <w:color w:val="auto"/>
          <w:lang w:val="en-US" w:eastAsia="zh-CN"/>
        </w:rPr>
        <w:t>面积</w:t>
      </w:r>
      <w:r>
        <w:rPr>
          <w:rFonts w:hint="eastAsia" w:ascii="宋体" w:hAnsi="宋体" w:cs="宋体"/>
          <w:color w:val="auto"/>
          <w:lang w:val="en-US" w:eastAsia="zh-CN"/>
        </w:rPr>
        <w:t>107238.54</w:t>
      </w:r>
      <w:r>
        <w:rPr>
          <w:rFonts w:hint="eastAsia" w:ascii="宋体" w:hAnsi="宋体" w:eastAsia="宋体" w:cs="宋体"/>
          <w:color w:val="auto"/>
          <w:lang w:val="en-US" w:eastAsia="zh-CN"/>
        </w:rPr>
        <w:t>公顷，占县域国土面积的</w:t>
      </w:r>
      <w:r>
        <w:rPr>
          <w:rFonts w:hint="eastAsia" w:ascii="宋体" w:hAnsi="宋体" w:cs="宋体"/>
          <w:color w:val="auto"/>
          <w:lang w:val="en-US" w:eastAsia="zh-CN"/>
        </w:rPr>
        <w:t>15.89</w:t>
      </w:r>
      <w:r>
        <w:rPr>
          <w:rFonts w:hint="default" w:ascii="宋体" w:hAnsi="宋体" w:eastAsia="宋体" w:cs="宋体"/>
          <w:color w:val="auto"/>
          <w:lang w:val="en-US" w:eastAsia="zh-CN"/>
        </w:rPr>
        <w:t>%</w:t>
      </w:r>
      <w:r>
        <w:rPr>
          <w:rFonts w:hint="eastAsia" w:ascii="宋体" w:hAnsi="宋体" w:cs="宋体"/>
          <w:color w:val="auto"/>
          <w:lang w:val="en-US" w:eastAsia="zh-CN"/>
        </w:rPr>
        <w:t>；全县实际</w:t>
      </w:r>
      <w:r>
        <w:rPr>
          <w:rFonts w:hint="eastAsia" w:ascii="宋体" w:hAnsi="宋体" w:eastAsia="宋体" w:cs="宋体"/>
          <w:color w:val="auto"/>
          <w:lang w:val="en-US" w:eastAsia="zh-CN"/>
        </w:rPr>
        <w:t>划定永久基本农田面积</w:t>
      </w:r>
      <w:r>
        <w:rPr>
          <w:rFonts w:hint="default" w:ascii="宋体" w:hAnsi="宋体" w:eastAsia="宋体" w:cs="宋体"/>
          <w:color w:val="auto"/>
          <w:lang w:val="en-US" w:eastAsia="zh-CN"/>
        </w:rPr>
        <w:t>89932.40</w:t>
      </w:r>
      <w:r>
        <w:rPr>
          <w:rFonts w:hint="eastAsia" w:ascii="宋体" w:hAnsi="宋体" w:eastAsia="宋体" w:cs="宋体"/>
          <w:color w:val="auto"/>
          <w:lang w:val="en-US" w:eastAsia="zh-CN"/>
        </w:rPr>
        <w:t>公顷，占县域国土面积的</w:t>
      </w:r>
      <w:r>
        <w:rPr>
          <w:rFonts w:hint="default" w:ascii="宋体" w:hAnsi="宋体" w:eastAsia="宋体" w:cs="宋体"/>
          <w:color w:val="auto"/>
          <w:lang w:val="en-US" w:eastAsia="zh-CN"/>
        </w:rPr>
        <w:t>13.32%</w:t>
      </w:r>
      <w:r>
        <w:rPr>
          <w:rFonts w:hint="eastAsia" w:ascii="宋体" w:hAnsi="宋体" w:cs="宋体"/>
          <w:color w:val="auto"/>
          <w:lang w:val="en-US" w:eastAsia="zh-CN"/>
        </w:rPr>
        <w:t>；全县</w:t>
      </w:r>
      <w:r>
        <w:rPr>
          <w:rFonts w:hint="eastAsia" w:ascii="宋体" w:hAnsi="宋体" w:eastAsia="宋体" w:cs="宋体"/>
          <w:color w:val="auto"/>
          <w:lang w:val="en-US" w:eastAsia="zh-CN"/>
        </w:rPr>
        <w:t>划定生态保护红线面积为</w:t>
      </w:r>
      <w:r>
        <w:rPr>
          <w:rFonts w:hint="default" w:ascii="宋体" w:hAnsi="宋体" w:eastAsia="宋体" w:cs="宋体"/>
          <w:color w:val="auto"/>
          <w:lang w:val="en-US" w:eastAsia="zh-CN"/>
        </w:rPr>
        <w:t>304971.17</w:t>
      </w:r>
      <w:r>
        <w:rPr>
          <w:rFonts w:hint="eastAsia" w:ascii="宋体" w:hAnsi="宋体" w:eastAsia="宋体" w:cs="宋体"/>
          <w:color w:val="auto"/>
          <w:lang w:val="en-US" w:eastAsia="zh-CN"/>
        </w:rPr>
        <w:t>公顷，占县域国土面积的</w:t>
      </w:r>
      <w:r>
        <w:rPr>
          <w:rFonts w:hint="default" w:ascii="宋体" w:hAnsi="宋体" w:eastAsia="宋体" w:cs="宋体"/>
          <w:color w:val="auto"/>
          <w:lang w:val="en-US" w:eastAsia="zh-CN"/>
        </w:rPr>
        <w:t>45.18%</w:t>
      </w:r>
      <w:r>
        <w:rPr>
          <w:rFonts w:hint="eastAsia" w:ascii="宋体" w:hAnsi="宋体" w:cs="宋体"/>
          <w:color w:val="auto"/>
          <w:lang w:val="en-US" w:eastAsia="zh-CN"/>
        </w:rPr>
        <w:t>；全县</w:t>
      </w:r>
      <w:r>
        <w:rPr>
          <w:rFonts w:hint="eastAsia" w:ascii="宋体" w:hAnsi="宋体" w:eastAsia="宋体" w:cs="宋体"/>
          <w:color w:val="auto"/>
          <w:lang w:val="en-US" w:eastAsia="zh-CN"/>
        </w:rPr>
        <w:t>划定城镇开发边界</w:t>
      </w:r>
      <w:r>
        <w:rPr>
          <w:rFonts w:hint="eastAsia" w:ascii="宋体" w:hAnsi="宋体" w:cs="宋体"/>
          <w:color w:val="auto"/>
          <w:lang w:val="en-US" w:eastAsia="zh-CN"/>
        </w:rPr>
        <w:t>757.67</w:t>
      </w:r>
      <w:r>
        <w:rPr>
          <w:rFonts w:hint="eastAsia" w:ascii="宋体" w:hAnsi="宋体" w:eastAsia="宋体" w:cs="宋体"/>
          <w:color w:val="auto"/>
          <w:lang w:val="en-US" w:eastAsia="zh-CN"/>
        </w:rPr>
        <w:t>公顷，占县域国土面积的</w:t>
      </w:r>
      <w:r>
        <w:rPr>
          <w:rFonts w:hint="default" w:ascii="宋体" w:hAnsi="宋体" w:eastAsia="宋体" w:cs="宋体"/>
          <w:color w:val="auto"/>
          <w:lang w:val="en-US" w:eastAsia="zh-CN"/>
        </w:rPr>
        <w:t>0.</w:t>
      </w:r>
      <w:r>
        <w:rPr>
          <w:rFonts w:hint="eastAsia" w:ascii="宋体" w:hAnsi="宋体" w:cs="宋体"/>
          <w:color w:val="auto"/>
          <w:lang w:val="en-US" w:eastAsia="zh-CN"/>
        </w:rPr>
        <w:t>11</w:t>
      </w:r>
      <w:r>
        <w:rPr>
          <w:rFonts w:hint="default" w:ascii="宋体" w:hAnsi="宋体" w:eastAsia="宋体" w:cs="宋体"/>
          <w:color w:val="auto"/>
          <w:lang w:val="en-US" w:eastAsia="zh-CN"/>
        </w:rPr>
        <w:t>%</w:t>
      </w:r>
      <w:r>
        <w:rPr>
          <w:rFonts w:hint="eastAsia" w:ascii="宋体" w:hAnsi="宋体" w:eastAsia="宋体" w:cs="宋体"/>
          <w:color w:val="auto"/>
          <w:lang w:val="en-US" w:eastAsia="zh-CN"/>
        </w:rPr>
        <w:t>。</w:t>
      </w:r>
    </w:p>
    <w:p w14:paraId="09F38262">
      <w:pPr>
        <w:pStyle w:val="3"/>
        <w:keepNext w:val="0"/>
        <w:keepLines/>
        <w:pageBreakBefore w:val="0"/>
        <w:widowControl w:val="0"/>
        <w:kinsoku/>
        <w:wordWrap/>
        <w:overflowPunct/>
        <w:topLinePunct w:val="0"/>
        <w:autoSpaceDE/>
        <w:autoSpaceDN/>
        <w:bidi w:val="0"/>
        <w:adjustRightInd/>
        <w:snapToGrid/>
        <w:jc w:val="left"/>
        <w:textAlignment w:val="auto"/>
        <w:rPr>
          <w:rFonts w:hint="default" w:ascii="Times New Roman" w:hAnsi="Times New Roman"/>
          <w:color w:val="auto"/>
          <w:highlight w:val="yellow"/>
          <w:lang w:val="en-US" w:eastAsia="zh-CN"/>
        </w:rPr>
      </w:pPr>
      <w:bookmarkStart w:id="56" w:name="_Toc2794"/>
      <w:r>
        <w:rPr>
          <w:rFonts w:hint="eastAsia" w:ascii="Times New Roman" w:hAnsi="Times New Roman"/>
          <w:color w:val="auto"/>
          <w:highlight w:val="none"/>
          <w:lang w:val="en-US" w:eastAsia="zh-CN"/>
        </w:rPr>
        <w:t>3.3 规划修订方案</w:t>
      </w:r>
      <w:bookmarkEnd w:id="55"/>
      <w:bookmarkEnd w:id="56"/>
    </w:p>
    <w:p w14:paraId="7569D319">
      <w:pPr>
        <w:bidi w:val="0"/>
        <w:ind w:firstLine="56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对原《规划》中涉及的耕地及永久基本农田保护红线、生态保护红线、饮用水源地保护区、城镇开发边界及农业空间等区域内的水域滩涂进行功能区划调整，以确保《规划》与法律法规及地方管理要求一致，</w:t>
      </w:r>
      <w:r>
        <w:rPr>
          <w:rFonts w:hint="eastAsia" w:ascii="宋体" w:hAnsi="宋体" w:cs="宋体"/>
          <w:color w:val="auto"/>
          <w:lang w:val="en-US" w:eastAsia="zh-CN"/>
        </w:rPr>
        <w:t>本次修订根据各成员单位提供最新数据，</w:t>
      </w:r>
      <w:r>
        <w:rPr>
          <w:rFonts w:hint="eastAsia" w:ascii="宋体" w:hAnsi="宋体" w:eastAsia="宋体" w:cs="宋体"/>
          <w:color w:val="auto"/>
          <w:lang w:val="en-US" w:eastAsia="zh-CN"/>
        </w:rPr>
        <w:t>具体方案如下。</w:t>
      </w:r>
    </w:p>
    <w:p w14:paraId="17C737C7">
      <w:pPr>
        <w:jc w:val="center"/>
        <w:rPr>
          <w:rFonts w:hint="eastAsia" w:ascii="黑体" w:hAnsi="黑体" w:eastAsia="黑体" w:cs="黑体"/>
          <w:bCs/>
          <w:color w:val="auto"/>
          <w:sz w:val="24"/>
          <w:szCs w:val="24"/>
        </w:rPr>
      </w:pPr>
      <w:r>
        <w:rPr>
          <w:rFonts w:hint="eastAsia" w:ascii="黑体" w:hAnsi="黑体" w:eastAsia="黑体" w:cs="黑体"/>
          <w:bCs/>
          <w:color w:val="auto"/>
          <w:sz w:val="24"/>
          <w:szCs w:val="24"/>
        </w:rPr>
        <w:t xml:space="preserve">表3-2 </w:t>
      </w:r>
      <w:r>
        <w:rPr>
          <w:rFonts w:hint="eastAsia" w:ascii="黑体" w:hAnsi="黑体" w:eastAsia="黑体" w:cs="黑体"/>
          <w:bCs/>
          <w:color w:val="auto"/>
          <w:sz w:val="24"/>
          <w:szCs w:val="24"/>
          <w:lang w:val="en-US" w:eastAsia="zh-CN"/>
        </w:rPr>
        <w:t>嘉荫县</w:t>
      </w:r>
      <w:r>
        <w:rPr>
          <w:rFonts w:hint="eastAsia" w:ascii="黑体" w:hAnsi="黑体" w:eastAsia="黑体" w:cs="黑体"/>
          <w:bCs/>
          <w:color w:val="auto"/>
          <w:sz w:val="24"/>
          <w:szCs w:val="24"/>
        </w:rPr>
        <w:t>养殖水域滩涂总体功能区划一览表</w:t>
      </w:r>
    </w:p>
    <w:tbl>
      <w:tblPr>
        <w:tblStyle w:val="12"/>
        <w:tblW w:w="783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7"/>
        <w:gridCol w:w="1329"/>
        <w:gridCol w:w="4459"/>
        <w:gridCol w:w="1296"/>
      </w:tblGrid>
      <w:tr w14:paraId="3171B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763AA">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代码</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E35A7">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分区名称</w:t>
            </w:r>
          </w:p>
        </w:tc>
        <w:tc>
          <w:tcPr>
            <w:tcW w:w="4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8CE87">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类型名称</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323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规划面积（</w:t>
            </w:r>
            <w:r>
              <w:rPr>
                <w:rFonts w:hint="eastAsia" w:ascii="宋体" w:hAnsi="宋体" w:cs="宋体"/>
                <w:i w:val="0"/>
                <w:iCs w:val="0"/>
                <w:color w:val="auto"/>
                <w:kern w:val="0"/>
                <w:sz w:val="24"/>
                <w:szCs w:val="24"/>
                <w:u w:val="none"/>
                <w:lang w:val="en-US" w:eastAsia="zh-CN" w:bidi="ar"/>
              </w:rPr>
              <w:t>公顷</w:t>
            </w:r>
            <w:r>
              <w:rPr>
                <w:rFonts w:hint="eastAsia" w:ascii="宋体" w:hAnsi="宋体" w:eastAsia="宋体" w:cs="宋体"/>
                <w:i w:val="0"/>
                <w:iCs w:val="0"/>
                <w:color w:val="auto"/>
                <w:kern w:val="0"/>
                <w:sz w:val="24"/>
                <w:szCs w:val="24"/>
                <w:u w:val="none"/>
                <w:lang w:val="en-US" w:eastAsia="zh-CN" w:bidi="ar"/>
              </w:rPr>
              <w:t>）</w:t>
            </w:r>
          </w:p>
        </w:tc>
      </w:tr>
      <w:tr w14:paraId="1B3D2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7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BD2664">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13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3862E2">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禁养区</w:t>
            </w:r>
          </w:p>
        </w:tc>
        <w:tc>
          <w:tcPr>
            <w:tcW w:w="4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465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饮用水水源地一级保护区</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00F46">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67.3</w:t>
            </w:r>
            <w:r>
              <w:rPr>
                <w:rFonts w:hint="eastAsia" w:ascii="宋体" w:hAnsi="宋体" w:cs="宋体"/>
                <w:i w:val="0"/>
                <w:iCs w:val="0"/>
                <w:color w:val="auto"/>
                <w:kern w:val="0"/>
                <w:sz w:val="24"/>
                <w:szCs w:val="24"/>
                <w:u w:val="none"/>
                <w:lang w:val="en-US" w:eastAsia="zh-CN" w:bidi="ar"/>
              </w:rPr>
              <w:t>1</w:t>
            </w:r>
          </w:p>
        </w:tc>
      </w:tr>
      <w:tr w14:paraId="36FFD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7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2FDAF7">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13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6DCDD">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4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4DC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自然保护地核心保护区</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0EE98">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105704.79</w:t>
            </w:r>
          </w:p>
        </w:tc>
      </w:tr>
      <w:tr w14:paraId="4DE4C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7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A6E87">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13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5E9DB">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4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37A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城镇开发边界</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0D6ED">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757.85</w:t>
            </w:r>
          </w:p>
        </w:tc>
      </w:tr>
      <w:tr w14:paraId="735C7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7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1B7D61">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13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91606">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4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E82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耕地</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C9210">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120203.29</w:t>
            </w:r>
          </w:p>
        </w:tc>
      </w:tr>
      <w:tr w14:paraId="13F19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7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5CD2C">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13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645E1">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4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A3E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永久基本农田</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51A9A">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90030.51</w:t>
            </w:r>
          </w:p>
        </w:tc>
      </w:tr>
      <w:tr w14:paraId="2D4D6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7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0B7B9">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13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3B2AD">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4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BA1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河湖自然岸线</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C7ABA">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46022.10</w:t>
            </w:r>
          </w:p>
        </w:tc>
      </w:tr>
      <w:tr w14:paraId="2621A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7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418B4">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13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1D773">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4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D3C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生态保护红线（核心区域内）</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1B124">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105771.06</w:t>
            </w:r>
          </w:p>
        </w:tc>
      </w:tr>
      <w:tr w14:paraId="4F78A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7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E0DDA">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13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7E420">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4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28E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国家级水产种质资源保护区核心区</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FE738">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695.59</w:t>
            </w:r>
          </w:p>
        </w:tc>
      </w:tr>
      <w:tr w14:paraId="0C71E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7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A40BB">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13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A358C">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5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165F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合计：</w:t>
            </w:r>
            <w:r>
              <w:rPr>
                <w:rFonts w:hint="eastAsia" w:ascii="宋体" w:hAnsi="宋体" w:cs="宋体"/>
                <w:i w:val="0"/>
                <w:iCs w:val="0"/>
                <w:color w:val="E54C5E" w:themeColor="accent6"/>
                <w:kern w:val="0"/>
                <w:sz w:val="24"/>
                <w:szCs w:val="24"/>
                <w:u w:val="none"/>
                <w:lang w:val="en-US" w:eastAsia="zh-CN" w:bidi="ar"/>
                <w14:textFill>
                  <w14:solidFill>
                    <w14:schemeClr w14:val="accent6"/>
                  </w14:solidFill>
                </w14:textFill>
              </w:rPr>
              <w:t xml:space="preserve">      </w:t>
            </w:r>
            <w:r>
              <w:rPr>
                <w:rFonts w:hint="eastAsia" w:ascii="宋体" w:hAnsi="宋体" w:eastAsia="宋体" w:cs="宋体"/>
                <w:i w:val="0"/>
                <w:iCs w:val="0"/>
                <w:color w:val="auto"/>
                <w:kern w:val="0"/>
                <w:sz w:val="24"/>
                <w:szCs w:val="24"/>
                <w:u w:val="none"/>
                <w:lang w:val="en-US" w:eastAsia="zh-CN" w:bidi="ar"/>
              </w:rPr>
              <w:t>（去除重复区域面积</w:t>
            </w:r>
            <w:r>
              <w:rPr>
                <w:rFonts w:hint="eastAsia" w:ascii="宋体" w:hAnsi="宋体" w:cs="宋体"/>
                <w:i w:val="0"/>
                <w:iCs w:val="0"/>
                <w:color w:val="E54C5E" w:themeColor="accent6"/>
                <w:kern w:val="0"/>
                <w:sz w:val="24"/>
                <w:szCs w:val="24"/>
                <w:u w:val="none"/>
                <w:lang w:val="en-US" w:eastAsia="zh-CN" w:bidi="ar"/>
                <w14:textFill>
                  <w14:solidFill>
                    <w14:schemeClr w14:val="accent6"/>
                  </w14:solidFill>
                </w14:textFill>
              </w:rPr>
              <w:t xml:space="preserve">      </w:t>
            </w:r>
            <w:r>
              <w:rPr>
                <w:rFonts w:hint="eastAsia" w:ascii="宋体" w:hAnsi="宋体" w:eastAsia="宋体" w:cs="宋体"/>
                <w:i w:val="0"/>
                <w:iCs w:val="0"/>
                <w:color w:val="auto"/>
                <w:kern w:val="0"/>
                <w:sz w:val="24"/>
                <w:szCs w:val="24"/>
                <w:u w:val="none"/>
                <w:lang w:val="en-US" w:eastAsia="zh-CN" w:bidi="ar"/>
              </w:rPr>
              <w:t>）</w:t>
            </w:r>
          </w:p>
        </w:tc>
      </w:tr>
      <w:tr w14:paraId="6C917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7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19AC66">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w:t>
            </w:r>
          </w:p>
        </w:tc>
        <w:tc>
          <w:tcPr>
            <w:tcW w:w="13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C81A4A">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限养区</w:t>
            </w:r>
          </w:p>
        </w:tc>
        <w:tc>
          <w:tcPr>
            <w:tcW w:w="4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7EE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生态保护红线（核心区域外）</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EBF6C">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168670.28</w:t>
            </w:r>
          </w:p>
        </w:tc>
      </w:tr>
      <w:tr w14:paraId="6F9AE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7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3CD70">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13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4E9C4">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4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BEF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饮用水水源地二级保护区</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460BC">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69.86</w:t>
            </w:r>
          </w:p>
        </w:tc>
      </w:tr>
      <w:tr w14:paraId="79107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7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B160F">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13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F0091">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4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C5C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自然保护地一般控制区</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AA08F">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32665.17</w:t>
            </w:r>
          </w:p>
        </w:tc>
      </w:tr>
      <w:tr w14:paraId="5AB09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7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A8156">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13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405E0">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4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ADE2">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国家级水产种质资源保护区实验区</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CD128">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2.21</w:t>
            </w:r>
          </w:p>
        </w:tc>
      </w:tr>
      <w:tr w14:paraId="72FFA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7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52FEB">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13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51E1A">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5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96A9B1">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合计：172758.1（去除重复区域面积28649.42）</w:t>
            </w:r>
          </w:p>
        </w:tc>
      </w:tr>
      <w:tr w14:paraId="68FF3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4AFD">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B1A73">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养殖区</w:t>
            </w:r>
          </w:p>
        </w:tc>
        <w:tc>
          <w:tcPr>
            <w:tcW w:w="4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211B8">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农业发展空间</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5DFF">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846.44</w:t>
            </w:r>
          </w:p>
        </w:tc>
      </w:tr>
    </w:tbl>
    <w:p w14:paraId="2F1EDEAA">
      <w:pPr>
        <w:ind w:left="0" w:leftChars="0" w:firstLine="0" w:firstLineChars="0"/>
        <w:jc w:val="center"/>
        <w:rPr>
          <w:rFonts w:hint="default" w:ascii="宋体" w:hAnsi="宋体"/>
          <w:szCs w:val="28"/>
          <w:lang w:val="en-US" w:eastAsia="zh-CN"/>
        </w:rPr>
      </w:pPr>
      <w:r>
        <w:rPr>
          <w:rFonts w:hint="default" w:ascii="宋体" w:hAnsi="宋体"/>
          <w:szCs w:val="28"/>
          <w:lang w:val="en-US" w:eastAsia="zh-CN"/>
        </w:rPr>
        <w:drawing>
          <wp:inline distT="0" distB="0" distL="114300" distR="114300">
            <wp:extent cx="5737860" cy="7625715"/>
            <wp:effectExtent l="0" t="0" r="15240" b="13335"/>
            <wp:docPr id="1" name="图片 1" descr="F:/2025.10养殖滩涂水域规划/嘉荫县/五次修改/图件/全县及各乡镇总体规划图/嘉荫县总体规划图.jpg嘉荫县总体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2025.10养殖滩涂水域规划/嘉荫县/五次修改/图件/全县及各乡镇总体规划图/嘉荫县总体规划图.jpg嘉荫县总体规划图"/>
                    <pic:cNvPicPr>
                      <a:picLocks noChangeAspect="1"/>
                    </pic:cNvPicPr>
                  </pic:nvPicPr>
                  <pic:blipFill>
                    <a:blip r:embed="rId18"/>
                    <a:srcRect t="952" b="952"/>
                    <a:stretch>
                      <a:fillRect/>
                    </a:stretch>
                  </pic:blipFill>
                  <pic:spPr>
                    <a:xfrm>
                      <a:off x="0" y="0"/>
                      <a:ext cx="5737860" cy="7625715"/>
                    </a:xfrm>
                    <a:prstGeom prst="rect">
                      <a:avLst/>
                    </a:prstGeom>
                  </pic:spPr>
                </pic:pic>
              </a:graphicData>
            </a:graphic>
          </wp:inline>
        </w:drawing>
      </w:r>
    </w:p>
    <w:p w14:paraId="2BCF5AE7">
      <w:pPr>
        <w:numPr>
          <w:ilvl w:val="0"/>
          <w:numId w:val="0"/>
        </w:numPr>
        <w:spacing w:line="360" w:lineRule="auto"/>
        <w:ind w:firstLine="420" w:firstLineChars="20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图3-1</w:t>
      </w:r>
      <w:r>
        <w:rPr>
          <w:rFonts w:hint="eastAsia" w:ascii="宋体" w:hAnsi="宋体" w:cs="宋体"/>
          <w:sz w:val="21"/>
          <w:szCs w:val="21"/>
          <w:highlight w:val="none"/>
          <w:lang w:val="en-US" w:eastAsia="zh-CN"/>
        </w:rPr>
        <w:t>嘉荫</w:t>
      </w:r>
      <w:r>
        <w:rPr>
          <w:rFonts w:hint="eastAsia" w:ascii="宋体" w:hAnsi="宋体" w:eastAsia="宋体" w:cs="宋体"/>
          <w:sz w:val="21"/>
          <w:szCs w:val="21"/>
          <w:highlight w:val="none"/>
          <w:lang w:val="en-US" w:eastAsia="zh-CN"/>
        </w:rPr>
        <w:t>县养殖水域滩涂规划总体规划图</w:t>
      </w:r>
    </w:p>
    <w:p w14:paraId="6A4B13EF">
      <w:pPr>
        <w:ind w:left="-280" w:leftChars="-100" w:firstLine="0" w:firstLineChars="0"/>
        <w:jc w:val="center"/>
        <w:rPr>
          <w:rFonts w:hint="default" w:ascii="宋体" w:hAnsi="宋体"/>
          <w:szCs w:val="28"/>
          <w:lang w:val="en-US" w:eastAsia="zh-CN"/>
        </w:rPr>
        <w:sectPr>
          <w:pgSz w:w="11906" w:h="16838"/>
          <w:pgMar w:top="1531" w:right="1247" w:bottom="1417" w:left="1417" w:header="851" w:footer="992" w:gutter="0"/>
          <w:pgNumType w:fmt="decimal"/>
          <w:cols w:space="425" w:num="1"/>
          <w:rtlGutter w:val="0"/>
          <w:docGrid w:type="lines" w:linePitch="312" w:charSpace="0"/>
        </w:sectPr>
      </w:pPr>
    </w:p>
    <w:p w14:paraId="4E941104">
      <w:pPr>
        <w:pStyle w:val="3"/>
        <w:keepNext w:val="0"/>
        <w:keepLines/>
        <w:pageBreakBefore w:val="0"/>
        <w:widowControl w:val="0"/>
        <w:kinsoku/>
        <w:wordWrap/>
        <w:overflowPunct/>
        <w:topLinePunct w:val="0"/>
        <w:autoSpaceDE/>
        <w:autoSpaceDN/>
        <w:bidi w:val="0"/>
        <w:adjustRightInd/>
        <w:snapToGrid/>
        <w:jc w:val="left"/>
        <w:textAlignment w:val="auto"/>
        <w:rPr>
          <w:rFonts w:hint="eastAsia" w:ascii="Times New Roman" w:hAnsi="Times New Roman"/>
          <w:lang w:val="en-US" w:eastAsia="zh-CN"/>
        </w:rPr>
      </w:pPr>
      <w:bookmarkStart w:id="57" w:name="_Toc22215"/>
      <w:bookmarkStart w:id="58" w:name="_Toc23589"/>
      <w:r>
        <w:rPr>
          <w:rFonts w:ascii="Times New Roman" w:hAnsi="Times New Roman"/>
        </w:rPr>
        <w:t>3.</w:t>
      </w:r>
      <w:r>
        <w:rPr>
          <w:rFonts w:hint="eastAsia" w:ascii="Times New Roman" w:hAnsi="Times New Roman"/>
          <w:lang w:val="en-US" w:eastAsia="zh-CN"/>
        </w:rPr>
        <w:t>4</w:t>
      </w:r>
      <w:r>
        <w:rPr>
          <w:rFonts w:ascii="Times New Roman" w:hAnsi="Times New Roman"/>
        </w:rPr>
        <w:t xml:space="preserve"> 禁止养殖区</w:t>
      </w:r>
      <w:r>
        <w:rPr>
          <w:rFonts w:hint="eastAsia" w:ascii="Times New Roman" w:hAnsi="Times New Roman"/>
          <w:lang w:val="en-US" w:eastAsia="zh-CN"/>
        </w:rPr>
        <w:t>划定</w:t>
      </w:r>
      <w:bookmarkEnd w:id="57"/>
      <w:bookmarkEnd w:id="58"/>
    </w:p>
    <w:p w14:paraId="78FADC35">
      <w:pPr>
        <w:ind w:firstLine="560" w:firstLineChars="200"/>
        <w:rPr>
          <w:rFonts w:hint="eastAsia"/>
          <w:lang w:val="en-US" w:eastAsia="zh-CN"/>
        </w:rPr>
      </w:pPr>
      <w:r>
        <w:rPr>
          <w:rFonts w:hint="eastAsia"/>
          <w:lang w:val="en-US" w:eastAsia="zh-CN"/>
        </w:rPr>
        <w:t>根据嘉荫县开发利用现状结合各类保护区域，规划划定禁养区</w:t>
      </w:r>
      <w:r>
        <w:rPr>
          <w:rFonts w:hint="eastAsia"/>
          <w:color w:val="auto"/>
          <w:lang w:val="en-US" w:eastAsia="zh-CN"/>
        </w:rPr>
        <w:t>共5类</w:t>
      </w:r>
      <w:r>
        <w:rPr>
          <w:rFonts w:hint="eastAsia"/>
          <w:lang w:val="en-US" w:eastAsia="zh-CN"/>
        </w:rPr>
        <w:t>，总面积</w:t>
      </w:r>
      <w:r>
        <w:rPr>
          <w:rFonts w:hint="eastAsia"/>
          <w:highlight w:val="none"/>
          <w:lang w:val="en-US" w:eastAsia="zh-CN"/>
        </w:rPr>
        <w:t>262840.8公顷</w:t>
      </w:r>
      <w:r>
        <w:rPr>
          <w:rFonts w:hint="eastAsia"/>
          <w:lang w:val="en-US" w:eastAsia="zh-CN"/>
        </w:rPr>
        <w:t>。</w:t>
      </w:r>
    </w:p>
    <w:p w14:paraId="241DDF4C">
      <w:pPr>
        <w:ind w:left="0" w:leftChars="0" w:firstLine="0" w:firstLineChars="0"/>
        <w:jc w:val="center"/>
        <w:rPr>
          <w:rFonts w:hint="default" w:ascii="宋体" w:hAnsi="宋体"/>
          <w:szCs w:val="28"/>
          <w:lang w:val="en-US" w:eastAsia="zh-CN"/>
        </w:rPr>
      </w:pPr>
      <w:r>
        <w:rPr>
          <w:rFonts w:hint="default" w:ascii="宋体" w:hAnsi="宋体"/>
          <w:szCs w:val="28"/>
          <w:lang w:val="en-US" w:eastAsia="zh-CN"/>
        </w:rPr>
        <w:drawing>
          <wp:inline distT="0" distB="0" distL="114300" distR="114300">
            <wp:extent cx="5267325" cy="7136765"/>
            <wp:effectExtent l="0" t="0" r="9525" b="6985"/>
            <wp:docPr id="2" name="图片 2" descr="F:/2025.10养殖滩涂水域规划/嘉荫县/五次修改/图件/禁养区图/禁养区规划图.jpg禁养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2025.10养殖滩涂水域规划/嘉荫县/五次修改/图件/禁养区图/禁养区规划图.jpg禁养区规划图"/>
                    <pic:cNvPicPr>
                      <a:picLocks noChangeAspect="1"/>
                    </pic:cNvPicPr>
                  </pic:nvPicPr>
                  <pic:blipFill>
                    <a:blip r:embed="rId19"/>
                    <a:srcRect l="4" r="4"/>
                    <a:stretch>
                      <a:fillRect/>
                    </a:stretch>
                  </pic:blipFill>
                  <pic:spPr>
                    <a:xfrm>
                      <a:off x="0" y="0"/>
                      <a:ext cx="5267325" cy="7136765"/>
                    </a:xfrm>
                    <a:prstGeom prst="rect">
                      <a:avLst/>
                    </a:prstGeom>
                  </pic:spPr>
                </pic:pic>
              </a:graphicData>
            </a:graphic>
          </wp:inline>
        </w:drawing>
      </w:r>
    </w:p>
    <w:p w14:paraId="215E4C27">
      <w:pPr>
        <w:numPr>
          <w:ilvl w:val="0"/>
          <w:numId w:val="0"/>
        </w:numPr>
        <w:spacing w:line="360" w:lineRule="auto"/>
        <w:jc w:val="center"/>
        <w:rPr>
          <w:rFonts w:hint="eastAsia"/>
          <w:sz w:val="21"/>
          <w:szCs w:val="21"/>
          <w:lang w:val="en-US" w:eastAsia="zh-CN"/>
        </w:rPr>
      </w:pPr>
      <w:r>
        <w:rPr>
          <w:rFonts w:hint="eastAsia" w:ascii="宋体" w:hAnsi="宋体" w:eastAsia="宋体" w:cs="宋体"/>
          <w:sz w:val="21"/>
          <w:szCs w:val="21"/>
          <w:highlight w:val="none"/>
          <w:lang w:val="en-US" w:eastAsia="zh-CN"/>
        </w:rPr>
        <w:t>图3-2</w:t>
      </w:r>
      <w:r>
        <w:rPr>
          <w:rFonts w:hint="eastAsia" w:ascii="宋体" w:hAnsi="宋体" w:cs="宋体"/>
          <w:sz w:val="21"/>
          <w:szCs w:val="21"/>
          <w:highlight w:val="none"/>
          <w:lang w:val="en-US" w:eastAsia="zh-CN"/>
        </w:rPr>
        <w:t>嘉荫</w:t>
      </w:r>
      <w:r>
        <w:rPr>
          <w:rFonts w:hint="eastAsia" w:ascii="宋体" w:hAnsi="宋体" w:eastAsia="宋体" w:cs="宋体"/>
          <w:sz w:val="21"/>
          <w:szCs w:val="21"/>
          <w:highlight w:val="none"/>
          <w:lang w:val="en-US" w:eastAsia="zh-CN"/>
        </w:rPr>
        <w:t>县养殖水域滩涂规划禁养区规划图</w:t>
      </w:r>
    </w:p>
    <w:p w14:paraId="6F40438D">
      <w:pPr>
        <w:pStyle w:val="4"/>
        <w:keepNext w:val="0"/>
        <w:keepLines/>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lang w:val="en-US" w:eastAsia="zh-CN"/>
        </w:rPr>
      </w:pPr>
      <w:bookmarkStart w:id="59" w:name="_Toc28335"/>
      <w:r>
        <w:rPr>
          <w:rFonts w:hint="eastAsia" w:ascii="Times New Roman" w:hAnsi="Times New Roman" w:eastAsia="宋体" w:cs="Times New Roman"/>
          <w:lang w:val="en-US" w:eastAsia="zh-CN"/>
        </w:rPr>
        <w:t>3.</w:t>
      </w:r>
      <w:r>
        <w:rPr>
          <w:rFonts w:hint="eastAsia" w:cs="Times New Roman"/>
          <w:lang w:val="en-US" w:eastAsia="zh-CN"/>
        </w:rPr>
        <w:t>4</w:t>
      </w:r>
      <w:r>
        <w:rPr>
          <w:rFonts w:hint="eastAsia" w:ascii="Times New Roman" w:hAnsi="Times New Roman" w:eastAsia="宋体" w:cs="Times New Roman"/>
          <w:lang w:val="en-US" w:eastAsia="zh-CN"/>
        </w:rPr>
        <w:t>.1 生态保护红线核心区域禁养区</w:t>
      </w:r>
      <w:bookmarkEnd w:id="59"/>
    </w:p>
    <w:p w14:paraId="5AE7DC93">
      <w:pPr>
        <w:pStyle w:val="5"/>
        <w:keepNext w:val="0"/>
        <w:keepLines/>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宋体"/>
          <w:lang w:val="en-US" w:eastAsia="zh-CN"/>
        </w:rPr>
      </w:pPr>
      <w:r>
        <w:rPr>
          <w:rFonts w:hint="eastAsia" w:ascii="Times New Roman" w:hAnsi="Times New Roman" w:eastAsia="宋体"/>
          <w:lang w:val="en-US" w:eastAsia="zh-CN"/>
        </w:rPr>
        <w:t>3.</w:t>
      </w:r>
      <w:r>
        <w:rPr>
          <w:rFonts w:hint="eastAsia" w:ascii="Times New Roman" w:hAnsi="Times New Roman"/>
          <w:lang w:val="en-US" w:eastAsia="zh-CN"/>
        </w:rPr>
        <w:t>4</w:t>
      </w:r>
      <w:r>
        <w:rPr>
          <w:rFonts w:hint="eastAsia" w:ascii="Times New Roman" w:hAnsi="Times New Roman" w:eastAsia="宋体"/>
          <w:lang w:val="en-US" w:eastAsia="zh-CN"/>
        </w:rPr>
        <w:t>.1.1</w:t>
      </w:r>
      <w:r>
        <w:rPr>
          <w:rFonts w:hint="eastAsia" w:ascii="Times New Roman" w:hAnsi="Times New Roman"/>
          <w:lang w:val="en-US" w:eastAsia="zh-CN"/>
        </w:rPr>
        <w:t xml:space="preserve"> </w:t>
      </w:r>
      <w:r>
        <w:rPr>
          <w:rFonts w:hint="eastAsia" w:ascii="Times New Roman" w:hAnsi="Times New Roman" w:eastAsia="宋体"/>
          <w:lang w:val="en-US" w:eastAsia="zh-CN"/>
        </w:rPr>
        <w:t>自然保护地核心保护区禁养区</w:t>
      </w:r>
    </w:p>
    <w:p w14:paraId="607DEC57">
      <w:pPr>
        <w:ind w:firstLine="560" w:firstLineChars="200"/>
        <w:jc w:val="both"/>
        <w:rPr>
          <w:rFonts w:hint="eastAsia" w:ascii="Times New Roman" w:hAnsi="Times New Roman" w:eastAsia="宋体"/>
          <w:lang w:val="en-US" w:eastAsia="zh-CN"/>
        </w:rPr>
      </w:pPr>
      <w:r>
        <w:rPr>
          <w:rFonts w:hint="eastAsia" w:ascii="Times New Roman" w:hAnsi="Times New Roman" w:eastAsia="宋体"/>
          <w:lang w:val="en-US" w:eastAsia="zh-CN"/>
        </w:rPr>
        <w:t>黑龙江茅兰沟国家级自然保护区属于森林生态系统类型自然保护区，集生物多样性保护、科学研究、宣传教育、生态旅游与森林可持续利用等多项功能于一体的综合性自然保护区，是开展丹顶鹤、白枕鹤、东方白鹳等珍稀濒危野生动物物种研究和保护的重要基地，也是生物多样性比较丰富的区域。主要保护对象是森林生态系统及栖息于此的中华秋沙鸭等珍稀濒危野生动物。本次规划修订划入的禁养区域为核心保护区，面积为248</w:t>
      </w:r>
      <w:r>
        <w:rPr>
          <w:rFonts w:hint="eastAsia"/>
          <w:lang w:val="en-US" w:eastAsia="zh-CN"/>
        </w:rPr>
        <w:t>6</w:t>
      </w:r>
      <w:r>
        <w:rPr>
          <w:rFonts w:hint="eastAsia" w:ascii="Times New Roman" w:hAnsi="Times New Roman" w:eastAsia="宋体"/>
          <w:lang w:val="en-US" w:eastAsia="zh-CN"/>
        </w:rPr>
        <w:t>8</w:t>
      </w:r>
      <w:r>
        <w:rPr>
          <w:rFonts w:hint="eastAsia"/>
          <w:lang w:val="en-US" w:eastAsia="zh-CN"/>
        </w:rPr>
        <w:t>.4</w:t>
      </w:r>
      <w:r>
        <w:rPr>
          <w:rFonts w:hint="eastAsia" w:ascii="Times New Roman" w:hAnsi="Times New Roman" w:eastAsia="宋体"/>
          <w:lang w:val="en-US" w:eastAsia="zh-CN"/>
        </w:rPr>
        <w:t>公顷。</w:t>
      </w:r>
    </w:p>
    <w:p w14:paraId="3FD23D23">
      <w:pPr>
        <w:ind w:firstLine="560" w:firstLineChars="200"/>
        <w:jc w:val="both"/>
        <w:rPr>
          <w:rFonts w:hint="eastAsia" w:ascii="Times New Roman" w:hAnsi="Times New Roman" w:eastAsia="宋体"/>
          <w:lang w:val="en-US" w:eastAsia="zh-CN"/>
        </w:rPr>
      </w:pPr>
      <w:r>
        <w:rPr>
          <w:rFonts w:hint="eastAsia" w:ascii="Times New Roman" w:hAnsi="Times New Roman" w:eastAsia="宋体"/>
          <w:lang w:val="en-US" w:eastAsia="zh-CN"/>
        </w:rPr>
        <w:t>黑龙江伊春嘉荫恐龙化石省级自然保护区是我国最早发现恐龙化石的产地之一，被誉为“中国第一龙乡</w:t>
      </w:r>
      <w:r>
        <w:rPr>
          <w:rFonts w:hint="eastAsia"/>
          <w:lang w:val="en-US" w:eastAsia="zh-CN"/>
        </w:rPr>
        <w:t>”，</w:t>
      </w:r>
      <w:r>
        <w:rPr>
          <w:rFonts w:hint="eastAsia" w:ascii="Times New Roman" w:hAnsi="Times New Roman" w:eastAsia="宋体"/>
          <w:lang w:val="en-US" w:eastAsia="zh-CN"/>
        </w:rPr>
        <w:t>本次规划修订划入的禁养区域为核心保护区，面积为1039.76公顷。</w:t>
      </w:r>
    </w:p>
    <w:p w14:paraId="26B425B2">
      <w:pPr>
        <w:ind w:firstLine="560" w:firstLineChars="200"/>
        <w:jc w:val="both"/>
        <w:rPr>
          <w:rFonts w:hint="eastAsia" w:ascii="Times New Roman" w:hAnsi="Times New Roman" w:eastAsia="宋体"/>
          <w:lang w:val="en-US" w:eastAsia="zh-CN"/>
        </w:rPr>
      </w:pPr>
      <w:r>
        <w:rPr>
          <w:rFonts w:hint="eastAsia" w:ascii="Times New Roman" w:hAnsi="Times New Roman" w:eastAsia="宋体"/>
          <w:lang w:val="en-US" w:eastAsia="zh-CN"/>
        </w:rPr>
        <w:t>黑龙江平阳河湿地省级自然保护区</w:t>
      </w:r>
      <w:r>
        <w:rPr>
          <w:rFonts w:hint="eastAsia"/>
          <w:lang w:val="en-US" w:eastAsia="zh-CN"/>
        </w:rPr>
        <w:t>，</w:t>
      </w:r>
      <w:r>
        <w:rPr>
          <w:rFonts w:hint="eastAsia" w:ascii="Times New Roman" w:hAnsi="Times New Roman" w:eastAsia="宋体"/>
          <w:lang w:val="en-US" w:eastAsia="zh-CN"/>
        </w:rPr>
        <w:t>本次规划修订划入的禁养区域为核心保护区，面积为</w:t>
      </w:r>
      <w:r>
        <w:rPr>
          <w:rFonts w:hint="default" w:ascii="Times New Roman" w:hAnsi="Times New Roman" w:eastAsia="宋体"/>
          <w:lang w:val="en-US" w:eastAsia="zh-CN"/>
        </w:rPr>
        <w:t>27199.14</w:t>
      </w:r>
      <w:r>
        <w:rPr>
          <w:rFonts w:hint="eastAsia" w:ascii="Times New Roman" w:hAnsi="Times New Roman" w:eastAsia="宋体"/>
          <w:lang w:val="en-US" w:eastAsia="zh-CN"/>
        </w:rPr>
        <w:t>公顷。</w:t>
      </w:r>
    </w:p>
    <w:p w14:paraId="40CAB167">
      <w:pPr>
        <w:ind w:firstLine="560" w:firstLineChars="200"/>
        <w:jc w:val="both"/>
        <w:rPr>
          <w:rFonts w:hint="eastAsia" w:ascii="Times New Roman" w:hAnsi="Times New Roman" w:eastAsia="宋体"/>
          <w:lang w:val="en-US" w:eastAsia="zh-CN"/>
        </w:rPr>
      </w:pPr>
      <w:r>
        <w:rPr>
          <w:rFonts w:hint="eastAsia" w:ascii="Times New Roman" w:hAnsi="Times New Roman" w:eastAsia="宋体"/>
          <w:lang w:val="en-US" w:eastAsia="zh-CN"/>
        </w:rPr>
        <w:t>黑龙江新青白头鹤国家级自然保护区</w:t>
      </w:r>
      <w:r>
        <w:rPr>
          <w:rFonts w:hint="eastAsia"/>
          <w:lang w:val="en-US" w:eastAsia="zh-CN"/>
        </w:rPr>
        <w:t>，</w:t>
      </w:r>
      <w:r>
        <w:rPr>
          <w:rFonts w:hint="eastAsia" w:ascii="Times New Roman" w:hAnsi="Times New Roman" w:eastAsia="宋体"/>
          <w:lang w:val="en-US" w:eastAsia="zh-CN"/>
        </w:rPr>
        <w:t>本次规划修订划入的禁养区域为核心保护区，面积为</w:t>
      </w:r>
      <w:r>
        <w:rPr>
          <w:rFonts w:hint="default" w:ascii="Times New Roman" w:hAnsi="Times New Roman" w:eastAsia="宋体"/>
          <w:lang w:val="en-US" w:eastAsia="zh-CN"/>
        </w:rPr>
        <w:t>42189.18</w:t>
      </w:r>
      <w:r>
        <w:rPr>
          <w:rFonts w:hint="eastAsia" w:ascii="Times New Roman" w:hAnsi="Times New Roman" w:eastAsia="宋体"/>
          <w:lang w:val="en-US" w:eastAsia="zh-CN"/>
        </w:rPr>
        <w:t>公顷。</w:t>
      </w:r>
    </w:p>
    <w:p w14:paraId="7D86A7D9">
      <w:pPr>
        <w:ind w:firstLine="560" w:firstLineChars="200"/>
        <w:jc w:val="both"/>
        <w:rPr>
          <w:rFonts w:hint="eastAsia" w:ascii="Times New Roman" w:hAnsi="Times New Roman" w:eastAsia="宋体"/>
          <w:lang w:val="en-US" w:eastAsia="zh-CN"/>
        </w:rPr>
      </w:pPr>
      <w:r>
        <w:rPr>
          <w:rFonts w:hint="eastAsia" w:ascii="Times New Roman" w:hAnsi="Times New Roman" w:eastAsia="宋体"/>
          <w:lang w:val="en-US" w:eastAsia="zh-CN"/>
        </w:rPr>
        <w:t>黑龙江嘉荫次生林自然保护区</w:t>
      </w:r>
      <w:r>
        <w:rPr>
          <w:rFonts w:hint="eastAsia"/>
          <w:lang w:val="en-US" w:eastAsia="zh-CN"/>
        </w:rPr>
        <w:t>，</w:t>
      </w:r>
      <w:r>
        <w:rPr>
          <w:rFonts w:hint="eastAsia" w:ascii="Times New Roman" w:hAnsi="Times New Roman" w:eastAsia="宋体"/>
          <w:lang w:val="en-US" w:eastAsia="zh-CN"/>
        </w:rPr>
        <w:t>本次规划修订划入的禁养区域为核心保护区，面积为</w:t>
      </w:r>
      <w:r>
        <w:rPr>
          <w:rFonts w:hint="default" w:ascii="Times New Roman" w:hAnsi="Times New Roman" w:eastAsia="宋体"/>
          <w:lang w:val="en-US" w:eastAsia="zh-CN"/>
        </w:rPr>
        <w:t>10408.33</w:t>
      </w:r>
      <w:r>
        <w:rPr>
          <w:rFonts w:hint="eastAsia" w:ascii="Times New Roman" w:hAnsi="Times New Roman" w:eastAsia="宋体"/>
          <w:lang w:val="en-US" w:eastAsia="zh-CN"/>
        </w:rPr>
        <w:t>公顷。</w:t>
      </w:r>
    </w:p>
    <w:p w14:paraId="2AFAF051">
      <w:pPr>
        <w:ind w:firstLine="560" w:firstLineChars="200"/>
        <w:jc w:val="both"/>
        <w:rPr>
          <w:rFonts w:hint="eastAsia"/>
          <w:lang w:val="en-US" w:eastAsia="zh-CN"/>
        </w:rPr>
      </w:pPr>
      <w:r>
        <w:rPr>
          <w:rFonts w:hint="eastAsia"/>
          <w:lang w:val="en-US" w:eastAsia="zh-CN"/>
        </w:rPr>
        <w:t>这些自然保护地核心保护区是生态系统的核心区域，对维护生物多样性、保障生态安全具有不可替代的作用。在这些区域内严禁开展任何形式的水产养殖活动，以最大限度减少人为干扰，确保核心保护区内的生态环境、野生动植物及其栖息地得到严格保护，维持自然生态系统的原真性和完整性。通过严格禁止养殖行为，为珍稀濒危物种提供安全稳定的生存环境，促进生态系统的自我修复和良性循环，实现生态保护的长远目标。</w:t>
      </w:r>
    </w:p>
    <w:p w14:paraId="02A5F12B">
      <w:pPr>
        <w:ind w:left="-280" w:leftChars="-10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drawing>
          <wp:inline distT="0" distB="0" distL="114300" distR="114300">
            <wp:extent cx="5604510" cy="7593965"/>
            <wp:effectExtent l="0" t="0" r="15240" b="6985"/>
            <wp:docPr id="4" name="图片 4" descr="F:/2025.10养殖滩涂水域规划/嘉荫县/五次修改/图件/禁养区图/禁养区规划图-自然保护地核心保护区.jpg禁养区规划图-自然保护地核心保护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2025.10养殖滩涂水域规划/嘉荫县/五次修改/图件/禁养区图/禁养区规划图-自然保护地核心保护区.jpg禁养区规划图-自然保护地核心保护区"/>
                    <pic:cNvPicPr>
                      <a:picLocks noChangeAspect="1"/>
                    </pic:cNvPicPr>
                  </pic:nvPicPr>
                  <pic:blipFill>
                    <a:blip r:embed="rId20"/>
                    <a:srcRect l="8" r="8"/>
                    <a:stretch>
                      <a:fillRect/>
                    </a:stretch>
                  </pic:blipFill>
                  <pic:spPr>
                    <a:xfrm>
                      <a:off x="0" y="0"/>
                      <a:ext cx="5604510" cy="7593965"/>
                    </a:xfrm>
                    <a:prstGeom prst="rect">
                      <a:avLst/>
                    </a:prstGeom>
                  </pic:spPr>
                </pic:pic>
              </a:graphicData>
            </a:graphic>
          </wp:inline>
        </w:drawing>
      </w:r>
    </w:p>
    <w:p w14:paraId="22B56106">
      <w:pPr>
        <w:ind w:left="-280" w:leftChars="-100" w:firstLine="0" w:firstLineChars="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图3-3</w:t>
      </w:r>
      <w:r>
        <w:rPr>
          <w:rFonts w:hint="eastAsia" w:ascii="宋体" w:hAnsi="宋体" w:cs="宋体"/>
          <w:sz w:val="21"/>
          <w:szCs w:val="21"/>
          <w:highlight w:val="none"/>
          <w:lang w:val="en-US" w:eastAsia="zh-CN"/>
        </w:rPr>
        <w:t xml:space="preserve"> 嘉荫</w:t>
      </w:r>
      <w:r>
        <w:rPr>
          <w:rFonts w:hint="eastAsia" w:ascii="宋体" w:hAnsi="宋体" w:eastAsia="宋体" w:cs="宋体"/>
          <w:sz w:val="21"/>
          <w:szCs w:val="21"/>
          <w:highlight w:val="none"/>
          <w:lang w:val="en-US" w:eastAsia="zh-CN"/>
        </w:rPr>
        <w:t>县养殖水域滩涂规划自然保护地核心保护区禁养区规划图</w:t>
      </w:r>
    </w:p>
    <w:p w14:paraId="2E583CF5">
      <w:pPr>
        <w:ind w:left="-280" w:leftChars="-100" w:firstLine="0" w:firstLineChars="0"/>
        <w:jc w:val="center"/>
        <w:rPr>
          <w:rFonts w:hint="eastAsia" w:ascii="宋体" w:hAnsi="宋体" w:eastAsia="宋体" w:cs="宋体"/>
          <w:sz w:val="21"/>
          <w:szCs w:val="21"/>
          <w:highlight w:val="none"/>
          <w:lang w:val="en-US" w:eastAsia="zh-CN"/>
        </w:rPr>
      </w:pPr>
    </w:p>
    <w:p w14:paraId="30B4CDE2">
      <w:pPr>
        <w:ind w:left="-280" w:leftChars="-100" w:firstLine="0" w:firstLineChars="0"/>
        <w:jc w:val="center"/>
        <w:rPr>
          <w:rFonts w:hint="eastAsia" w:ascii="宋体" w:hAnsi="宋体" w:eastAsia="宋体" w:cs="宋体"/>
          <w:sz w:val="21"/>
          <w:szCs w:val="21"/>
          <w:highlight w:val="none"/>
          <w:lang w:val="en-US" w:eastAsia="zh-CN"/>
        </w:rPr>
        <w:sectPr>
          <w:pgSz w:w="11906" w:h="16838"/>
          <w:pgMar w:top="1531" w:right="1247" w:bottom="1417" w:left="1417" w:header="851" w:footer="992" w:gutter="0"/>
          <w:pgNumType w:fmt="decimal"/>
          <w:cols w:space="425" w:num="1"/>
          <w:rtlGutter w:val="0"/>
          <w:docGrid w:type="lines" w:linePitch="312" w:charSpace="0"/>
        </w:sectPr>
      </w:pPr>
    </w:p>
    <w:p w14:paraId="28F2A4F0">
      <w:pPr>
        <w:ind w:left="-280" w:leftChars="-100" w:firstLine="0" w:firstLineChars="0"/>
        <w:jc w:val="center"/>
        <w:rPr>
          <w:rFonts w:hint="eastAsia" w:ascii="宋体" w:hAnsi="宋体" w:eastAsia="宋体" w:cs="宋体"/>
          <w:sz w:val="21"/>
          <w:szCs w:val="21"/>
          <w:highlight w:val="none"/>
          <w:lang w:val="en-US" w:eastAsia="zh-CN"/>
        </w:rPr>
      </w:pPr>
    </w:p>
    <w:p w14:paraId="0ECD8626">
      <w:pPr>
        <w:pStyle w:val="5"/>
        <w:keepNext w:val="0"/>
        <w:keepLines/>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宋体"/>
          <w:lang w:val="en-US" w:eastAsia="zh-CN"/>
        </w:rPr>
      </w:pPr>
      <w:r>
        <w:rPr>
          <w:rFonts w:hint="eastAsia" w:ascii="Times New Roman" w:hAnsi="Times New Roman" w:eastAsia="宋体"/>
          <w:lang w:val="en-US" w:eastAsia="zh-CN"/>
        </w:rPr>
        <w:t>3.</w:t>
      </w:r>
      <w:r>
        <w:rPr>
          <w:rFonts w:hint="eastAsia" w:ascii="Times New Roman" w:hAnsi="Times New Roman"/>
          <w:lang w:val="en-US" w:eastAsia="zh-CN"/>
        </w:rPr>
        <w:t>4</w:t>
      </w:r>
      <w:r>
        <w:rPr>
          <w:rFonts w:hint="eastAsia" w:ascii="Times New Roman" w:hAnsi="Times New Roman" w:eastAsia="宋体"/>
          <w:lang w:val="en-US" w:eastAsia="zh-CN"/>
        </w:rPr>
        <w:t>.1.</w:t>
      </w:r>
      <w:r>
        <w:rPr>
          <w:rFonts w:hint="eastAsia" w:ascii="Times New Roman" w:hAnsi="Times New Roman"/>
          <w:lang w:val="en-US" w:eastAsia="zh-CN"/>
        </w:rPr>
        <w:t xml:space="preserve">2 </w:t>
      </w:r>
      <w:r>
        <w:rPr>
          <w:rFonts w:hint="eastAsia" w:ascii="Times New Roman" w:hAnsi="Times New Roman" w:eastAsia="宋体"/>
          <w:lang w:val="en-US" w:eastAsia="zh-CN"/>
        </w:rPr>
        <w:t>河湖自然岸线禁养区</w:t>
      </w:r>
    </w:p>
    <w:p w14:paraId="582B47BC">
      <w:pPr>
        <w:ind w:firstLine="560" w:firstLineChars="200"/>
        <w:jc w:val="both"/>
        <w:rPr>
          <w:rFonts w:hint="eastAsia"/>
          <w:lang w:val="en-US" w:eastAsia="zh-CN"/>
        </w:rPr>
      </w:pPr>
      <w:r>
        <w:rPr>
          <w:rFonts w:hint="eastAsia"/>
          <w:lang w:val="en-US" w:eastAsia="zh-CN"/>
        </w:rPr>
        <w:t>黑龙江在葛贡河口流经嘉荫县，至嘉荫河口出境，流长246千米，流域面积约400万多公顷。嘉荫县境内河流均发源于小兴安岭，流入黑龙江，统属黑龙江水系。</w:t>
      </w:r>
    </w:p>
    <w:p w14:paraId="5EF3CEDC">
      <w:pPr>
        <w:ind w:firstLine="560" w:firstLineChars="200"/>
        <w:jc w:val="both"/>
        <w:rPr>
          <w:rFonts w:hint="eastAsia"/>
          <w:lang w:val="en-US" w:eastAsia="zh-CN"/>
        </w:rPr>
      </w:pPr>
      <w:r>
        <w:rPr>
          <w:rFonts w:hint="eastAsia"/>
          <w:lang w:val="en-US" w:eastAsia="zh-CN"/>
        </w:rPr>
        <w:t>茅兰河发源于</w:t>
      </w:r>
      <w:r>
        <w:rPr>
          <w:rFonts w:hint="eastAsia"/>
          <w:lang w:val="en-US" w:eastAsia="zh-CN"/>
        </w:rPr>
        <w:fldChar w:fldCharType="begin"/>
      </w:r>
      <w:r>
        <w:rPr>
          <w:rFonts w:hint="eastAsia"/>
          <w:lang w:val="en-US" w:eastAsia="zh-CN"/>
        </w:rPr>
        <w:instrText xml:space="preserve"> HYPERLINK "https://baike.baidu.com/item/%E9%BB%91%E9%BE%99%E6%B1%9F%E7%9C%81/129397?fromModule=lemma_inlink" \t "https://baike.baidu.com/item/%E8%8C%85%E5%85%B0%E6%B2%B3/_blank" </w:instrText>
      </w:r>
      <w:r>
        <w:rPr>
          <w:rFonts w:hint="eastAsia"/>
          <w:lang w:val="en-US" w:eastAsia="zh-CN"/>
        </w:rPr>
        <w:fldChar w:fldCharType="separate"/>
      </w:r>
      <w:r>
        <w:rPr>
          <w:rFonts w:hint="eastAsia"/>
          <w:lang w:val="en-US" w:eastAsia="zh-CN"/>
        </w:rPr>
        <w:t>黑龙江省</w:t>
      </w:r>
      <w:r>
        <w:rPr>
          <w:rFonts w:hint="eastAsia"/>
          <w:lang w:val="en-US" w:eastAsia="zh-CN"/>
        </w:rPr>
        <w:fldChar w:fldCharType="end"/>
      </w:r>
      <w:r>
        <w:rPr>
          <w:rFonts w:hint="eastAsia"/>
          <w:lang w:val="en-US" w:eastAsia="zh-CN"/>
        </w:rPr>
        <w:fldChar w:fldCharType="begin"/>
      </w:r>
      <w:r>
        <w:rPr>
          <w:rFonts w:hint="eastAsia"/>
          <w:lang w:val="en-US" w:eastAsia="zh-CN"/>
        </w:rPr>
        <w:instrText xml:space="preserve"> HYPERLINK "https://baike.baidu.com/item/%E4%BC%8A%E6%98%A5%E5%B8%82/2921756?fromModule=lemma_inlink" \t "https://baike.baidu.com/item/%E8%8C%85%E5%85%B0%E6%B2%B3/_blank" </w:instrText>
      </w:r>
      <w:r>
        <w:rPr>
          <w:rFonts w:hint="eastAsia"/>
          <w:lang w:val="en-US" w:eastAsia="zh-CN"/>
        </w:rPr>
        <w:fldChar w:fldCharType="separate"/>
      </w:r>
      <w:r>
        <w:rPr>
          <w:rFonts w:hint="eastAsia"/>
          <w:lang w:val="en-US" w:eastAsia="zh-CN"/>
        </w:rPr>
        <w:t>伊春市</w:t>
      </w:r>
      <w:r>
        <w:rPr>
          <w:rFonts w:hint="eastAsia"/>
          <w:lang w:val="en-US" w:eastAsia="zh-CN"/>
        </w:rPr>
        <w:fldChar w:fldCharType="end"/>
      </w:r>
      <w:r>
        <w:rPr>
          <w:rFonts w:hint="eastAsia"/>
          <w:lang w:val="en-US" w:eastAsia="zh-CN"/>
        </w:rPr>
        <w:fldChar w:fldCharType="begin"/>
      </w:r>
      <w:r>
        <w:rPr>
          <w:rFonts w:hint="eastAsia"/>
          <w:lang w:val="en-US" w:eastAsia="zh-CN"/>
        </w:rPr>
        <w:instrText xml:space="preserve"> HYPERLINK "https://baike.baidu.com/item/%E5%98%89%E8%8D%AB%E5%8E%BF/5253557?fromModule=lemma_inlink" \t "https://baike.baidu.com/item/%E8%8C%85%E5%85%B0%E6%B2%B3/_blank" </w:instrText>
      </w:r>
      <w:r>
        <w:rPr>
          <w:rFonts w:hint="eastAsia"/>
          <w:lang w:val="en-US" w:eastAsia="zh-CN"/>
        </w:rPr>
        <w:fldChar w:fldCharType="separate"/>
      </w:r>
      <w:r>
        <w:rPr>
          <w:rFonts w:hint="eastAsia"/>
          <w:lang w:val="en-US" w:eastAsia="zh-CN"/>
        </w:rPr>
        <w:t>嘉荫县</w:t>
      </w:r>
      <w:r>
        <w:rPr>
          <w:rFonts w:hint="eastAsia"/>
          <w:lang w:val="en-US" w:eastAsia="zh-CN"/>
        </w:rPr>
        <w:fldChar w:fldCharType="end"/>
      </w:r>
      <w:r>
        <w:rPr>
          <w:rFonts w:hint="eastAsia"/>
          <w:lang w:val="en-US" w:eastAsia="zh-CN"/>
        </w:rPr>
        <w:t>境内</w:t>
      </w:r>
      <w:r>
        <w:rPr>
          <w:rFonts w:hint="eastAsia"/>
          <w:lang w:val="en-US" w:eastAsia="zh-CN"/>
        </w:rPr>
        <w:fldChar w:fldCharType="begin"/>
      </w:r>
      <w:r>
        <w:rPr>
          <w:rFonts w:hint="eastAsia"/>
          <w:lang w:val="en-US" w:eastAsia="zh-CN"/>
        </w:rPr>
        <w:instrText xml:space="preserve"> HYPERLINK "https://baike.baidu.com/item/%E5%B0%8F%E5%85%B4%E5%AE%89%E5%B2%AD/568160?fromModule=lemma_inlink" \t "https://baike.baidu.com/item/%E8%8C%85%E5%85%B0%E6%B2%B3/_blank" </w:instrText>
      </w:r>
      <w:r>
        <w:rPr>
          <w:rFonts w:hint="eastAsia"/>
          <w:lang w:val="en-US" w:eastAsia="zh-CN"/>
        </w:rPr>
        <w:fldChar w:fldCharType="separate"/>
      </w:r>
      <w:r>
        <w:rPr>
          <w:rFonts w:hint="eastAsia"/>
          <w:lang w:val="en-US" w:eastAsia="zh-CN"/>
        </w:rPr>
        <w:t>小兴安岭</w:t>
      </w:r>
      <w:r>
        <w:rPr>
          <w:rFonts w:hint="eastAsia"/>
          <w:lang w:val="en-US" w:eastAsia="zh-CN"/>
        </w:rPr>
        <w:fldChar w:fldCharType="end"/>
      </w:r>
      <w:r>
        <w:rPr>
          <w:rFonts w:hint="eastAsia"/>
          <w:lang w:val="en-US" w:eastAsia="zh-CN"/>
        </w:rPr>
        <w:t>北坡的五子旗大岗，全长16.2公里，自西南向东北流经</w:t>
      </w:r>
      <w:r>
        <w:rPr>
          <w:rFonts w:hint="eastAsia"/>
          <w:lang w:val="en-US" w:eastAsia="zh-CN"/>
        </w:rPr>
        <w:fldChar w:fldCharType="begin"/>
      </w:r>
      <w:r>
        <w:rPr>
          <w:rFonts w:hint="eastAsia"/>
          <w:lang w:val="en-US" w:eastAsia="zh-CN"/>
        </w:rPr>
        <w:instrText xml:space="preserve"> HYPERLINK "https://baike.baidu.com/item/%E8%8C%85%E5%85%B0%E6%B2%9F%E5%9B%BD%E5%AE%B6%E6%A3%AE%E6%9E%97%E5%85%AC%E5%9B%AD/8574507?fromModule=lemma_inlink" \t "https://baike.baidu.com/item/%E8%8C%85%E5%85%B0%E6%B2%B3/_blank" </w:instrText>
      </w:r>
      <w:r>
        <w:rPr>
          <w:rFonts w:hint="eastAsia"/>
          <w:lang w:val="en-US" w:eastAsia="zh-CN"/>
        </w:rPr>
        <w:fldChar w:fldCharType="separate"/>
      </w:r>
      <w:r>
        <w:rPr>
          <w:rFonts w:hint="eastAsia"/>
          <w:lang w:val="en-US" w:eastAsia="zh-CN"/>
        </w:rPr>
        <w:t>茅兰沟国家森林公园</w:t>
      </w:r>
      <w:r>
        <w:rPr>
          <w:rFonts w:hint="eastAsia"/>
          <w:lang w:val="en-US" w:eastAsia="zh-CN"/>
        </w:rPr>
        <w:fldChar w:fldCharType="end"/>
      </w:r>
      <w:r>
        <w:rPr>
          <w:rFonts w:hint="eastAsia"/>
          <w:lang w:val="en-US" w:eastAsia="zh-CN"/>
        </w:rPr>
        <w:t>核心景观区，最终注入</w:t>
      </w:r>
      <w:r>
        <w:rPr>
          <w:rFonts w:hint="eastAsia"/>
          <w:lang w:val="en-US" w:eastAsia="zh-CN"/>
        </w:rPr>
        <w:fldChar w:fldCharType="begin"/>
      </w:r>
      <w:r>
        <w:rPr>
          <w:rFonts w:hint="eastAsia"/>
          <w:lang w:val="en-US" w:eastAsia="zh-CN"/>
        </w:rPr>
        <w:instrText xml:space="preserve"> HYPERLINK "https://baike.baidu.com/item/%E9%BB%91%E9%BE%99%E6%B1%9F/1046993?fromModule=lemma_inlink" \t "https://baike.baidu.com/item/%E8%8C%85%E5%85%B0%E6%B2%B3/_blank" </w:instrText>
      </w:r>
      <w:r>
        <w:rPr>
          <w:rFonts w:hint="eastAsia"/>
          <w:lang w:val="en-US" w:eastAsia="zh-CN"/>
        </w:rPr>
        <w:fldChar w:fldCharType="separate"/>
      </w:r>
      <w:r>
        <w:rPr>
          <w:rFonts w:hint="eastAsia"/>
          <w:lang w:val="en-US" w:eastAsia="zh-CN"/>
        </w:rPr>
        <w:t>黑龙江</w:t>
      </w:r>
      <w:r>
        <w:rPr>
          <w:rFonts w:hint="eastAsia"/>
          <w:lang w:val="en-US" w:eastAsia="zh-CN"/>
        </w:rPr>
        <w:fldChar w:fldCharType="end"/>
      </w:r>
      <w:r>
        <w:rPr>
          <w:rFonts w:hint="eastAsia"/>
          <w:lang w:val="en-US" w:eastAsia="zh-CN"/>
        </w:rPr>
        <w:t>。</w:t>
      </w:r>
    </w:p>
    <w:p w14:paraId="30989251">
      <w:pPr>
        <w:ind w:firstLine="560" w:firstLineChars="200"/>
        <w:jc w:val="both"/>
        <w:rPr>
          <w:rFonts w:hint="default"/>
          <w:lang w:val="en-US" w:eastAsia="zh-CN"/>
        </w:rPr>
      </w:pPr>
      <w:r>
        <w:rPr>
          <w:rFonts w:hint="eastAsia"/>
          <w:lang w:val="en-US" w:eastAsia="zh-CN"/>
        </w:rPr>
        <w:t>嘉荫河</w:t>
      </w:r>
      <w:r>
        <w:rPr>
          <w:rFonts w:hint="default"/>
          <w:lang w:val="en-US" w:eastAsia="zh-CN"/>
        </w:rPr>
        <w:t>发源于小兴安岭东侧，自西北向东南流经鹤岗市北部，形成嘉荫县与萝北县的自然界河，最终在嘉荫河口村汇入黑龙江。</w:t>
      </w:r>
    </w:p>
    <w:p w14:paraId="4F2C34CE">
      <w:pPr>
        <w:ind w:firstLine="560" w:firstLineChars="200"/>
        <w:jc w:val="both"/>
        <w:rPr>
          <w:rFonts w:hint="default"/>
          <w:lang w:val="en-US" w:eastAsia="zh-CN"/>
        </w:rPr>
      </w:pPr>
      <w:r>
        <w:rPr>
          <w:rFonts w:hint="default"/>
          <w:lang w:val="en-US" w:eastAsia="zh-CN"/>
        </w:rPr>
        <w:t>乌拉嘎河</w:t>
      </w:r>
      <w:r>
        <w:rPr>
          <w:rFonts w:hint="eastAsia"/>
          <w:lang w:val="en-US" w:eastAsia="zh-CN"/>
        </w:rPr>
        <w:t>属</w:t>
      </w:r>
      <w:r>
        <w:rPr>
          <w:rFonts w:hint="default"/>
          <w:lang w:val="en-US" w:eastAsia="zh-CN"/>
        </w:rPr>
        <w:t>黑龙江中游南岸支流，全长90公里，沿岸盛产</w:t>
      </w:r>
      <w:r>
        <w:rPr>
          <w:rFonts w:hint="eastAsia"/>
          <w:lang w:val="en-US" w:eastAsia="zh-CN"/>
        </w:rPr>
        <w:t>沙金</w:t>
      </w:r>
      <w:r>
        <w:rPr>
          <w:rFonts w:hint="default"/>
          <w:lang w:val="en-US" w:eastAsia="zh-CN"/>
        </w:rPr>
        <w:t>，设有乌拉嘎金矿局 。</w:t>
      </w:r>
    </w:p>
    <w:p w14:paraId="4DF92963">
      <w:pPr>
        <w:ind w:firstLine="560" w:firstLineChars="200"/>
        <w:jc w:val="both"/>
        <w:rPr>
          <w:rFonts w:hint="default"/>
          <w:lang w:val="en-US" w:eastAsia="zh-CN"/>
        </w:rPr>
      </w:pPr>
      <w:r>
        <w:rPr>
          <w:rFonts w:hint="default"/>
          <w:lang w:val="en-US" w:eastAsia="zh-CN"/>
        </w:rPr>
        <w:t>结烈河</w:t>
      </w:r>
      <w:r>
        <w:rPr>
          <w:rFonts w:hint="eastAsia"/>
          <w:lang w:val="en-US" w:eastAsia="zh-CN"/>
        </w:rPr>
        <w:t>为</w:t>
      </w:r>
      <w:r>
        <w:rPr>
          <w:rFonts w:hint="default"/>
          <w:lang w:val="en-US" w:eastAsia="zh-CN"/>
        </w:rPr>
        <w:t>黑龙江中游南岸支流，全长77公里，是</w:t>
      </w:r>
      <w:r>
        <w:rPr>
          <w:rFonts w:hint="eastAsia" w:ascii="宋体" w:hAnsi="宋体"/>
          <w:szCs w:val="28"/>
          <w:lang w:val="en-US" w:eastAsia="zh-CN"/>
        </w:rPr>
        <w:t>农垦绥化管理局</w:t>
      </w:r>
      <w:r>
        <w:rPr>
          <w:rFonts w:hint="default"/>
          <w:lang w:val="en-US" w:eastAsia="zh-CN"/>
        </w:rPr>
        <w:t>的主要灌溉水源，年结冰期约6个月。</w:t>
      </w:r>
    </w:p>
    <w:p w14:paraId="7476F153">
      <w:pPr>
        <w:ind w:firstLine="560" w:firstLineChars="200"/>
        <w:jc w:val="both"/>
        <w:rPr>
          <w:rFonts w:hint="default"/>
          <w:lang w:val="en-US" w:eastAsia="zh-CN"/>
        </w:rPr>
      </w:pPr>
      <w:r>
        <w:rPr>
          <w:rFonts w:hint="default"/>
          <w:lang w:val="en-US" w:eastAsia="zh-CN"/>
        </w:rPr>
        <w:t>依据河湖划界调查资料划定河湖自然岸线为禁养区域，总禁养区面积为46022.</w:t>
      </w:r>
      <w:r>
        <w:rPr>
          <w:rFonts w:hint="eastAsia"/>
          <w:lang w:val="en-US" w:eastAsia="zh-CN"/>
        </w:rPr>
        <w:t>1</w:t>
      </w:r>
      <w:r>
        <w:rPr>
          <w:rFonts w:hint="default"/>
          <w:lang w:val="en-US" w:eastAsia="zh-CN"/>
        </w:rPr>
        <w:t>公顷。</w:t>
      </w:r>
    </w:p>
    <w:p w14:paraId="2FD76DF7">
      <w:pPr>
        <w:ind w:left="0" w:leftChars="0" w:firstLine="0" w:firstLineChars="0"/>
        <w:jc w:val="center"/>
        <w:rPr>
          <w:rFonts w:hint="default"/>
          <w:lang w:val="en-US" w:eastAsia="zh-CN"/>
        </w:rPr>
      </w:pPr>
      <w:r>
        <w:rPr>
          <w:rFonts w:hint="default"/>
          <w:lang w:val="en-US" w:eastAsia="zh-CN"/>
        </w:rPr>
        <w:drawing>
          <wp:inline distT="0" distB="0" distL="114300" distR="114300">
            <wp:extent cx="5267325" cy="7136765"/>
            <wp:effectExtent l="0" t="0" r="9525" b="6985"/>
            <wp:docPr id="7" name="图片 7" descr="禁养区规划图-河湖自然岸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禁养区规划图-河湖自然岸线"/>
                    <pic:cNvPicPr>
                      <a:picLocks noChangeAspect="1"/>
                    </pic:cNvPicPr>
                  </pic:nvPicPr>
                  <pic:blipFill>
                    <a:blip r:embed="rId21"/>
                    <a:stretch>
                      <a:fillRect/>
                    </a:stretch>
                  </pic:blipFill>
                  <pic:spPr>
                    <a:xfrm>
                      <a:off x="0" y="0"/>
                      <a:ext cx="5267325" cy="7136765"/>
                    </a:xfrm>
                    <a:prstGeom prst="rect">
                      <a:avLst/>
                    </a:prstGeom>
                  </pic:spPr>
                </pic:pic>
              </a:graphicData>
            </a:graphic>
          </wp:inline>
        </w:drawing>
      </w:r>
    </w:p>
    <w:p w14:paraId="7D6F5D3F">
      <w:pPr>
        <w:numPr>
          <w:ilvl w:val="0"/>
          <w:numId w:val="0"/>
        </w:numPr>
        <w:spacing w:line="360" w:lineRule="auto"/>
        <w:jc w:val="center"/>
        <w:rPr>
          <w:rFonts w:hint="eastAsia" w:ascii="Times New Roman" w:hAnsi="Times New Roman" w:eastAsia="宋体"/>
          <w:sz w:val="21"/>
          <w:szCs w:val="21"/>
          <w:lang w:val="en-US" w:eastAsia="zh-CN"/>
        </w:rPr>
      </w:pPr>
      <w:r>
        <w:rPr>
          <w:rFonts w:hint="eastAsia" w:ascii="宋体" w:hAnsi="宋体" w:eastAsia="宋体" w:cs="宋体"/>
          <w:sz w:val="21"/>
          <w:szCs w:val="21"/>
          <w:highlight w:val="none"/>
          <w:lang w:val="en-US" w:eastAsia="zh-CN"/>
        </w:rPr>
        <w:t>图3-4</w:t>
      </w:r>
      <w:r>
        <w:rPr>
          <w:rFonts w:hint="eastAsia" w:ascii="宋体" w:hAnsi="宋体" w:cs="宋体"/>
          <w:sz w:val="21"/>
          <w:szCs w:val="21"/>
          <w:highlight w:val="none"/>
          <w:lang w:val="en-US" w:eastAsia="zh-CN"/>
        </w:rPr>
        <w:t xml:space="preserve"> 嘉荫</w:t>
      </w:r>
      <w:r>
        <w:rPr>
          <w:rFonts w:hint="eastAsia" w:ascii="宋体" w:hAnsi="宋体" w:eastAsia="宋体" w:cs="宋体"/>
          <w:sz w:val="21"/>
          <w:szCs w:val="21"/>
          <w:highlight w:val="none"/>
          <w:lang w:val="en-US" w:eastAsia="zh-CN"/>
        </w:rPr>
        <w:t>县养殖水域滩涂规划河湖自然岸线禁养区规划图</w:t>
      </w:r>
    </w:p>
    <w:p w14:paraId="26183BB0">
      <w:pPr>
        <w:pStyle w:val="5"/>
        <w:keepNext w:val="0"/>
        <w:keepLines/>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宋体"/>
          <w:lang w:val="en-US" w:eastAsia="zh-CN"/>
        </w:rPr>
      </w:pPr>
      <w:r>
        <w:rPr>
          <w:rFonts w:hint="eastAsia" w:ascii="Times New Roman" w:hAnsi="Times New Roman" w:eastAsia="宋体"/>
          <w:lang w:val="en-US" w:eastAsia="zh-CN"/>
        </w:rPr>
        <w:t>3.</w:t>
      </w:r>
      <w:r>
        <w:rPr>
          <w:rFonts w:hint="eastAsia" w:ascii="Times New Roman" w:hAnsi="Times New Roman"/>
          <w:lang w:val="en-US" w:eastAsia="zh-CN"/>
        </w:rPr>
        <w:t>4</w:t>
      </w:r>
      <w:r>
        <w:rPr>
          <w:rFonts w:hint="eastAsia" w:ascii="Times New Roman" w:hAnsi="Times New Roman" w:eastAsia="宋体"/>
          <w:lang w:val="en-US" w:eastAsia="zh-CN"/>
        </w:rPr>
        <w:t>.1.3</w:t>
      </w:r>
      <w:r>
        <w:rPr>
          <w:rFonts w:hint="eastAsia" w:ascii="Times New Roman" w:hAnsi="Times New Roman"/>
          <w:lang w:val="en-US" w:eastAsia="zh-CN"/>
        </w:rPr>
        <w:t xml:space="preserve"> </w:t>
      </w:r>
      <w:r>
        <w:rPr>
          <w:rFonts w:hint="eastAsia" w:ascii="Times New Roman" w:hAnsi="Times New Roman" w:eastAsia="宋体"/>
          <w:lang w:val="en-US" w:eastAsia="zh-CN"/>
        </w:rPr>
        <w:t>生物多样性维护区禁养区</w:t>
      </w:r>
    </w:p>
    <w:p w14:paraId="4F59BF2E">
      <w:pPr>
        <w:numPr>
          <w:ilvl w:val="0"/>
          <w:numId w:val="0"/>
        </w:numPr>
        <w:spacing w:line="360" w:lineRule="auto"/>
        <w:ind w:firstLine="560" w:firstLineChars="200"/>
        <w:jc w:val="both"/>
        <w:rPr>
          <w:rFonts w:hint="eastAsia"/>
          <w:lang w:val="en-US" w:eastAsia="zh-CN"/>
        </w:rPr>
      </w:pPr>
      <w:r>
        <w:rPr>
          <w:rFonts w:hint="eastAsia" w:ascii="Times New Roman" w:hAnsi="Times New Roman"/>
          <w:lang w:val="en-US" w:eastAsia="zh-CN"/>
        </w:rPr>
        <w:t>生物多样性维护区是指为保护特定区域内生物物种、遗传基因及生态系统的多样性，通过法定规划、政策管控或工程措施划定的特殊区域，其核心内涵围绕“系统性保护”与“可持续平衡”展开，是生态安全的“稳定器”，是可持续发展的“资源库”，</w:t>
      </w:r>
      <w:r>
        <w:rPr>
          <w:rFonts w:hint="eastAsia" w:ascii="Times New Roman" w:hAnsi="Times New Roman"/>
        </w:rPr>
        <w:t>依据</w:t>
      </w:r>
      <w:r>
        <w:rPr>
          <w:rFonts w:hint="eastAsia" w:ascii="Times New Roman" w:hAnsi="Times New Roman"/>
          <w:lang w:val="en-US" w:eastAsia="zh-CN"/>
        </w:rPr>
        <w:t>生态保护红线将生物多样性维护区核心区域</w:t>
      </w:r>
      <w:r>
        <w:rPr>
          <w:rFonts w:hint="eastAsia" w:ascii="Times New Roman" w:hAnsi="Times New Roman"/>
        </w:rPr>
        <w:t>划定</w:t>
      </w:r>
      <w:r>
        <w:rPr>
          <w:rFonts w:ascii="Times New Roman" w:hAnsi="Times New Roman"/>
        </w:rPr>
        <w:t>为禁养</w:t>
      </w:r>
      <w:r>
        <w:rPr>
          <w:rFonts w:hint="eastAsia" w:ascii="Times New Roman" w:hAnsi="Times New Roman"/>
          <w:lang w:val="en-US" w:eastAsia="zh-CN"/>
        </w:rPr>
        <w:t>区域</w:t>
      </w:r>
      <w:r>
        <w:rPr>
          <w:rFonts w:hint="eastAsia" w:ascii="Times New Roman" w:hAnsi="Times New Roman"/>
          <w:lang w:eastAsia="zh-CN"/>
        </w:rPr>
        <w:t>，</w:t>
      </w:r>
      <w:r>
        <w:rPr>
          <w:rFonts w:ascii="Times New Roman" w:hAnsi="Times New Roman"/>
        </w:rPr>
        <w:t>总禁养区面积为</w:t>
      </w:r>
      <w:r>
        <w:rPr>
          <w:rFonts w:hint="eastAsia" w:ascii="Times New Roman" w:hAnsi="Times New Roman"/>
          <w:highlight w:val="none"/>
          <w:lang w:val="en-US" w:eastAsia="zh-CN"/>
        </w:rPr>
        <w:t>45091.6</w:t>
      </w:r>
      <w:r>
        <w:rPr>
          <w:rFonts w:hint="eastAsia"/>
          <w:highlight w:val="none"/>
          <w:lang w:val="en-US" w:eastAsia="zh-CN"/>
        </w:rPr>
        <w:t>9</w:t>
      </w:r>
      <w:r>
        <w:rPr>
          <w:rFonts w:hint="eastAsia" w:ascii="Times New Roman" w:hAnsi="Times New Roman"/>
        </w:rPr>
        <w:t>公顷</w:t>
      </w:r>
      <w:r>
        <w:rPr>
          <w:rFonts w:ascii="Times New Roman" w:hAnsi="Times New Roman"/>
        </w:rPr>
        <w:t>。</w:t>
      </w:r>
    </w:p>
    <w:p w14:paraId="21A74A22">
      <w:pPr>
        <w:pStyle w:val="5"/>
        <w:keepNext w:val="0"/>
        <w:keepLines/>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宋体"/>
          <w:lang w:val="en-US" w:eastAsia="zh-CN"/>
        </w:rPr>
      </w:pPr>
      <w:r>
        <w:rPr>
          <w:rFonts w:hint="eastAsia" w:ascii="Times New Roman" w:hAnsi="Times New Roman" w:eastAsia="宋体"/>
          <w:lang w:val="en-US" w:eastAsia="zh-CN"/>
        </w:rPr>
        <w:t>3.</w:t>
      </w:r>
      <w:r>
        <w:rPr>
          <w:rFonts w:hint="eastAsia" w:ascii="Times New Roman" w:hAnsi="Times New Roman"/>
          <w:lang w:val="en-US" w:eastAsia="zh-CN"/>
        </w:rPr>
        <w:t>4</w:t>
      </w:r>
      <w:r>
        <w:rPr>
          <w:rFonts w:hint="eastAsia" w:ascii="Times New Roman" w:hAnsi="Times New Roman" w:eastAsia="宋体"/>
          <w:lang w:val="en-US" w:eastAsia="zh-CN"/>
        </w:rPr>
        <w:t>.1.4</w:t>
      </w:r>
      <w:r>
        <w:rPr>
          <w:rFonts w:hint="eastAsia" w:ascii="Times New Roman" w:hAnsi="Times New Roman"/>
          <w:lang w:val="en-US" w:eastAsia="zh-CN"/>
        </w:rPr>
        <w:t xml:space="preserve"> </w:t>
      </w:r>
      <w:r>
        <w:rPr>
          <w:rFonts w:hint="eastAsia" w:ascii="Times New Roman" w:hAnsi="Times New Roman" w:eastAsia="宋体"/>
          <w:lang w:val="en-US" w:eastAsia="zh-CN"/>
        </w:rPr>
        <w:t>水土保持区禁养区</w:t>
      </w:r>
    </w:p>
    <w:p w14:paraId="2833D337">
      <w:pPr>
        <w:numPr>
          <w:ilvl w:val="0"/>
          <w:numId w:val="0"/>
        </w:numPr>
        <w:spacing w:line="360" w:lineRule="auto"/>
        <w:ind w:firstLine="560" w:firstLineChars="200"/>
        <w:jc w:val="both"/>
        <w:rPr>
          <w:rFonts w:hint="default" w:eastAsia="宋体"/>
          <w:lang w:val="en-US" w:eastAsia="zh-CN"/>
        </w:rPr>
      </w:pPr>
      <w:r>
        <w:rPr>
          <w:rFonts w:hint="eastAsia" w:ascii="Times New Roman" w:hAnsi="Times New Roman"/>
          <w:lang w:val="en-US" w:eastAsia="zh-CN"/>
        </w:rPr>
        <w:t>水土保持区是结合县域自然特征划定，通过政策管控、工程治理与生态修复手段，预防和治理水土流失的功能性区域，其内涵聚焦“针对性保护”与“系统性治理”的结合。核心是构建“预防</w:t>
      </w:r>
      <w:r>
        <w:rPr>
          <w:rFonts w:hint="eastAsia"/>
          <w:lang w:val="en-US" w:eastAsia="zh-CN"/>
        </w:rPr>
        <w:t>－</w:t>
      </w:r>
      <w:r>
        <w:rPr>
          <w:rFonts w:hint="eastAsia" w:ascii="Times New Roman" w:hAnsi="Times New Roman"/>
          <w:lang w:val="en-US" w:eastAsia="zh-CN"/>
        </w:rPr>
        <w:t>治理</w:t>
      </w:r>
      <w:r>
        <w:rPr>
          <w:rFonts w:hint="eastAsia"/>
          <w:lang w:val="en-US" w:eastAsia="zh-CN"/>
        </w:rPr>
        <w:t>－</w:t>
      </w:r>
      <w:r>
        <w:rPr>
          <w:rFonts w:hint="eastAsia" w:ascii="Times New Roman" w:hAnsi="Times New Roman"/>
          <w:lang w:val="en-US" w:eastAsia="zh-CN"/>
        </w:rPr>
        <w:t>修复”三位一体的水土保持体系，同时协调农业生产与生态保护，避免土壤流失与河道淤积。</w:t>
      </w:r>
      <w:r>
        <w:rPr>
          <w:rFonts w:hint="eastAsia" w:ascii="Times New Roman" w:hAnsi="Times New Roman"/>
        </w:rPr>
        <w:t>依据</w:t>
      </w:r>
      <w:r>
        <w:rPr>
          <w:rFonts w:hint="eastAsia" w:ascii="Times New Roman" w:hAnsi="Times New Roman"/>
          <w:lang w:val="en-US" w:eastAsia="zh-CN"/>
        </w:rPr>
        <w:t>生态保护红线将水土保持核心区域</w:t>
      </w:r>
      <w:r>
        <w:rPr>
          <w:rFonts w:hint="eastAsia" w:ascii="Times New Roman" w:hAnsi="Times New Roman"/>
        </w:rPr>
        <w:t>划定</w:t>
      </w:r>
      <w:r>
        <w:rPr>
          <w:rFonts w:ascii="Times New Roman" w:hAnsi="Times New Roman"/>
        </w:rPr>
        <w:t>为禁养</w:t>
      </w:r>
      <w:r>
        <w:rPr>
          <w:rFonts w:hint="eastAsia" w:ascii="Times New Roman" w:hAnsi="Times New Roman"/>
          <w:lang w:val="en-US" w:eastAsia="zh-CN"/>
        </w:rPr>
        <w:t>区域</w:t>
      </w:r>
      <w:r>
        <w:rPr>
          <w:rFonts w:hint="eastAsia" w:ascii="Times New Roman" w:hAnsi="Times New Roman"/>
          <w:lang w:eastAsia="zh-CN"/>
        </w:rPr>
        <w:t>，</w:t>
      </w:r>
      <w:r>
        <w:rPr>
          <w:rFonts w:ascii="Times New Roman" w:hAnsi="Times New Roman"/>
        </w:rPr>
        <w:t>总禁养区面积为</w:t>
      </w:r>
      <w:r>
        <w:rPr>
          <w:rFonts w:hint="eastAsia" w:ascii="Times New Roman" w:hAnsi="Times New Roman"/>
          <w:highlight w:val="none"/>
          <w:lang w:val="en-US" w:eastAsia="zh-CN"/>
        </w:rPr>
        <w:t>11496.23</w:t>
      </w:r>
      <w:r>
        <w:rPr>
          <w:rFonts w:hint="eastAsia" w:ascii="Times New Roman" w:hAnsi="Times New Roman"/>
        </w:rPr>
        <w:t>公顷</w:t>
      </w:r>
      <w:r>
        <w:rPr>
          <w:rFonts w:ascii="Times New Roman" w:hAnsi="Times New Roman"/>
        </w:rPr>
        <w:t>。</w:t>
      </w:r>
    </w:p>
    <w:p w14:paraId="3527B1B5">
      <w:pPr>
        <w:pStyle w:val="5"/>
        <w:keepNext w:val="0"/>
        <w:keepLines/>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宋体"/>
          <w:lang w:val="en-US" w:eastAsia="zh-CN"/>
        </w:rPr>
      </w:pPr>
      <w:r>
        <w:rPr>
          <w:rFonts w:hint="eastAsia" w:ascii="Times New Roman" w:hAnsi="Times New Roman" w:eastAsia="宋体"/>
          <w:lang w:val="en-US" w:eastAsia="zh-CN"/>
        </w:rPr>
        <w:t>3.</w:t>
      </w:r>
      <w:r>
        <w:rPr>
          <w:rFonts w:hint="eastAsia" w:ascii="Times New Roman" w:hAnsi="Times New Roman"/>
          <w:lang w:val="en-US" w:eastAsia="zh-CN"/>
        </w:rPr>
        <w:t>4</w:t>
      </w:r>
      <w:r>
        <w:rPr>
          <w:rFonts w:hint="eastAsia" w:ascii="Times New Roman" w:hAnsi="Times New Roman" w:eastAsia="宋体"/>
          <w:lang w:val="en-US" w:eastAsia="zh-CN"/>
        </w:rPr>
        <w:t>.1.5 水源涵养区禁养区</w:t>
      </w:r>
    </w:p>
    <w:p w14:paraId="11807EED">
      <w:pPr>
        <w:numPr>
          <w:ilvl w:val="0"/>
          <w:numId w:val="0"/>
        </w:numPr>
        <w:spacing w:line="360" w:lineRule="auto"/>
        <w:ind w:firstLine="560" w:firstLineChars="200"/>
        <w:jc w:val="both"/>
        <w:rPr>
          <w:rFonts w:ascii="Times New Roman" w:hAnsi="Times New Roman"/>
        </w:rPr>
      </w:pPr>
      <w:r>
        <w:rPr>
          <w:rFonts w:hint="default" w:ascii="Times New Roman" w:hAnsi="Times New Roman"/>
          <w:lang w:val="en-US" w:eastAsia="zh-CN"/>
        </w:rPr>
        <w:t>水源涵养区主要分布在</w:t>
      </w:r>
      <w:r>
        <w:rPr>
          <w:rFonts w:hint="eastAsia" w:ascii="Times New Roman" w:hAnsi="Times New Roman"/>
          <w:lang w:val="en-US" w:eastAsia="zh-CN"/>
        </w:rPr>
        <w:t>河流</w:t>
      </w:r>
      <w:r>
        <w:rPr>
          <w:rFonts w:hint="default" w:ascii="Times New Roman" w:hAnsi="Times New Roman"/>
          <w:lang w:val="en-US" w:eastAsia="zh-CN"/>
        </w:rPr>
        <w:t>上游，是为了改善水文状况、调节区域水分循环、防止河流、湖泊、水库淤塞以及保护可饮水水源而划定的区域。这一区域对于调节径流、防止水旱灾害、合理开发和利用水资源具有重要意义。</w:t>
      </w:r>
      <w:r>
        <w:rPr>
          <w:rFonts w:hint="eastAsia" w:ascii="Times New Roman" w:hAnsi="Times New Roman"/>
        </w:rPr>
        <w:t>依据</w:t>
      </w:r>
      <w:r>
        <w:rPr>
          <w:rFonts w:hint="eastAsia" w:ascii="Times New Roman" w:hAnsi="Times New Roman"/>
          <w:lang w:val="en-US" w:eastAsia="zh-CN"/>
        </w:rPr>
        <w:t>生态保护红线将</w:t>
      </w:r>
      <w:r>
        <w:rPr>
          <w:rFonts w:hint="eastAsia"/>
          <w:lang w:val="en-US" w:eastAsia="zh-CN"/>
        </w:rPr>
        <w:t>水源涵养</w:t>
      </w:r>
      <w:r>
        <w:rPr>
          <w:rFonts w:hint="eastAsia" w:ascii="Times New Roman" w:hAnsi="Times New Roman"/>
          <w:lang w:val="en-US" w:eastAsia="zh-CN"/>
        </w:rPr>
        <w:t>核心区域</w:t>
      </w:r>
      <w:r>
        <w:rPr>
          <w:rFonts w:hint="eastAsia" w:ascii="Times New Roman" w:hAnsi="Times New Roman"/>
        </w:rPr>
        <w:t>划定</w:t>
      </w:r>
      <w:r>
        <w:rPr>
          <w:rFonts w:ascii="Times New Roman" w:hAnsi="Times New Roman"/>
        </w:rPr>
        <w:t>为禁养</w:t>
      </w:r>
      <w:r>
        <w:rPr>
          <w:rFonts w:hint="eastAsia" w:ascii="Times New Roman" w:hAnsi="Times New Roman"/>
          <w:lang w:val="en-US" w:eastAsia="zh-CN"/>
        </w:rPr>
        <w:t>区域</w:t>
      </w:r>
      <w:r>
        <w:rPr>
          <w:rFonts w:hint="eastAsia" w:ascii="Times New Roman" w:hAnsi="Times New Roman"/>
          <w:lang w:eastAsia="zh-CN"/>
        </w:rPr>
        <w:t>，</w:t>
      </w:r>
      <w:r>
        <w:rPr>
          <w:rFonts w:ascii="Times New Roman" w:hAnsi="Times New Roman"/>
        </w:rPr>
        <w:t>总禁养区面积为</w:t>
      </w:r>
      <w:r>
        <w:rPr>
          <w:rFonts w:hint="eastAsia" w:ascii="Times New Roman" w:hAnsi="Times New Roman"/>
          <w:highlight w:val="none"/>
          <w:lang w:val="en-US" w:eastAsia="zh-CN"/>
        </w:rPr>
        <w:t>49183.1</w:t>
      </w:r>
      <w:r>
        <w:rPr>
          <w:rFonts w:hint="eastAsia"/>
          <w:highlight w:val="none"/>
          <w:lang w:val="en-US" w:eastAsia="zh-CN"/>
        </w:rPr>
        <w:t>4</w:t>
      </w:r>
      <w:r>
        <w:rPr>
          <w:rFonts w:hint="eastAsia" w:ascii="Times New Roman" w:hAnsi="Times New Roman"/>
        </w:rPr>
        <w:t>公顷</w:t>
      </w:r>
      <w:r>
        <w:rPr>
          <w:rFonts w:ascii="Times New Roman" w:hAnsi="Times New Roman"/>
        </w:rPr>
        <w:t>。</w:t>
      </w:r>
    </w:p>
    <w:p w14:paraId="7901818B">
      <w:pPr>
        <w:numPr>
          <w:ilvl w:val="0"/>
          <w:numId w:val="0"/>
        </w:numPr>
        <w:spacing w:line="360" w:lineRule="auto"/>
        <w:ind w:left="0" w:leftChars="0" w:firstLine="0" w:firstLineChars="0"/>
        <w:jc w:val="center"/>
        <w:rPr>
          <w:rFonts w:hint="default" w:ascii="Times New Roman" w:hAnsi="Times New Roman"/>
          <w:lang w:val="en-US" w:eastAsia="zh-CN"/>
        </w:rPr>
      </w:pPr>
      <w:r>
        <w:rPr>
          <w:rFonts w:hint="default" w:ascii="Times New Roman" w:hAnsi="Times New Roman"/>
          <w:lang w:val="en-US" w:eastAsia="zh-CN"/>
        </w:rPr>
        <w:drawing>
          <wp:inline distT="0" distB="0" distL="114300" distR="114300">
            <wp:extent cx="5267325" cy="7136765"/>
            <wp:effectExtent l="0" t="0" r="9525" b="6985"/>
            <wp:docPr id="8" name="图片 8" descr="F:/2025.10养殖滩涂水域规划/嘉荫县/二次修改/图件/禁养区图/禁养区规划图-生态保护红线.jpg禁养区规划图-生态保护红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2025.10养殖滩涂水域规划/嘉荫县/二次修改/图件/禁养区图/禁养区规划图-生态保护红线.jpg禁养区规划图-生态保护红线"/>
                    <pic:cNvPicPr>
                      <a:picLocks noChangeAspect="1"/>
                    </pic:cNvPicPr>
                  </pic:nvPicPr>
                  <pic:blipFill>
                    <a:blip r:embed="rId22"/>
                    <a:srcRect l="4" r="4"/>
                    <a:stretch>
                      <a:fillRect/>
                    </a:stretch>
                  </pic:blipFill>
                  <pic:spPr>
                    <a:xfrm>
                      <a:off x="0" y="0"/>
                      <a:ext cx="5267325" cy="7136765"/>
                    </a:xfrm>
                    <a:prstGeom prst="rect">
                      <a:avLst/>
                    </a:prstGeom>
                  </pic:spPr>
                </pic:pic>
              </a:graphicData>
            </a:graphic>
          </wp:inline>
        </w:drawing>
      </w:r>
    </w:p>
    <w:p w14:paraId="6AE13CD1">
      <w:pPr>
        <w:numPr>
          <w:ilvl w:val="0"/>
          <w:numId w:val="0"/>
        </w:numPr>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图3-5</w:t>
      </w:r>
      <w:r>
        <w:rPr>
          <w:rFonts w:hint="eastAsia" w:ascii="宋体" w:hAnsi="宋体" w:cs="宋体"/>
          <w:sz w:val="21"/>
          <w:szCs w:val="21"/>
          <w:highlight w:val="none"/>
          <w:lang w:val="en-US" w:eastAsia="zh-CN"/>
        </w:rPr>
        <w:t xml:space="preserve"> 嘉荫</w:t>
      </w:r>
      <w:r>
        <w:rPr>
          <w:rFonts w:hint="eastAsia" w:ascii="宋体" w:hAnsi="宋体" w:eastAsia="宋体" w:cs="宋体"/>
          <w:sz w:val="21"/>
          <w:szCs w:val="21"/>
          <w:highlight w:val="none"/>
          <w:lang w:val="en-US" w:eastAsia="zh-CN"/>
        </w:rPr>
        <w:t>县养殖水域滩涂规划生态保护红线禁养区规划图</w:t>
      </w:r>
    </w:p>
    <w:p w14:paraId="10853A9C">
      <w:pPr>
        <w:pStyle w:val="4"/>
        <w:keepNext w:val="0"/>
        <w:keepLines/>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宋体" w:cs="Times New Roman"/>
          <w:lang w:val="en-US" w:eastAsia="zh-CN"/>
        </w:rPr>
      </w:pPr>
      <w:bookmarkStart w:id="60" w:name="_Toc25394"/>
      <w:r>
        <w:rPr>
          <w:rFonts w:hint="eastAsia" w:ascii="Times New Roman" w:hAnsi="Times New Roman" w:eastAsia="宋体" w:cs="Times New Roman"/>
          <w:lang w:val="en-US" w:eastAsia="zh-CN"/>
        </w:rPr>
        <w:t>3.</w:t>
      </w:r>
      <w:r>
        <w:rPr>
          <w:rFonts w:hint="eastAsia" w:cs="Times New Roman"/>
          <w:lang w:val="en-US" w:eastAsia="zh-CN"/>
        </w:rPr>
        <w:t>4</w:t>
      </w:r>
      <w:r>
        <w:rPr>
          <w:rFonts w:hint="eastAsia" w:ascii="Times New Roman" w:hAnsi="Times New Roman" w:eastAsia="宋体" w:cs="Times New Roman"/>
          <w:lang w:val="en-US" w:eastAsia="zh-CN"/>
        </w:rPr>
        <w:t>.2 饮用水水源地一级保护区禁养区</w:t>
      </w:r>
      <w:bookmarkEnd w:id="60"/>
    </w:p>
    <w:p w14:paraId="620375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sz w:val="28"/>
          <w:lang w:val="en-US" w:eastAsia="zh-CN"/>
        </w:rPr>
      </w:pPr>
      <w:r>
        <w:rPr>
          <w:rFonts w:hint="eastAsia" w:ascii="Times New Roman" w:hAnsi="Times New Roman"/>
          <w:sz w:val="28"/>
          <w:lang w:val="en-US" w:eastAsia="zh-CN"/>
        </w:rPr>
        <w:t>根据嘉荫县饮用水水源保护地划分技术报告，嘉荫县共划定9处饮用水水源保护区，分别为保兴镇仁合村饮用水水源地保护区、常胜乡饮用水水源保护区、燎原村饮用水水源地保护区、福民村饮用水水源地保护区、乌云镇乌云村水源保护区、乌云镇旧城村饮用水水源地保护区、乌云镇备用水源保护区、向阳乡雪水温村水源保护区和朝阳镇饮用水水源保护区。</w:t>
      </w:r>
    </w:p>
    <w:p w14:paraId="513D009A">
      <w:pPr>
        <w:numPr>
          <w:ilvl w:val="0"/>
          <w:numId w:val="0"/>
        </w:numPr>
        <w:ind w:firstLine="560" w:firstLineChars="200"/>
        <w:jc w:val="both"/>
        <w:rPr>
          <w:rFonts w:hint="eastAsia" w:ascii="Times New Roman" w:hAnsi="Times New Roman"/>
          <w:sz w:val="28"/>
          <w:lang w:val="en-US" w:eastAsia="zh-CN"/>
        </w:rPr>
      </w:pPr>
      <w:r>
        <w:rPr>
          <w:rFonts w:hint="eastAsia" w:ascii="Times New Roman" w:hAnsi="Times New Roman" w:eastAsia="宋体" w:cs="Times New Roman"/>
          <w:kern w:val="2"/>
          <w:sz w:val="28"/>
          <w:szCs w:val="22"/>
          <w:lang w:val="en-US" w:eastAsia="zh-CN" w:bidi="ar-SA"/>
        </w:rPr>
        <w:t>1.</w:t>
      </w:r>
      <w:r>
        <w:rPr>
          <w:rFonts w:hint="eastAsia" w:ascii="Times New Roman" w:hAnsi="Times New Roman"/>
          <w:sz w:val="28"/>
          <w:lang w:val="en-US" w:eastAsia="zh-CN"/>
        </w:rPr>
        <w:t>保兴镇仁合村饮用水水源地保护区供水井位于乌拉嘎河漫滩上，主要供水目的层为白垩系下统永安村组细砂岩、砂砾岩，上部潜水含水介质为第四系全系统细砂及白垩系细砂岩及中砂岩。由于砂岩的渗透系数（3×10</w:t>
      </w:r>
      <w:r>
        <w:rPr>
          <w:rFonts w:hint="eastAsia" w:ascii="Times New Roman" w:hAnsi="Times New Roman"/>
          <w:sz w:val="28"/>
          <w:vertAlign w:val="superscript"/>
          <w:lang w:val="en-US" w:eastAsia="zh-CN"/>
        </w:rPr>
        <w:t>-10</w:t>
      </w:r>
      <w:r>
        <w:rPr>
          <w:rFonts w:hint="eastAsia" w:ascii="Times New Roman" w:hAnsi="Times New Roman"/>
          <w:sz w:val="28"/>
          <w:lang w:val="en-US" w:eastAsia="zh-CN"/>
        </w:rPr>
        <w:t>～6×10</w:t>
      </w:r>
      <w:r>
        <w:rPr>
          <w:rFonts w:hint="eastAsia" w:ascii="Times New Roman" w:hAnsi="Times New Roman"/>
          <w:sz w:val="28"/>
          <w:vertAlign w:val="superscript"/>
          <w:lang w:val="en-US" w:eastAsia="zh-CN"/>
        </w:rPr>
        <w:t>-10</w:t>
      </w:r>
      <w:r>
        <w:rPr>
          <w:rFonts w:hint="eastAsia" w:ascii="Times New Roman" w:hAnsi="Times New Roman"/>
          <w:sz w:val="28"/>
          <w:lang w:val="en-US" w:eastAsia="zh-CN"/>
        </w:rPr>
        <w:t>m/s）远小于细砂（2×10</w:t>
      </w:r>
      <w:r>
        <w:rPr>
          <w:rFonts w:hint="eastAsia" w:ascii="Times New Roman" w:hAnsi="Times New Roman"/>
          <w:sz w:val="28"/>
          <w:vertAlign w:val="superscript"/>
          <w:lang w:val="en-US" w:eastAsia="zh-CN"/>
        </w:rPr>
        <w:t>-7</w:t>
      </w:r>
      <w:r>
        <w:rPr>
          <w:rFonts w:hint="eastAsia" w:ascii="Times New Roman" w:hAnsi="Times New Roman"/>
          <w:sz w:val="28"/>
          <w:lang w:val="en-US" w:eastAsia="zh-CN"/>
        </w:rPr>
        <w:t>～2×10</w:t>
      </w:r>
      <w:r>
        <w:rPr>
          <w:rFonts w:hint="eastAsia" w:ascii="Times New Roman" w:hAnsi="Times New Roman"/>
          <w:sz w:val="28"/>
          <w:vertAlign w:val="superscript"/>
          <w:lang w:val="en-US" w:eastAsia="zh-CN"/>
        </w:rPr>
        <w:t>-4</w:t>
      </w:r>
      <w:r>
        <w:rPr>
          <w:rFonts w:hint="eastAsia" w:ascii="Times New Roman" w:hAnsi="Times New Roman"/>
          <w:sz w:val="28"/>
          <w:lang w:val="en-US" w:eastAsia="zh-CN"/>
        </w:rPr>
        <w:t>m/s）</w:t>
      </w:r>
      <w:r>
        <w:rPr>
          <w:rFonts w:hint="eastAsia"/>
          <w:sz w:val="28"/>
          <w:lang w:val="en-US" w:eastAsia="zh-CN"/>
        </w:rPr>
        <w:t>，</w:t>
      </w:r>
      <w:r>
        <w:rPr>
          <w:rFonts w:hint="eastAsia" w:ascii="Times New Roman" w:hAnsi="Times New Roman"/>
          <w:sz w:val="28"/>
          <w:lang w:val="en-US" w:eastAsia="zh-CN"/>
        </w:rPr>
        <w:t>因此采用细砂的保护区半径的经验值进行保护区划分。两口井间的距离是19米，每眼井的保护区半径为30米，两眼井的保护区范围重合，因此划定一级保护区的范围是：分别以两口井为圆心，以30米为半径的两个相交圆的外切长方形的边长为界，所确定的长方形为一级保护区，保护区面积0.5018公顷。</w:t>
      </w:r>
    </w:p>
    <w:p w14:paraId="4B03D15A">
      <w:pPr>
        <w:numPr>
          <w:ilvl w:val="0"/>
          <w:numId w:val="0"/>
        </w:numPr>
        <w:ind w:firstLine="560" w:firstLineChars="200"/>
        <w:jc w:val="both"/>
        <w:rPr>
          <w:rFonts w:hint="eastAsia" w:ascii="Times New Roman" w:hAnsi="Times New Roman"/>
          <w:sz w:val="28"/>
          <w:lang w:val="en-US" w:eastAsia="zh-CN"/>
        </w:rPr>
      </w:pPr>
      <w:r>
        <w:rPr>
          <w:rFonts w:hint="eastAsia" w:ascii="Times New Roman" w:hAnsi="Times New Roman"/>
          <w:sz w:val="28"/>
          <w:lang w:val="en-US" w:eastAsia="zh-CN"/>
        </w:rPr>
        <w:t>2.常胜乡饮用水水源保护区饮用水水源有</w:t>
      </w:r>
      <w:r>
        <w:rPr>
          <w:rFonts w:hint="default" w:ascii="Times New Roman" w:hAnsi="Times New Roman"/>
          <w:sz w:val="28"/>
          <w:lang w:val="en-US" w:eastAsia="zh-CN"/>
        </w:rPr>
        <w:t>1</w:t>
      </w:r>
      <w:r>
        <w:rPr>
          <w:rFonts w:hint="eastAsia" w:ascii="Times New Roman" w:hAnsi="Times New Roman"/>
          <w:sz w:val="28"/>
          <w:lang w:val="en-US" w:eastAsia="zh-CN"/>
        </w:rPr>
        <w:t>眼取水井，取水层为花岗岩构造裂隙水和砂岩裂隙孔隙水；埋藏条件为承压水；设计开采量</w:t>
      </w:r>
      <w:r>
        <w:rPr>
          <w:rFonts w:hint="default" w:ascii="Times New Roman" w:hAnsi="Times New Roman"/>
          <w:sz w:val="28"/>
          <w:lang w:val="en-US" w:eastAsia="zh-CN"/>
        </w:rPr>
        <w:t xml:space="preserve">240 </w:t>
      </w:r>
      <w:r>
        <w:rPr>
          <w:rFonts w:hint="eastAsia" w:ascii="Times New Roman" w:hAnsi="Times New Roman"/>
          <w:sz w:val="28"/>
          <w:lang w:val="en-US" w:eastAsia="zh-CN"/>
        </w:rPr>
        <w:t>立方米</w:t>
      </w:r>
      <w:r>
        <w:rPr>
          <w:rFonts w:hint="default" w:ascii="Times New Roman" w:hAnsi="Times New Roman"/>
          <w:sz w:val="28"/>
          <w:lang w:val="en-US" w:eastAsia="zh-CN"/>
        </w:rPr>
        <w:t>/</w:t>
      </w:r>
      <w:r>
        <w:rPr>
          <w:rFonts w:hint="eastAsia" w:ascii="Times New Roman" w:hAnsi="Times New Roman"/>
          <w:sz w:val="28"/>
          <w:lang w:val="en-US" w:eastAsia="zh-CN"/>
        </w:rPr>
        <w:t>天，开采规模分为小型水源。一级保护区范围以取水井为中心，30米为半径所围成圆形的区域，一级保护区面积0.2534公顷。</w:t>
      </w:r>
    </w:p>
    <w:p w14:paraId="0F5EF7F8">
      <w:pPr>
        <w:numPr>
          <w:ilvl w:val="0"/>
          <w:numId w:val="0"/>
        </w:numPr>
        <w:ind w:firstLine="560" w:firstLineChars="200"/>
        <w:jc w:val="both"/>
        <w:rPr>
          <w:rFonts w:hint="eastAsia" w:ascii="Times New Roman" w:hAnsi="Times New Roman"/>
          <w:sz w:val="28"/>
          <w:szCs w:val="28"/>
          <w:lang w:val="en-US" w:eastAsia="zh-CN"/>
        </w:rPr>
      </w:pPr>
      <w:r>
        <w:rPr>
          <w:rFonts w:hint="eastAsia" w:ascii="Times New Roman" w:hAnsi="Times New Roman"/>
          <w:sz w:val="28"/>
          <w:lang w:val="en-US" w:eastAsia="zh-CN"/>
        </w:rPr>
        <w:t>3.燎原村饮用水水源地保护区水源井均位于黑龙江河谷平原漫滩上，主要供水目的层为白垩系下统永安村组粉砂岩、砾岩，供水井上部潜水含水介质为第四系全新统中砂含砾层。</w:t>
      </w:r>
      <w:r>
        <w:rPr>
          <w:rFonts w:hint="eastAsia" w:ascii="Times New Roman" w:hAnsi="Times New Roman" w:cs="宋体"/>
          <w:sz w:val="28"/>
          <w:szCs w:val="28"/>
          <w:lang w:val="zh-CN"/>
        </w:rPr>
        <w:t>划定红光乡</w:t>
      </w:r>
      <w:r>
        <w:rPr>
          <w:rFonts w:hint="eastAsia" w:cs="宋体"/>
          <w:sz w:val="28"/>
          <w:szCs w:val="28"/>
          <w:lang w:val="en-US" w:eastAsia="zh-CN"/>
        </w:rPr>
        <w:t>燎原</w:t>
      </w:r>
      <w:r>
        <w:rPr>
          <w:rFonts w:hint="eastAsia" w:ascii="Times New Roman" w:hAnsi="Times New Roman" w:cs="宋体"/>
          <w:sz w:val="28"/>
          <w:szCs w:val="28"/>
          <w:lang w:val="zh-CN"/>
        </w:rPr>
        <w:t>村</w:t>
      </w:r>
      <w:r>
        <w:rPr>
          <w:rFonts w:hint="eastAsia" w:ascii="Times New Roman" w:hAnsi="Times New Roman"/>
          <w:sz w:val="28"/>
          <w:szCs w:val="28"/>
          <w:lang w:val="zh-CN"/>
        </w:rPr>
        <w:t>备用水源井</w:t>
      </w:r>
      <w:r>
        <w:rPr>
          <w:rFonts w:hint="eastAsia" w:ascii="Times New Roman" w:hAnsi="Times New Roman" w:cs="宋体"/>
          <w:sz w:val="28"/>
          <w:szCs w:val="28"/>
          <w:lang w:val="zh-CN"/>
        </w:rPr>
        <w:t>一级保护区的范围是：以水源井为圆心，以</w:t>
      </w:r>
      <w:r>
        <w:rPr>
          <w:rFonts w:hint="eastAsia" w:ascii="Times New Roman" w:hAnsi="Times New Roman"/>
          <w:sz w:val="28"/>
          <w:szCs w:val="28"/>
        </w:rPr>
        <w:t>50</w:t>
      </w:r>
      <w:r>
        <w:rPr>
          <w:rFonts w:hint="eastAsia" w:ascii="Times New Roman" w:hAnsi="Times New Roman" w:cs="宋体"/>
          <w:sz w:val="28"/>
          <w:szCs w:val="28"/>
          <w:lang w:val="zh-CN"/>
        </w:rPr>
        <w:t>米为半径的</w:t>
      </w:r>
      <w:r>
        <w:rPr>
          <w:rFonts w:hint="eastAsia" w:ascii="Times New Roman" w:hAnsi="Times New Roman"/>
          <w:sz w:val="28"/>
          <w:szCs w:val="28"/>
        </w:rPr>
        <w:t>圆形区域作为一级保护区范围，面积</w:t>
      </w:r>
      <w:r>
        <w:rPr>
          <w:rFonts w:hint="eastAsia" w:ascii="Times New Roman" w:hAnsi="Times New Roman"/>
          <w:sz w:val="28"/>
          <w:szCs w:val="28"/>
          <w:lang w:val="en-US" w:eastAsia="zh-CN"/>
        </w:rPr>
        <w:t>0.</w:t>
      </w:r>
      <w:r>
        <w:rPr>
          <w:rFonts w:hint="eastAsia" w:ascii="Times New Roman" w:hAnsi="Times New Roman"/>
          <w:sz w:val="28"/>
          <w:szCs w:val="28"/>
        </w:rPr>
        <w:t>7</w:t>
      </w:r>
      <w:r>
        <w:rPr>
          <w:rFonts w:hint="eastAsia" w:ascii="Times New Roman" w:hAnsi="Times New Roman"/>
          <w:sz w:val="28"/>
          <w:szCs w:val="28"/>
          <w:lang w:val="en-US" w:eastAsia="zh-CN"/>
        </w:rPr>
        <w:t>37</w:t>
      </w:r>
      <w:r>
        <w:rPr>
          <w:rFonts w:hint="eastAsia"/>
          <w:sz w:val="28"/>
          <w:szCs w:val="28"/>
          <w:lang w:val="en-US" w:eastAsia="zh-CN"/>
        </w:rPr>
        <w:t>5</w:t>
      </w:r>
      <w:r>
        <w:rPr>
          <w:rFonts w:hint="eastAsia" w:ascii="Times New Roman" w:hAnsi="Times New Roman"/>
          <w:sz w:val="28"/>
          <w:szCs w:val="28"/>
          <w:lang w:val="en-US" w:eastAsia="zh-CN"/>
        </w:rPr>
        <w:t>公顷。</w:t>
      </w:r>
    </w:p>
    <w:p w14:paraId="4472979B">
      <w:pPr>
        <w:numPr>
          <w:ilvl w:val="0"/>
          <w:numId w:val="0"/>
        </w:numPr>
        <w:ind w:firstLine="560" w:firstLineChars="200"/>
        <w:jc w:val="both"/>
        <w:rPr>
          <w:rFonts w:hint="eastAsia" w:ascii="Times New Roman" w:hAnsi="Times New Roman" w:cs="宋体"/>
          <w:sz w:val="28"/>
          <w:szCs w:val="28"/>
          <w:lang w:val="en-US" w:eastAsia="zh-CN"/>
        </w:rPr>
      </w:pPr>
      <w:r>
        <w:rPr>
          <w:rFonts w:hint="eastAsia" w:ascii="Times New Roman" w:hAnsi="Times New Roman"/>
          <w:sz w:val="28"/>
          <w:szCs w:val="28"/>
          <w:lang w:val="en-US" w:eastAsia="zh-CN"/>
        </w:rPr>
        <w:t>4.</w:t>
      </w:r>
      <w:r>
        <w:rPr>
          <w:rFonts w:hint="eastAsia" w:ascii="Times New Roman" w:hAnsi="Times New Roman"/>
          <w:sz w:val="28"/>
          <w:lang w:val="en-US" w:eastAsia="zh-CN"/>
        </w:rPr>
        <w:t>福民村饮用水水源地保护区水源井均位于丘陵上，主要供水目的层为新近系孙吴</w:t>
      </w:r>
      <w:r>
        <w:rPr>
          <w:rFonts w:hint="eastAsia"/>
          <w:sz w:val="28"/>
          <w:lang w:val="en-US" w:eastAsia="zh-CN"/>
        </w:rPr>
        <w:t>组</w:t>
      </w:r>
      <w:r>
        <w:rPr>
          <w:rFonts w:hint="eastAsia" w:ascii="Times New Roman" w:hAnsi="Times New Roman"/>
          <w:sz w:val="28"/>
          <w:lang w:val="en-US" w:eastAsia="zh-CN"/>
        </w:rPr>
        <w:t>砂砾岩，供水井上部潜水含水介质为新近系孙吴组细砂岩层。</w:t>
      </w:r>
      <w:r>
        <w:rPr>
          <w:rFonts w:hint="eastAsia" w:ascii="Times New Roman" w:hAnsi="Times New Roman" w:cs="宋体"/>
          <w:sz w:val="28"/>
          <w:szCs w:val="28"/>
          <w:lang w:val="zh-CN"/>
        </w:rPr>
        <w:t>划定沪嘉乡福民村</w:t>
      </w:r>
      <w:r>
        <w:rPr>
          <w:rFonts w:hint="eastAsia" w:ascii="Times New Roman" w:hAnsi="Times New Roman"/>
          <w:sz w:val="28"/>
          <w:szCs w:val="28"/>
          <w:lang w:val="zh-CN"/>
        </w:rPr>
        <w:t>水源井</w:t>
      </w:r>
      <w:r>
        <w:rPr>
          <w:rFonts w:hint="eastAsia" w:ascii="Times New Roman" w:hAnsi="Times New Roman" w:cs="宋体"/>
          <w:sz w:val="28"/>
          <w:szCs w:val="28"/>
          <w:lang w:val="zh-CN"/>
        </w:rPr>
        <w:t>一级保护区的范围是：以水源井为圆心，以</w:t>
      </w:r>
      <w:r>
        <w:rPr>
          <w:rFonts w:hint="eastAsia" w:ascii="Times New Roman" w:hAnsi="Times New Roman"/>
          <w:sz w:val="28"/>
          <w:szCs w:val="28"/>
        </w:rPr>
        <w:t>30</w:t>
      </w:r>
      <w:r>
        <w:rPr>
          <w:rFonts w:hint="eastAsia" w:ascii="Times New Roman" w:hAnsi="Times New Roman" w:cs="宋体"/>
          <w:sz w:val="28"/>
          <w:szCs w:val="28"/>
          <w:lang w:val="zh-CN"/>
        </w:rPr>
        <w:t>米为半径的</w:t>
      </w:r>
      <w:r>
        <w:rPr>
          <w:rFonts w:hint="eastAsia" w:ascii="Times New Roman" w:hAnsi="Times New Roman"/>
          <w:sz w:val="28"/>
          <w:szCs w:val="28"/>
        </w:rPr>
        <w:t>圆形区域作为一级保护区范围，面积</w:t>
      </w:r>
      <w:r>
        <w:rPr>
          <w:rFonts w:hint="eastAsia" w:ascii="Times New Roman" w:hAnsi="Times New Roman"/>
          <w:sz w:val="28"/>
          <w:szCs w:val="28"/>
          <w:lang w:val="en-US" w:eastAsia="zh-CN"/>
        </w:rPr>
        <w:t>0.</w:t>
      </w:r>
      <w:r>
        <w:rPr>
          <w:rFonts w:hint="eastAsia" w:ascii="Times New Roman" w:hAnsi="Times New Roman"/>
          <w:sz w:val="28"/>
          <w:szCs w:val="28"/>
        </w:rPr>
        <w:t>2</w:t>
      </w:r>
      <w:r>
        <w:rPr>
          <w:rFonts w:hint="eastAsia" w:ascii="Times New Roman" w:hAnsi="Times New Roman"/>
          <w:sz w:val="28"/>
          <w:szCs w:val="28"/>
          <w:lang w:val="en-US" w:eastAsia="zh-CN"/>
        </w:rPr>
        <w:t>731公顷</w:t>
      </w:r>
      <w:r>
        <w:rPr>
          <w:rFonts w:hint="eastAsia" w:ascii="Times New Roman" w:hAnsi="Times New Roman" w:cs="宋体"/>
          <w:sz w:val="28"/>
          <w:szCs w:val="28"/>
          <w:lang w:val="en-US" w:eastAsia="zh-CN"/>
        </w:rPr>
        <w:t>。</w:t>
      </w:r>
    </w:p>
    <w:p w14:paraId="5420EB67">
      <w:pPr>
        <w:numPr>
          <w:ilvl w:val="0"/>
          <w:numId w:val="0"/>
        </w:numPr>
        <w:ind w:firstLine="560" w:firstLineChars="200"/>
        <w:jc w:val="both"/>
        <w:rPr>
          <w:rFonts w:hint="eastAsia" w:ascii="Times New Roman" w:hAnsi="Times New Roman"/>
          <w:sz w:val="28"/>
          <w:lang w:val="en-US" w:eastAsia="zh-CN"/>
        </w:rPr>
      </w:pPr>
      <w:r>
        <w:rPr>
          <w:rFonts w:hint="eastAsia" w:ascii="Times New Roman" w:hAnsi="Times New Roman" w:cs="宋体"/>
          <w:sz w:val="28"/>
          <w:szCs w:val="28"/>
          <w:lang w:val="en-US" w:eastAsia="zh-CN"/>
        </w:rPr>
        <w:t>5.</w:t>
      </w:r>
      <w:r>
        <w:rPr>
          <w:rFonts w:hint="eastAsia" w:ascii="Times New Roman" w:hAnsi="Times New Roman"/>
          <w:sz w:val="28"/>
          <w:lang w:val="en-US" w:eastAsia="zh-CN"/>
        </w:rPr>
        <w:t>乌云镇水源保护区两眼井水水源地均位于黑龙江河谷平原一级阶地上，两眼井相距100米，地质、水文地质条件相近，水源地的井孔柱状图，含水层位一致，因此采用1号供水井的井孔结构图作为代表进行保护区半径划分的依据。1号2号两口井间的距离是154米，每眼井的保护区半径为200米，两眼井的保护区范围重合，因此划定一级保护区的范围是：分别以两口井为圆心，以200米为半径的两个相切圆的外切长方形，保护区面积21.9144公顷（其中与乌云镇备用水源保护区重叠部分2.8855公顷）。云泉保护区以云泉出露处为圆心，100米为半径的圆形区域作为一级保护区的范围，面积2.8335公顷。</w:t>
      </w:r>
    </w:p>
    <w:p w14:paraId="5B60EEFF">
      <w:pPr>
        <w:numPr>
          <w:ilvl w:val="0"/>
          <w:numId w:val="0"/>
        </w:numPr>
        <w:ind w:firstLine="560" w:firstLineChars="200"/>
        <w:jc w:val="both"/>
        <w:rPr>
          <w:rFonts w:hint="eastAsia" w:ascii="Times New Roman" w:hAnsi="Times New Roman"/>
          <w:sz w:val="28"/>
          <w:lang w:val="en-US" w:eastAsia="zh-CN"/>
        </w:rPr>
      </w:pPr>
      <w:r>
        <w:rPr>
          <w:rFonts w:hint="eastAsia" w:ascii="Times New Roman" w:hAnsi="Times New Roman"/>
          <w:sz w:val="28"/>
          <w:lang w:val="en-US" w:eastAsia="zh-CN"/>
        </w:rPr>
        <w:t>6.乌云镇旧城村饮用水水源地保护区水源井位于黑龙江河谷平原一级阶地上，主要供水目的层为白垩系下统永安村组粉砂岩、砂砾岩、砾岩，供水井上部潜水含水介质为第四系上统顾乡屯组中砂含砾层。以水源井为圆心，以50米为半径的圆形区域作为一级保护区范围，面积0.7436公顷。</w:t>
      </w:r>
    </w:p>
    <w:p w14:paraId="5B7D6371">
      <w:pPr>
        <w:numPr>
          <w:ilvl w:val="0"/>
          <w:numId w:val="0"/>
        </w:numPr>
        <w:ind w:firstLine="560" w:firstLineChars="200"/>
        <w:jc w:val="both"/>
        <w:rPr>
          <w:rFonts w:hint="default" w:ascii="Times New Roman" w:hAnsi="Times New Roman"/>
          <w:sz w:val="28"/>
          <w:lang w:val="en-US" w:eastAsia="zh-CN"/>
        </w:rPr>
      </w:pPr>
      <w:r>
        <w:rPr>
          <w:rFonts w:hint="eastAsia" w:ascii="Times New Roman" w:hAnsi="Times New Roman"/>
          <w:sz w:val="28"/>
          <w:lang w:val="en-US" w:eastAsia="zh-CN"/>
        </w:rPr>
        <w:t>7.乌云镇备用水源保护区水源井均位于黑龙江河谷平原一级阶地上，乌云镇主要供水目的层为白垩系下统永安村组砂岩，供水井上部潜水含水介质为第四系上统顾乡屯组砂砾石、卵石层。将水源地南部的公路</w:t>
      </w:r>
      <w:r>
        <w:rPr>
          <w:rFonts w:hint="eastAsia"/>
          <w:sz w:val="28"/>
          <w:lang w:val="en-US" w:eastAsia="zh-CN"/>
        </w:rPr>
        <w:t>作为</w:t>
      </w:r>
      <w:r>
        <w:rPr>
          <w:rFonts w:hint="eastAsia" w:ascii="Times New Roman" w:hAnsi="Times New Roman"/>
          <w:sz w:val="28"/>
          <w:lang w:val="en-US" w:eastAsia="zh-CN"/>
        </w:rPr>
        <w:t>保护区南部的边界，其余以保护区的范围以水源井为中心，以200米为半径画圆，与公路相交的半圆形作为保护区范围，面积6.7</w:t>
      </w:r>
      <w:r>
        <w:rPr>
          <w:rFonts w:hint="eastAsia"/>
          <w:sz w:val="28"/>
          <w:lang w:val="en-US" w:eastAsia="zh-CN"/>
        </w:rPr>
        <w:t>1</w:t>
      </w:r>
      <w:r>
        <w:rPr>
          <w:rFonts w:hint="eastAsia" w:ascii="Times New Roman" w:hAnsi="Times New Roman"/>
          <w:sz w:val="28"/>
          <w:lang w:val="en-US" w:eastAsia="zh-CN"/>
        </w:rPr>
        <w:t>63公顷（其中与乌云镇水源保护区重叠部分2.8855公顷）。</w:t>
      </w:r>
    </w:p>
    <w:p w14:paraId="1D2E0DB4">
      <w:pPr>
        <w:numPr>
          <w:ilvl w:val="0"/>
          <w:numId w:val="0"/>
        </w:numPr>
        <w:ind w:firstLine="560" w:firstLineChars="200"/>
        <w:jc w:val="both"/>
        <w:rPr>
          <w:rFonts w:hint="eastAsia" w:ascii="Times New Roman" w:hAnsi="Times New Roman"/>
          <w:sz w:val="28"/>
          <w:lang w:val="en-US" w:eastAsia="zh-CN"/>
        </w:rPr>
      </w:pPr>
      <w:r>
        <w:rPr>
          <w:rFonts w:hint="eastAsia" w:ascii="Times New Roman" w:hAnsi="Times New Roman"/>
          <w:sz w:val="28"/>
          <w:lang w:val="en-US" w:eastAsia="zh-CN"/>
        </w:rPr>
        <w:t>8.向阳乡雪水温村水源保护区供水井位于黑龙江河谷平原一级阶地上，主要供水目的层为白垩系下统永安村组砂岩，上部潜水含水介质为第四系上统顾乡屯组粉细砂层。以水源井为圆心，以30米为半径的圆形区域作为一级保护区的范围，面积0.2392公顷。</w:t>
      </w:r>
    </w:p>
    <w:p w14:paraId="66F6F29C">
      <w:pPr>
        <w:numPr>
          <w:ilvl w:val="0"/>
          <w:numId w:val="0"/>
        </w:numPr>
        <w:ind w:firstLine="560" w:firstLineChars="200"/>
        <w:jc w:val="both"/>
        <w:rPr>
          <w:rFonts w:hint="eastAsia" w:ascii="Times New Roman" w:hAnsi="Times New Roman"/>
          <w:sz w:val="28"/>
          <w:lang w:val="en-US" w:eastAsia="zh-CN"/>
        </w:rPr>
      </w:pPr>
      <w:r>
        <w:rPr>
          <w:rFonts w:hint="eastAsia" w:ascii="Times New Roman" w:hAnsi="Times New Roman"/>
          <w:sz w:val="28"/>
          <w:lang w:val="en-US" w:eastAsia="zh-CN"/>
        </w:rPr>
        <w:t>9.朝阳镇饮用水水源保护区水源地井群内井间距小于等于一级保护区半径的2倍，本次划分以外围井的外接多边形为边界。因此划定一级保护区的范围是：北侧以黑龙江防洪堤背水侧堤脚线为界，南侧、东侧和南西侧均为农田或树林，因此南、东、西侧分别以6眼井的外接多边形为边界，向外径向距离200米所确定的多边形区域为一级保护区，保护区面积为35.9809公顷。</w:t>
      </w:r>
    </w:p>
    <w:p w14:paraId="01D11F71">
      <w:pPr>
        <w:numPr>
          <w:ilvl w:val="0"/>
          <w:numId w:val="0"/>
        </w:numPr>
        <w:ind w:firstLine="560" w:firstLineChars="200"/>
        <w:jc w:val="both"/>
        <w:rPr>
          <w:rFonts w:hint="default"/>
          <w:lang w:val="en-US" w:eastAsia="zh-CN"/>
        </w:rPr>
      </w:pPr>
      <w:r>
        <w:rPr>
          <w:rFonts w:hint="default" w:ascii="Times New Roman" w:hAnsi="Times New Roman"/>
          <w:sz w:val="28"/>
          <w:lang w:val="en-US" w:eastAsia="zh-CN"/>
        </w:rPr>
        <w:t>饮用水水源保护区禁养区总面积为</w:t>
      </w:r>
      <w:r>
        <w:rPr>
          <w:rFonts w:hint="eastAsia" w:ascii="Times New Roman" w:hAnsi="Times New Roman"/>
          <w:sz w:val="28"/>
          <w:lang w:val="en-US" w:eastAsia="zh-CN"/>
        </w:rPr>
        <w:t>67.31</w:t>
      </w:r>
      <w:r>
        <w:rPr>
          <w:rFonts w:hint="default" w:ascii="Times New Roman" w:hAnsi="Times New Roman"/>
          <w:sz w:val="28"/>
          <w:lang w:val="en-US" w:eastAsia="zh-CN"/>
        </w:rPr>
        <w:t>公顷。功能区规划见图3-6。</w:t>
      </w:r>
    </w:p>
    <w:p w14:paraId="3A055520">
      <w:pPr>
        <w:numPr>
          <w:ilvl w:val="0"/>
          <w:numId w:val="0"/>
        </w:numPr>
        <w:ind w:left="-280" w:leftChars="-100" w:firstLine="0" w:firstLineChars="0"/>
        <w:jc w:val="center"/>
        <w:rPr>
          <w:rFonts w:hint="default" w:ascii="黑体" w:hAnsi="黑体" w:eastAsia="黑体" w:cs="黑体"/>
          <w:sz w:val="24"/>
          <w:szCs w:val="24"/>
          <w:lang w:val="en-US" w:eastAsia="zh-CN"/>
        </w:rPr>
      </w:pPr>
      <w:r>
        <w:rPr>
          <w:rFonts w:hint="default" w:ascii="黑体" w:hAnsi="黑体" w:eastAsia="黑体" w:cs="黑体"/>
          <w:sz w:val="24"/>
          <w:szCs w:val="24"/>
          <w:lang w:val="en-US" w:eastAsia="zh-CN"/>
        </w:rPr>
        <w:drawing>
          <wp:inline distT="0" distB="0" distL="114300" distR="114300">
            <wp:extent cx="5705475" cy="7730490"/>
            <wp:effectExtent l="0" t="0" r="9525" b="3810"/>
            <wp:docPr id="6" name="图片 6" descr="禁养区规划图-饮用水水源地一级保护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禁养区规划图-饮用水水源地一级保护区"/>
                    <pic:cNvPicPr>
                      <a:picLocks noChangeAspect="1"/>
                    </pic:cNvPicPr>
                  </pic:nvPicPr>
                  <pic:blipFill>
                    <a:blip r:embed="rId23"/>
                    <a:stretch>
                      <a:fillRect/>
                    </a:stretch>
                  </pic:blipFill>
                  <pic:spPr>
                    <a:xfrm>
                      <a:off x="0" y="0"/>
                      <a:ext cx="5705475" cy="7730490"/>
                    </a:xfrm>
                    <a:prstGeom prst="rect">
                      <a:avLst/>
                    </a:prstGeom>
                  </pic:spPr>
                </pic:pic>
              </a:graphicData>
            </a:graphic>
          </wp:inline>
        </w:drawing>
      </w:r>
    </w:p>
    <w:p w14:paraId="25E0585E">
      <w:pPr>
        <w:numPr>
          <w:ilvl w:val="0"/>
          <w:numId w:val="0"/>
        </w:numPr>
        <w:spacing w:line="360" w:lineRule="auto"/>
        <w:jc w:val="center"/>
        <w:rPr>
          <w:rFonts w:hint="eastAsia" w:ascii="宋体" w:hAnsi="宋体" w:eastAsia="宋体" w:cs="宋体"/>
          <w:sz w:val="21"/>
          <w:szCs w:val="21"/>
          <w:highlight w:val="none"/>
          <w:lang w:val="en-US" w:eastAsia="zh-CN"/>
        </w:rPr>
        <w:sectPr>
          <w:pgSz w:w="11906" w:h="16838"/>
          <w:pgMar w:top="1531" w:right="1247" w:bottom="1417" w:left="1417" w:header="851" w:footer="992" w:gutter="0"/>
          <w:pgNumType w:fmt="decimal"/>
          <w:cols w:space="425" w:num="1"/>
          <w:rtlGutter w:val="0"/>
          <w:docGrid w:type="lines" w:linePitch="312" w:charSpace="0"/>
        </w:sectPr>
      </w:pPr>
      <w:r>
        <w:rPr>
          <w:rFonts w:hint="eastAsia" w:ascii="宋体" w:hAnsi="宋体" w:eastAsia="宋体" w:cs="宋体"/>
          <w:sz w:val="21"/>
          <w:szCs w:val="21"/>
          <w:highlight w:val="none"/>
          <w:lang w:val="en-US" w:eastAsia="zh-CN"/>
        </w:rPr>
        <w:t>图3-6</w:t>
      </w:r>
      <w:r>
        <w:rPr>
          <w:rFonts w:hint="eastAsia" w:ascii="宋体" w:hAnsi="宋体" w:cs="宋体"/>
          <w:sz w:val="21"/>
          <w:szCs w:val="21"/>
          <w:highlight w:val="none"/>
          <w:lang w:val="en-US" w:eastAsia="zh-CN"/>
        </w:rPr>
        <w:t>嘉荫</w:t>
      </w:r>
      <w:r>
        <w:rPr>
          <w:rFonts w:hint="eastAsia" w:ascii="宋体" w:hAnsi="宋体" w:eastAsia="宋体" w:cs="宋体"/>
          <w:sz w:val="21"/>
          <w:szCs w:val="21"/>
          <w:highlight w:val="none"/>
          <w:lang w:val="en-US" w:eastAsia="zh-CN"/>
        </w:rPr>
        <w:t>县养殖水域滩涂规划饮用水水源地一级保护区禁养区规划图</w:t>
      </w:r>
    </w:p>
    <w:p w14:paraId="6D901F63">
      <w:pPr>
        <w:pStyle w:val="4"/>
        <w:keepNext w:val="0"/>
        <w:keepLines/>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宋体" w:cs="Times New Roman"/>
          <w:lang w:val="en-US" w:eastAsia="zh-CN"/>
        </w:rPr>
      </w:pPr>
      <w:bookmarkStart w:id="61" w:name="_Toc17720"/>
      <w:r>
        <w:rPr>
          <w:rFonts w:hint="eastAsia" w:ascii="Times New Roman" w:hAnsi="Times New Roman" w:eastAsia="宋体" w:cs="Times New Roman"/>
          <w:lang w:val="en-US" w:eastAsia="zh-CN"/>
        </w:rPr>
        <w:t>3.</w:t>
      </w:r>
      <w:r>
        <w:rPr>
          <w:rFonts w:hint="eastAsia" w:cs="Times New Roman"/>
          <w:lang w:val="en-US" w:eastAsia="zh-CN"/>
        </w:rPr>
        <w:t>4</w:t>
      </w:r>
      <w:r>
        <w:rPr>
          <w:rFonts w:hint="eastAsia" w:ascii="Times New Roman" w:hAnsi="Times New Roman" w:eastAsia="宋体" w:cs="Times New Roman"/>
          <w:lang w:val="en-US" w:eastAsia="zh-CN"/>
        </w:rPr>
        <w:t>.3 城镇开发边界禁养区</w:t>
      </w:r>
      <w:bookmarkEnd w:id="61"/>
    </w:p>
    <w:p w14:paraId="57AA28F6">
      <w:pPr>
        <w:ind w:firstLine="560" w:firstLineChars="200"/>
        <w:jc w:val="left"/>
        <w:rPr>
          <w:rFonts w:hint="eastAsia" w:ascii="Times New Roman" w:hAnsi="Times New Roman"/>
          <w:lang w:val="en-US" w:eastAsia="zh-CN"/>
        </w:rPr>
      </w:pPr>
      <w:r>
        <w:rPr>
          <w:rFonts w:hint="eastAsia" w:ascii="Times New Roman" w:hAnsi="Times New Roman"/>
          <w:lang w:val="en-US" w:eastAsia="zh-CN"/>
        </w:rPr>
        <w:t>城镇开发边界是指在一定时期内，为约束城镇无序扩张、保障城镇空间有序发展，依据资源环境承载能力、国土空间开发适宜性评价及城镇发展需求，科学划定的城镇建设可集中开展的空间范围边界。为避免对城镇生态环境造成不利影响，将城镇开发边界划定为禁养区域，总禁养区面积为757.85公顷。</w:t>
      </w:r>
    </w:p>
    <w:p w14:paraId="7D090E4E">
      <w:pPr>
        <w:numPr>
          <w:ilvl w:val="0"/>
          <w:numId w:val="0"/>
        </w:numPr>
        <w:spacing w:line="360" w:lineRule="auto"/>
        <w:jc w:val="center"/>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drawing>
          <wp:inline distT="0" distB="0" distL="114300" distR="114300">
            <wp:extent cx="4432935" cy="6006465"/>
            <wp:effectExtent l="0" t="0" r="5715" b="13335"/>
            <wp:docPr id="9" name="图片 9" descr="禁养区规划图-开发边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禁养区规划图-开发边界"/>
                    <pic:cNvPicPr>
                      <a:picLocks noChangeAspect="1"/>
                    </pic:cNvPicPr>
                  </pic:nvPicPr>
                  <pic:blipFill>
                    <a:blip r:embed="rId24"/>
                    <a:stretch>
                      <a:fillRect/>
                    </a:stretch>
                  </pic:blipFill>
                  <pic:spPr>
                    <a:xfrm>
                      <a:off x="0" y="0"/>
                      <a:ext cx="4432935" cy="6006465"/>
                    </a:xfrm>
                    <a:prstGeom prst="rect">
                      <a:avLst/>
                    </a:prstGeom>
                  </pic:spPr>
                </pic:pic>
              </a:graphicData>
            </a:graphic>
          </wp:inline>
        </w:drawing>
      </w:r>
    </w:p>
    <w:p w14:paraId="73291942">
      <w:pPr>
        <w:numPr>
          <w:ilvl w:val="0"/>
          <w:numId w:val="0"/>
        </w:numPr>
        <w:spacing w:line="360" w:lineRule="auto"/>
        <w:jc w:val="center"/>
        <w:rPr>
          <w:rFonts w:hint="eastAsia" w:eastAsia="宋体"/>
          <w:sz w:val="21"/>
          <w:szCs w:val="21"/>
          <w:lang w:val="en-US" w:eastAsia="zh-CN"/>
        </w:rPr>
      </w:pPr>
      <w:r>
        <w:rPr>
          <w:rFonts w:hint="eastAsia" w:ascii="宋体" w:hAnsi="宋体" w:eastAsia="宋体" w:cs="宋体"/>
          <w:sz w:val="21"/>
          <w:szCs w:val="21"/>
          <w:highlight w:val="none"/>
          <w:lang w:val="en-US" w:eastAsia="zh-CN"/>
        </w:rPr>
        <w:t>图3-7</w:t>
      </w:r>
      <w:r>
        <w:rPr>
          <w:rFonts w:hint="eastAsia" w:ascii="宋体" w:hAnsi="宋体" w:cs="宋体"/>
          <w:sz w:val="21"/>
          <w:szCs w:val="21"/>
          <w:highlight w:val="none"/>
          <w:lang w:val="en-US" w:eastAsia="zh-CN"/>
        </w:rPr>
        <w:t xml:space="preserve"> 嘉荫</w:t>
      </w:r>
      <w:r>
        <w:rPr>
          <w:rFonts w:hint="eastAsia" w:ascii="宋体" w:hAnsi="宋体" w:eastAsia="宋体" w:cs="宋体"/>
          <w:sz w:val="21"/>
          <w:szCs w:val="21"/>
          <w:highlight w:val="none"/>
          <w:lang w:val="en-US" w:eastAsia="zh-CN"/>
        </w:rPr>
        <w:t>县养殖水域滩涂规划城镇开发边界禁养区规划图</w:t>
      </w:r>
    </w:p>
    <w:p w14:paraId="0258B2FB">
      <w:pPr>
        <w:pStyle w:val="4"/>
        <w:keepNext w:val="0"/>
        <w:keepLines/>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宋体" w:cs="Times New Roman"/>
          <w:lang w:val="en-US" w:eastAsia="zh-CN"/>
        </w:rPr>
      </w:pPr>
      <w:bookmarkStart w:id="62" w:name="_Toc21672"/>
      <w:r>
        <w:rPr>
          <w:rFonts w:hint="eastAsia" w:ascii="Times New Roman" w:hAnsi="Times New Roman" w:eastAsia="宋体" w:cs="Times New Roman"/>
          <w:lang w:val="en-US" w:eastAsia="zh-CN"/>
        </w:rPr>
        <w:t>3.</w:t>
      </w:r>
      <w:r>
        <w:rPr>
          <w:rFonts w:hint="eastAsia" w:cs="Times New Roman"/>
          <w:lang w:val="en-US" w:eastAsia="zh-CN"/>
        </w:rPr>
        <w:t>4</w:t>
      </w:r>
      <w:r>
        <w:rPr>
          <w:rFonts w:hint="eastAsia" w:ascii="Times New Roman" w:hAnsi="Times New Roman" w:eastAsia="宋体" w:cs="Times New Roman"/>
          <w:lang w:val="en-US" w:eastAsia="zh-CN"/>
        </w:rPr>
        <w:t>.4 耕地及永久基本农田保护红线禁养区</w:t>
      </w:r>
      <w:bookmarkEnd w:id="62"/>
    </w:p>
    <w:p w14:paraId="174F321E">
      <w:pPr>
        <w:ind w:firstLine="560" w:firstLineChars="200"/>
        <w:jc w:val="left"/>
        <w:rPr>
          <w:rFonts w:hint="default" w:ascii="Times New Roman" w:hAnsi="Times New Roman"/>
          <w:lang w:val="en-US" w:eastAsia="zh-CN"/>
        </w:rPr>
      </w:pPr>
      <w:r>
        <w:rPr>
          <w:rFonts w:hint="default" w:ascii="Times New Roman" w:hAnsi="Times New Roman"/>
          <w:lang w:val="en-US" w:eastAsia="zh-CN"/>
        </w:rPr>
        <w:t>耕地作为</w:t>
      </w:r>
      <w:r>
        <w:rPr>
          <w:rFonts w:hint="eastAsia"/>
          <w:lang w:val="en-US" w:eastAsia="zh-CN"/>
        </w:rPr>
        <w:t>嘉荫</w:t>
      </w:r>
      <w:r>
        <w:rPr>
          <w:rFonts w:hint="default" w:ascii="Times New Roman" w:hAnsi="Times New Roman"/>
          <w:lang w:val="en-US" w:eastAsia="zh-CN"/>
        </w:rPr>
        <w:t>县农业生产的核心载体，承载着保障县域粮食安全、维护农产品稳定供给的重任。而永久基本农田经科学划定、严格保护，对稳定区域农业根基、落实国家粮食战略意义非凡。故将耕地及永久基本农田划定为禁养区域，</w:t>
      </w:r>
      <w:r>
        <w:rPr>
          <w:rFonts w:hint="eastAsia"/>
          <w:lang w:val="en-US" w:eastAsia="zh-CN"/>
        </w:rPr>
        <w:t>耕地</w:t>
      </w:r>
      <w:r>
        <w:rPr>
          <w:rFonts w:hint="default" w:ascii="Times New Roman" w:hAnsi="Times New Roman"/>
          <w:lang w:val="en-US" w:eastAsia="zh-CN"/>
        </w:rPr>
        <w:t>禁养区面积为120203.</w:t>
      </w:r>
      <w:r>
        <w:rPr>
          <w:rFonts w:hint="eastAsia"/>
          <w:lang w:val="en-US" w:eastAsia="zh-CN"/>
        </w:rPr>
        <w:t>29</w:t>
      </w:r>
      <w:r>
        <w:rPr>
          <w:rFonts w:hint="default" w:ascii="Times New Roman" w:hAnsi="Times New Roman"/>
          <w:lang w:val="en-US" w:eastAsia="zh-CN"/>
        </w:rPr>
        <w:t>公顷</w:t>
      </w:r>
      <w:r>
        <w:rPr>
          <w:rFonts w:hint="eastAsia"/>
          <w:lang w:val="en-US" w:eastAsia="zh-CN"/>
        </w:rPr>
        <w:t>，永久基本农田禁养区面积90030.51公顷</w:t>
      </w:r>
      <w:r>
        <w:rPr>
          <w:rFonts w:hint="default" w:ascii="Times New Roman" w:hAnsi="Times New Roman"/>
          <w:lang w:val="en-US" w:eastAsia="zh-CN"/>
        </w:rPr>
        <w:t>。</w:t>
      </w:r>
    </w:p>
    <w:p w14:paraId="32EF106E">
      <w:pPr>
        <w:ind w:left="0" w:leftChars="0" w:firstLine="0" w:firstLineChars="0"/>
        <w:jc w:val="center"/>
        <w:rPr>
          <w:rFonts w:hint="default" w:ascii="Times New Roman" w:hAnsi="Times New Roman"/>
          <w:lang w:val="en-US" w:eastAsia="zh-CN"/>
        </w:rPr>
      </w:pPr>
      <w:r>
        <w:rPr>
          <w:rFonts w:hint="default" w:ascii="Times New Roman" w:hAnsi="Times New Roman"/>
          <w:lang w:val="en-US" w:eastAsia="zh-CN"/>
        </w:rPr>
        <w:drawing>
          <wp:inline distT="0" distB="0" distL="114300" distR="114300">
            <wp:extent cx="4476115" cy="6065520"/>
            <wp:effectExtent l="0" t="0" r="635" b="11430"/>
            <wp:docPr id="10" name="图片 10" descr="F:/2025.10养殖滩涂水域规划/嘉荫县/二次修改/图件/禁养区图/禁养区规划图-耕地和基本农田.jpg禁养区规划图-耕地和基本农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2025.10养殖滩涂水域规划/嘉荫县/二次修改/图件/禁养区图/禁养区规划图-耕地和基本农田.jpg禁养区规划图-耕地和基本农田"/>
                    <pic:cNvPicPr>
                      <a:picLocks noChangeAspect="1"/>
                    </pic:cNvPicPr>
                  </pic:nvPicPr>
                  <pic:blipFill>
                    <a:blip r:embed="rId25"/>
                    <a:srcRect l="16" r="16"/>
                    <a:stretch>
                      <a:fillRect/>
                    </a:stretch>
                  </pic:blipFill>
                  <pic:spPr>
                    <a:xfrm>
                      <a:off x="0" y="0"/>
                      <a:ext cx="4476115" cy="6065520"/>
                    </a:xfrm>
                    <a:prstGeom prst="rect">
                      <a:avLst/>
                    </a:prstGeom>
                  </pic:spPr>
                </pic:pic>
              </a:graphicData>
            </a:graphic>
          </wp:inline>
        </w:drawing>
      </w:r>
    </w:p>
    <w:p w14:paraId="0255C064">
      <w:pPr>
        <w:numPr>
          <w:ilvl w:val="0"/>
          <w:numId w:val="0"/>
        </w:numPr>
        <w:spacing w:line="360" w:lineRule="auto"/>
        <w:jc w:val="center"/>
        <w:rPr>
          <w:rFonts w:hint="eastAsia" w:eastAsia="宋体"/>
          <w:sz w:val="21"/>
          <w:szCs w:val="21"/>
          <w:lang w:val="en-US" w:eastAsia="zh-CN"/>
        </w:rPr>
      </w:pPr>
      <w:r>
        <w:rPr>
          <w:rFonts w:hint="eastAsia" w:ascii="宋体" w:hAnsi="宋体" w:eastAsia="宋体" w:cs="宋体"/>
          <w:sz w:val="21"/>
          <w:szCs w:val="21"/>
          <w:highlight w:val="none"/>
          <w:lang w:val="en-US" w:eastAsia="zh-CN"/>
        </w:rPr>
        <w:t>图3-8</w:t>
      </w:r>
      <w:r>
        <w:rPr>
          <w:rFonts w:hint="eastAsia" w:ascii="宋体" w:hAnsi="宋体" w:cs="宋体"/>
          <w:sz w:val="21"/>
          <w:szCs w:val="21"/>
          <w:highlight w:val="none"/>
          <w:lang w:val="en-US" w:eastAsia="zh-CN"/>
        </w:rPr>
        <w:t xml:space="preserve"> 嘉荫</w:t>
      </w:r>
      <w:r>
        <w:rPr>
          <w:rFonts w:hint="eastAsia" w:ascii="宋体" w:hAnsi="宋体" w:eastAsia="宋体" w:cs="宋体"/>
          <w:sz w:val="21"/>
          <w:szCs w:val="21"/>
          <w:highlight w:val="none"/>
          <w:lang w:val="en-US" w:eastAsia="zh-CN"/>
        </w:rPr>
        <w:t>县养殖水域滩涂规划耕地及永久基本农田禁养区规划图</w:t>
      </w:r>
    </w:p>
    <w:p w14:paraId="3CAFB2E8">
      <w:pPr>
        <w:pStyle w:val="4"/>
        <w:keepNext w:val="0"/>
        <w:keepLines/>
        <w:pageBreakBefore w:val="0"/>
        <w:widowControl w:val="0"/>
        <w:kinsoku/>
        <w:wordWrap/>
        <w:overflowPunct/>
        <w:topLinePunct w:val="0"/>
        <w:autoSpaceDE/>
        <w:autoSpaceDN/>
        <w:bidi w:val="0"/>
        <w:adjustRightInd/>
        <w:snapToGrid/>
        <w:jc w:val="left"/>
        <w:textAlignment w:val="auto"/>
        <w:rPr>
          <w:rFonts w:hint="eastAsia" w:cs="Times New Roman"/>
          <w:lang w:val="en-US" w:eastAsia="zh-CN"/>
        </w:rPr>
      </w:pPr>
      <w:bookmarkStart w:id="63" w:name="_Toc30827"/>
      <w:r>
        <w:rPr>
          <w:rFonts w:hint="eastAsia" w:ascii="Times New Roman" w:hAnsi="Times New Roman" w:eastAsia="宋体" w:cs="Times New Roman"/>
          <w:lang w:val="en-US" w:eastAsia="zh-CN"/>
        </w:rPr>
        <w:t>3.</w:t>
      </w:r>
      <w:r>
        <w:rPr>
          <w:rFonts w:hint="eastAsia" w:cs="Times New Roman"/>
          <w:lang w:val="en-US" w:eastAsia="zh-CN"/>
        </w:rPr>
        <w:t>4</w:t>
      </w:r>
      <w:r>
        <w:rPr>
          <w:rFonts w:hint="eastAsia" w:ascii="Times New Roman" w:hAnsi="Times New Roman" w:eastAsia="宋体" w:cs="Times New Roman"/>
          <w:lang w:val="en-US" w:eastAsia="zh-CN"/>
        </w:rPr>
        <w:t>.</w:t>
      </w:r>
      <w:r>
        <w:rPr>
          <w:rFonts w:hint="eastAsia" w:cs="Times New Roman"/>
          <w:lang w:val="en-US" w:eastAsia="zh-CN"/>
        </w:rPr>
        <w:t>5</w:t>
      </w:r>
      <w:r>
        <w:rPr>
          <w:rFonts w:hint="eastAsia" w:ascii="Times New Roman" w:hAnsi="Times New Roman" w:eastAsia="宋体" w:cs="Times New Roman"/>
          <w:lang w:val="en-US" w:eastAsia="zh-CN"/>
        </w:rPr>
        <w:t xml:space="preserve"> </w:t>
      </w:r>
      <w:r>
        <w:rPr>
          <w:rFonts w:hint="eastAsia" w:cs="Times New Roman"/>
          <w:lang w:val="en-US" w:eastAsia="zh-CN"/>
        </w:rPr>
        <w:t>国家级水产种质资源保护区核心区</w:t>
      </w:r>
    </w:p>
    <w:p w14:paraId="2A613FB0">
      <w:pPr>
        <w:ind w:firstLine="560" w:firstLineChars="200"/>
        <w:jc w:val="left"/>
        <w:rPr>
          <w:rFonts w:hint="eastAsia"/>
          <w:lang w:val="en-US" w:eastAsia="zh-CN"/>
        </w:rPr>
      </w:pPr>
      <w:r>
        <w:rPr>
          <w:rFonts w:hint="eastAsia"/>
          <w:lang w:val="en-US" w:eastAsia="zh-CN"/>
        </w:rPr>
        <w:t>农业农村部于2008年12月22日，批准建立黑龙江嘉荫段黑斑狗鱼雅罗鱼国家级水产种质资源保护区，保护区位于嘉荫县保兴镇东部，批复总面积2350公顷，2020年经征求各部门意见后实际划定保护范围面积1259.43公顷。本规划将国家级水产种质资源保护区核心区划为禁养区，面积695.59公顷。</w:t>
      </w:r>
    </w:p>
    <w:p w14:paraId="0DBE2080">
      <w:pPr>
        <w:ind w:left="0" w:leftChars="0" w:firstLine="0" w:firstLineChars="0"/>
        <w:jc w:val="center"/>
        <w:rPr>
          <w:rFonts w:hint="default"/>
          <w:lang w:val="en-US" w:eastAsia="zh-CN"/>
        </w:rPr>
      </w:pPr>
      <w:r>
        <w:rPr>
          <w:rFonts w:hint="default"/>
          <w:lang w:val="en-US" w:eastAsia="zh-CN"/>
        </w:rPr>
        <w:drawing>
          <wp:inline distT="0" distB="0" distL="114300" distR="114300">
            <wp:extent cx="4766310" cy="6459220"/>
            <wp:effectExtent l="0" t="0" r="15240" b="17780"/>
            <wp:docPr id="21" name="图片 21" descr="F:/2025.10养殖滩涂水域规划/嘉荫县/五次修改/图件/禁养区图/禁养区规划图-国家级水产种质资源保护区.jpg禁养区规划图-国家级水产种质资源保护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2025.10养殖滩涂水域规划/嘉荫县/五次修改/图件/禁养区图/禁养区规划图-国家级水产种质资源保护区.jpg禁养区规划图-国家级水产种质资源保护区"/>
                    <pic:cNvPicPr>
                      <a:picLocks noChangeAspect="1"/>
                    </pic:cNvPicPr>
                  </pic:nvPicPr>
                  <pic:blipFill>
                    <a:blip r:embed="rId26"/>
                    <a:srcRect l="15" r="15"/>
                    <a:stretch>
                      <a:fillRect/>
                    </a:stretch>
                  </pic:blipFill>
                  <pic:spPr>
                    <a:xfrm>
                      <a:off x="0" y="0"/>
                      <a:ext cx="4766310" cy="6459220"/>
                    </a:xfrm>
                    <a:prstGeom prst="rect">
                      <a:avLst/>
                    </a:prstGeom>
                  </pic:spPr>
                </pic:pic>
              </a:graphicData>
            </a:graphic>
          </wp:inline>
        </w:drawing>
      </w:r>
    </w:p>
    <w:p w14:paraId="23898AF9">
      <w:pPr>
        <w:numPr>
          <w:ilvl w:val="0"/>
          <w:numId w:val="0"/>
        </w:numPr>
        <w:spacing w:line="360" w:lineRule="auto"/>
        <w:jc w:val="center"/>
        <w:rPr>
          <w:rFonts w:hint="eastAsia" w:eastAsia="宋体"/>
          <w:sz w:val="21"/>
          <w:szCs w:val="21"/>
          <w:lang w:val="en-US" w:eastAsia="zh-CN"/>
        </w:rPr>
      </w:pPr>
      <w:r>
        <w:rPr>
          <w:rFonts w:hint="eastAsia" w:ascii="宋体" w:hAnsi="宋体" w:eastAsia="宋体" w:cs="宋体"/>
          <w:sz w:val="21"/>
          <w:szCs w:val="21"/>
          <w:highlight w:val="none"/>
          <w:lang w:val="en-US" w:eastAsia="zh-CN"/>
        </w:rPr>
        <w:t>图3-</w:t>
      </w:r>
      <w:r>
        <w:rPr>
          <w:rFonts w:hint="eastAsia" w:ascii="宋体" w:hAnsi="宋体" w:cs="宋体"/>
          <w:sz w:val="21"/>
          <w:szCs w:val="21"/>
          <w:highlight w:val="none"/>
          <w:lang w:val="en-US" w:eastAsia="zh-CN"/>
        </w:rPr>
        <w:t>9 嘉荫</w:t>
      </w:r>
      <w:r>
        <w:rPr>
          <w:rFonts w:hint="eastAsia" w:ascii="宋体" w:hAnsi="宋体" w:eastAsia="宋体" w:cs="宋体"/>
          <w:sz w:val="21"/>
          <w:szCs w:val="21"/>
          <w:highlight w:val="none"/>
          <w:lang w:val="en-US" w:eastAsia="zh-CN"/>
        </w:rPr>
        <w:t>县养殖水域滩涂规划国家级水产种质资源保护区核心区禁养区规划图</w:t>
      </w:r>
    </w:p>
    <w:p w14:paraId="1602A370">
      <w:pPr>
        <w:pStyle w:val="3"/>
        <w:jc w:val="left"/>
        <w:rPr>
          <w:rFonts w:hint="eastAsia" w:ascii="Times New Roman" w:hAnsi="Times New Roman"/>
          <w:lang w:val="en-US" w:eastAsia="zh-CN"/>
        </w:rPr>
      </w:pPr>
      <w:bookmarkStart w:id="64" w:name="_Toc32081"/>
      <w:r>
        <w:rPr>
          <w:rFonts w:hint="eastAsia" w:ascii="Times New Roman" w:hAnsi="Times New Roman"/>
        </w:rPr>
        <w:t>3.</w:t>
      </w:r>
      <w:r>
        <w:rPr>
          <w:rFonts w:hint="eastAsia" w:ascii="Times New Roman" w:hAnsi="Times New Roman"/>
          <w:lang w:val="en-US" w:eastAsia="zh-CN"/>
        </w:rPr>
        <w:t>5</w:t>
      </w:r>
      <w:r>
        <w:rPr>
          <w:rFonts w:hint="eastAsia" w:ascii="Times New Roman" w:hAnsi="Times New Roman"/>
        </w:rPr>
        <w:t xml:space="preserve"> 限制养殖区</w:t>
      </w:r>
      <w:r>
        <w:rPr>
          <w:rFonts w:hint="eastAsia" w:ascii="Times New Roman" w:hAnsi="Times New Roman"/>
          <w:lang w:val="en-US" w:eastAsia="zh-CN"/>
        </w:rPr>
        <w:t>划定</w:t>
      </w:r>
      <w:bookmarkEnd w:id="63"/>
      <w:bookmarkEnd w:id="64"/>
    </w:p>
    <w:p w14:paraId="6FE3F389">
      <w:pPr>
        <w:ind w:firstLine="560" w:firstLineChars="200"/>
        <w:jc w:val="left"/>
        <w:rPr>
          <w:rFonts w:hint="eastAsia"/>
          <w:lang w:val="en-US" w:eastAsia="zh-CN"/>
        </w:rPr>
      </w:pPr>
      <w:r>
        <w:rPr>
          <w:rFonts w:hint="eastAsia"/>
          <w:lang w:val="en-US" w:eastAsia="zh-CN"/>
        </w:rPr>
        <w:t>根据嘉荫县开发利用现状结合各类保护区域，规划划定限养区共</w:t>
      </w:r>
      <w:r>
        <w:rPr>
          <w:rFonts w:hint="eastAsia"/>
          <w:color w:val="auto"/>
          <w:highlight w:val="none"/>
          <w:lang w:val="en-US" w:eastAsia="zh-CN"/>
        </w:rPr>
        <w:t>3</w:t>
      </w:r>
      <w:r>
        <w:rPr>
          <w:rFonts w:hint="eastAsia"/>
          <w:lang w:val="en-US" w:eastAsia="zh-CN"/>
        </w:rPr>
        <w:t>类，规划总面积</w:t>
      </w:r>
      <w:r>
        <w:rPr>
          <w:rFonts w:hint="eastAsia"/>
          <w:highlight w:val="none"/>
          <w:lang w:val="en-US" w:eastAsia="zh-CN"/>
        </w:rPr>
        <w:t>172758.1公顷</w:t>
      </w:r>
      <w:r>
        <w:rPr>
          <w:rFonts w:hint="eastAsia"/>
          <w:lang w:val="en-US" w:eastAsia="zh-CN"/>
        </w:rPr>
        <w:t>。</w:t>
      </w:r>
    </w:p>
    <w:p w14:paraId="5122B473">
      <w:pPr>
        <w:ind w:left="0" w:leftChars="0" w:firstLine="0" w:firstLineChars="0"/>
        <w:jc w:val="center"/>
        <w:rPr>
          <w:rFonts w:hint="default"/>
          <w:lang w:val="en-US" w:eastAsia="zh-CN"/>
        </w:rPr>
      </w:pPr>
      <w:r>
        <w:rPr>
          <w:rFonts w:hint="default"/>
          <w:lang w:val="en-US" w:eastAsia="zh-CN"/>
        </w:rPr>
        <w:drawing>
          <wp:inline distT="0" distB="0" distL="114300" distR="114300">
            <wp:extent cx="5267325" cy="7136765"/>
            <wp:effectExtent l="0" t="0" r="9525" b="6985"/>
            <wp:docPr id="11" name="图片 11" descr="F:/2025.10养殖滩涂水域规划/嘉荫县/五次修改/图件/限养区图/限养区规划图.jpg限养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2025.10养殖滩涂水域规划/嘉荫县/五次修改/图件/限养区图/限养区规划图.jpg限养区规划图"/>
                    <pic:cNvPicPr>
                      <a:picLocks noChangeAspect="1"/>
                    </pic:cNvPicPr>
                  </pic:nvPicPr>
                  <pic:blipFill>
                    <a:blip r:embed="rId27"/>
                    <a:srcRect l="4" r="4"/>
                    <a:stretch>
                      <a:fillRect/>
                    </a:stretch>
                  </pic:blipFill>
                  <pic:spPr>
                    <a:xfrm>
                      <a:off x="0" y="0"/>
                      <a:ext cx="5267325" cy="7136765"/>
                    </a:xfrm>
                    <a:prstGeom prst="rect">
                      <a:avLst/>
                    </a:prstGeom>
                  </pic:spPr>
                </pic:pic>
              </a:graphicData>
            </a:graphic>
          </wp:inline>
        </w:drawing>
      </w:r>
    </w:p>
    <w:p w14:paraId="3690AC58">
      <w:pPr>
        <w:numPr>
          <w:ilvl w:val="0"/>
          <w:numId w:val="0"/>
        </w:numPr>
        <w:spacing w:line="360" w:lineRule="auto"/>
        <w:jc w:val="center"/>
        <w:rPr>
          <w:rFonts w:hint="eastAsia"/>
          <w:sz w:val="21"/>
          <w:szCs w:val="21"/>
          <w:lang w:val="en-US" w:eastAsia="zh-CN"/>
        </w:rPr>
      </w:pPr>
      <w:r>
        <w:rPr>
          <w:rFonts w:hint="eastAsia" w:ascii="宋体" w:hAnsi="宋体" w:eastAsia="宋体" w:cs="宋体"/>
          <w:sz w:val="21"/>
          <w:szCs w:val="21"/>
          <w:highlight w:val="none"/>
          <w:lang w:val="en-US" w:eastAsia="zh-CN"/>
        </w:rPr>
        <w:t>图3-</w:t>
      </w:r>
      <w:r>
        <w:rPr>
          <w:rFonts w:hint="eastAsia" w:ascii="宋体" w:hAnsi="宋体" w:cs="宋体"/>
          <w:sz w:val="21"/>
          <w:szCs w:val="21"/>
          <w:highlight w:val="none"/>
          <w:lang w:val="en-US" w:eastAsia="zh-CN"/>
        </w:rPr>
        <w:t>10 嘉荫县</w:t>
      </w:r>
      <w:r>
        <w:rPr>
          <w:rFonts w:hint="eastAsia" w:ascii="宋体" w:hAnsi="宋体" w:eastAsia="宋体" w:cs="宋体"/>
          <w:sz w:val="21"/>
          <w:szCs w:val="21"/>
          <w:highlight w:val="none"/>
          <w:lang w:val="en-US" w:eastAsia="zh-CN"/>
        </w:rPr>
        <w:t>养殖水域滩涂规划限养区总体规划图</w:t>
      </w:r>
    </w:p>
    <w:p w14:paraId="1F1C4B0C">
      <w:pPr>
        <w:pStyle w:val="4"/>
        <w:rPr>
          <w:rFonts w:hint="default" w:ascii="Times New Roman" w:hAnsi="Times New Roman" w:eastAsia="宋体" w:cs="Times New Roman"/>
          <w:lang w:val="en-US" w:eastAsia="zh-CN"/>
        </w:rPr>
      </w:pPr>
      <w:bookmarkStart w:id="65" w:name="_Toc25347"/>
      <w:r>
        <w:rPr>
          <w:rFonts w:ascii="Times New Roman" w:hAnsi="Times New Roman"/>
        </w:rPr>
        <w:t>3.</w:t>
      </w:r>
      <w:r>
        <w:rPr>
          <w:rFonts w:hint="eastAsia"/>
          <w:lang w:val="en-US" w:eastAsia="zh-CN"/>
        </w:rPr>
        <w:t>5</w:t>
      </w:r>
      <w:r>
        <w:rPr>
          <w:rFonts w:ascii="Times New Roman" w:hAnsi="Times New Roman"/>
        </w:rPr>
        <w:t>.1</w:t>
      </w:r>
      <w:r>
        <w:rPr>
          <w:rFonts w:hint="eastAsia" w:ascii="Times New Roman" w:hAnsi="Times New Roman"/>
        </w:rPr>
        <w:t xml:space="preserve"> </w:t>
      </w:r>
      <w:r>
        <w:rPr>
          <w:rFonts w:hint="eastAsia" w:ascii="Times New Roman" w:hAnsi="Times New Roman" w:eastAsia="宋体" w:cs="Times New Roman"/>
          <w:lang w:val="en-US" w:eastAsia="zh-CN"/>
        </w:rPr>
        <w:t>生态保护红线</w:t>
      </w:r>
      <w:r>
        <w:rPr>
          <w:rFonts w:hint="eastAsia" w:cs="Times New Roman"/>
          <w:lang w:val="en-US" w:eastAsia="zh-CN"/>
        </w:rPr>
        <w:t>内自然保护地核心保护区外</w:t>
      </w:r>
      <w:r>
        <w:rPr>
          <w:rFonts w:hint="eastAsia" w:ascii="Times New Roman" w:hAnsi="Times New Roman" w:eastAsia="宋体" w:cs="Times New Roman"/>
          <w:lang w:val="en-US" w:eastAsia="zh-CN"/>
        </w:rPr>
        <w:t>非核心区域限养区</w:t>
      </w:r>
      <w:bookmarkEnd w:id="65"/>
      <w:r>
        <w:rPr>
          <w:rFonts w:hint="eastAsia" w:ascii="Times New Roman" w:hAnsi="Times New Roman" w:eastAsia="宋体" w:cs="Times New Roman"/>
          <w:lang w:val="en-US" w:eastAsia="zh-CN"/>
        </w:rPr>
        <w:t xml:space="preserve"> </w:t>
      </w:r>
    </w:p>
    <w:p w14:paraId="0BAD0D59">
      <w:pPr>
        <w:pStyle w:val="5"/>
        <w:jc w:val="left"/>
        <w:rPr>
          <w:rFonts w:hint="eastAsia" w:ascii="Times New Roman" w:hAnsi="Times New Roman" w:eastAsia="宋体"/>
          <w:lang w:val="en-US" w:eastAsia="zh-CN"/>
        </w:rPr>
      </w:pPr>
      <w:r>
        <w:rPr>
          <w:rFonts w:hint="eastAsia" w:ascii="Times New Roman" w:hAnsi="Times New Roman" w:eastAsia="宋体"/>
          <w:lang w:val="en-US" w:eastAsia="zh-CN"/>
        </w:rPr>
        <w:t>3.</w:t>
      </w:r>
      <w:r>
        <w:rPr>
          <w:rFonts w:hint="eastAsia" w:ascii="Times New Roman" w:hAnsi="Times New Roman"/>
          <w:lang w:val="en-US" w:eastAsia="zh-CN"/>
        </w:rPr>
        <w:t>5</w:t>
      </w:r>
      <w:r>
        <w:rPr>
          <w:rFonts w:hint="eastAsia" w:ascii="Times New Roman" w:hAnsi="Times New Roman" w:eastAsia="宋体"/>
          <w:lang w:val="en-US" w:eastAsia="zh-CN"/>
        </w:rPr>
        <w:t>.1.1</w:t>
      </w:r>
      <w:r>
        <w:rPr>
          <w:rFonts w:hint="eastAsia" w:ascii="Times New Roman" w:hAnsi="Times New Roman"/>
          <w:lang w:val="en-US" w:eastAsia="zh-CN"/>
        </w:rPr>
        <w:t xml:space="preserve"> </w:t>
      </w:r>
      <w:r>
        <w:rPr>
          <w:rFonts w:hint="eastAsia" w:ascii="Times New Roman" w:hAnsi="Times New Roman" w:eastAsia="宋体"/>
          <w:lang w:val="en-US" w:eastAsia="zh-CN"/>
        </w:rPr>
        <w:t>自然保护地一般控制区限养区</w:t>
      </w:r>
    </w:p>
    <w:p w14:paraId="3FD12D4C">
      <w:pPr>
        <w:numPr>
          <w:ilvl w:val="0"/>
          <w:numId w:val="0"/>
        </w:numPr>
        <w:spacing w:line="360" w:lineRule="auto"/>
        <w:ind w:firstLine="560" w:firstLineChars="200"/>
        <w:jc w:val="both"/>
        <w:rPr>
          <w:rFonts w:hint="default"/>
          <w:lang w:val="en-US" w:eastAsia="zh-CN"/>
        </w:rPr>
      </w:pPr>
      <w:r>
        <w:rPr>
          <w:rFonts w:hint="eastAsia" w:ascii="Times New Roman" w:hAnsi="Times New Roman"/>
          <w:lang w:val="en-US" w:eastAsia="zh-CN"/>
        </w:rPr>
        <w:t>自然保护</w:t>
      </w:r>
      <w:r>
        <w:rPr>
          <w:rFonts w:hint="eastAsia"/>
          <w:lang w:val="en-US" w:eastAsia="zh-CN"/>
        </w:rPr>
        <w:t>地</w:t>
      </w:r>
      <w:r>
        <w:rPr>
          <w:rFonts w:hint="eastAsia" w:ascii="Times New Roman" w:hAnsi="Times New Roman"/>
          <w:lang w:val="en-US" w:eastAsia="zh-CN"/>
        </w:rPr>
        <w:t>一般控制区</w:t>
      </w:r>
      <w:r>
        <w:rPr>
          <w:rFonts w:hint="eastAsia"/>
          <w:lang w:val="en-US" w:eastAsia="zh-CN"/>
        </w:rPr>
        <w:t>限养区</w:t>
      </w:r>
      <w:r>
        <w:rPr>
          <w:rFonts w:hint="eastAsia" w:ascii="Times New Roman" w:hAnsi="Times New Roman"/>
          <w:lang w:val="en-US" w:eastAsia="zh-CN"/>
        </w:rPr>
        <w:t>将</w:t>
      </w:r>
      <w:r>
        <w:rPr>
          <w:rFonts w:hint="eastAsia"/>
          <w:lang w:val="en-US" w:eastAsia="zh-CN"/>
        </w:rPr>
        <w:t>嘉荫县自然保护地中的一般控制区</w:t>
      </w:r>
      <w:r>
        <w:rPr>
          <w:rFonts w:hint="eastAsia" w:ascii="Times New Roman" w:hAnsi="Times New Roman"/>
        </w:rPr>
        <w:t>划定</w:t>
      </w:r>
      <w:r>
        <w:rPr>
          <w:rFonts w:ascii="Times New Roman" w:hAnsi="Times New Roman"/>
        </w:rPr>
        <w:t>为</w:t>
      </w:r>
      <w:r>
        <w:rPr>
          <w:rFonts w:hint="eastAsia" w:ascii="Times New Roman" w:hAnsi="Times New Roman"/>
          <w:lang w:val="en-US" w:eastAsia="zh-CN"/>
        </w:rPr>
        <w:t>限养区域</w:t>
      </w:r>
      <w:r>
        <w:rPr>
          <w:rFonts w:hint="eastAsia" w:ascii="Times New Roman" w:hAnsi="Times New Roman"/>
          <w:lang w:eastAsia="zh-CN"/>
        </w:rPr>
        <w:t>，</w:t>
      </w:r>
      <w:r>
        <w:rPr>
          <w:rFonts w:hint="eastAsia" w:ascii="Times New Roman" w:hAnsi="Times New Roman"/>
          <w:lang w:val="en-US" w:eastAsia="zh-CN"/>
        </w:rPr>
        <w:t>限</w:t>
      </w:r>
      <w:r>
        <w:rPr>
          <w:rFonts w:ascii="Times New Roman" w:hAnsi="Times New Roman"/>
        </w:rPr>
        <w:t>养区面积</w:t>
      </w:r>
      <w:r>
        <w:rPr>
          <w:rFonts w:hint="eastAsia" w:ascii="Times New Roman" w:hAnsi="Times New Roman"/>
          <w:color w:val="auto"/>
        </w:rPr>
        <w:t>32665.17</w:t>
      </w:r>
      <w:r>
        <w:rPr>
          <w:rFonts w:hint="eastAsia" w:ascii="Times New Roman" w:hAnsi="Times New Roman"/>
          <w:lang w:val="en-US" w:eastAsia="zh-CN"/>
        </w:rPr>
        <w:t>公顷</w:t>
      </w:r>
      <w:r>
        <w:rPr>
          <w:rFonts w:ascii="Times New Roman" w:hAnsi="Times New Roman"/>
        </w:rPr>
        <w:t>。</w:t>
      </w:r>
      <w:r>
        <w:rPr>
          <w:rFonts w:hint="eastAsia"/>
          <w:lang w:val="en-US" w:eastAsia="zh-CN"/>
        </w:rPr>
        <w:t>其中</w:t>
      </w:r>
      <w:r>
        <w:rPr>
          <w:rFonts w:hint="eastAsia" w:ascii="Times New Roman" w:hAnsi="Times New Roman"/>
          <w:lang w:val="en-US" w:eastAsia="zh-CN"/>
        </w:rPr>
        <w:t>黑龙江嘉荫恐龙化石省级自然保护区1272.22</w:t>
      </w:r>
      <w:r>
        <w:rPr>
          <w:rFonts w:hint="eastAsia"/>
          <w:lang w:val="en-US" w:eastAsia="zh-CN"/>
        </w:rPr>
        <w:t>公顷、</w:t>
      </w:r>
      <w:r>
        <w:rPr>
          <w:rFonts w:hint="eastAsia" w:ascii="Times New Roman" w:hAnsi="Times New Roman"/>
          <w:lang w:val="en-US" w:eastAsia="zh-CN"/>
        </w:rPr>
        <w:t>黑龙江茅兰沟国家级自然保护区9760.23</w:t>
      </w:r>
      <w:r>
        <w:rPr>
          <w:rFonts w:hint="eastAsia"/>
          <w:lang w:val="en-US" w:eastAsia="zh-CN"/>
        </w:rPr>
        <w:t>公顷、</w:t>
      </w:r>
      <w:r>
        <w:rPr>
          <w:rFonts w:hint="eastAsia" w:ascii="Times New Roman" w:hAnsi="Times New Roman"/>
          <w:lang w:val="en-US" w:eastAsia="zh-CN"/>
        </w:rPr>
        <w:t>黑龙江平阳河湿地省级自然保护区4751.9</w:t>
      </w:r>
      <w:r>
        <w:rPr>
          <w:rFonts w:hint="eastAsia"/>
          <w:lang w:val="en-US" w:eastAsia="zh-CN"/>
        </w:rPr>
        <w:t>公顷、</w:t>
      </w:r>
      <w:r>
        <w:rPr>
          <w:rFonts w:hint="eastAsia" w:ascii="Times New Roman" w:hAnsi="Times New Roman"/>
          <w:lang w:val="en-US" w:eastAsia="zh-CN"/>
        </w:rPr>
        <w:t>黑龙江新青白头鹤国家级自然保护区15715.32</w:t>
      </w:r>
      <w:r>
        <w:rPr>
          <w:rFonts w:hint="eastAsia"/>
          <w:lang w:val="en-US" w:eastAsia="zh-CN"/>
        </w:rPr>
        <w:t>公顷、黑龙江嘉荫恐龙国家地质公园194.63公顷、黑龙江伊春茅兰河口国家湿地公园13.49公顷、黑龙江伊春小兴安岭国家地质公园942.02公顷、茅兰沟国家森林公园15.36公顷。</w:t>
      </w:r>
    </w:p>
    <w:p w14:paraId="66B5CCC3">
      <w:pPr>
        <w:ind w:left="0" w:leftChars="0" w:firstLine="0" w:firstLineChars="0"/>
        <w:jc w:val="center"/>
        <w:rPr>
          <w:rFonts w:hint="default"/>
          <w:lang w:val="en-US" w:eastAsia="zh-CN"/>
        </w:rPr>
      </w:pPr>
      <w:r>
        <w:rPr>
          <w:rFonts w:hint="default"/>
          <w:lang w:val="en-US" w:eastAsia="zh-CN"/>
        </w:rPr>
        <w:drawing>
          <wp:inline distT="0" distB="0" distL="114300" distR="114300">
            <wp:extent cx="5020945" cy="6803390"/>
            <wp:effectExtent l="0" t="0" r="8255" b="16510"/>
            <wp:docPr id="12" name="图片 12" descr="F:/2025.10养殖滩涂水域规划/嘉荫县/五次修改/图件/限养区图/限养区规划图-自然保护地一般控制区.jpg限养区规划图-自然保护地一般控制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2025.10养殖滩涂水域规划/嘉荫县/五次修改/图件/限养区图/限养区规划图-自然保护地一般控制区.jpg限养区规划图-自然保护地一般控制区"/>
                    <pic:cNvPicPr>
                      <a:picLocks noChangeAspect="1"/>
                    </pic:cNvPicPr>
                  </pic:nvPicPr>
                  <pic:blipFill>
                    <a:blip r:embed="rId28"/>
                    <a:srcRect l="9" r="9"/>
                    <a:stretch>
                      <a:fillRect/>
                    </a:stretch>
                  </pic:blipFill>
                  <pic:spPr>
                    <a:xfrm>
                      <a:off x="0" y="0"/>
                      <a:ext cx="5020945" cy="6803390"/>
                    </a:xfrm>
                    <a:prstGeom prst="rect">
                      <a:avLst/>
                    </a:prstGeom>
                  </pic:spPr>
                </pic:pic>
              </a:graphicData>
            </a:graphic>
          </wp:inline>
        </w:drawing>
      </w:r>
    </w:p>
    <w:p w14:paraId="5E75B9E5">
      <w:pPr>
        <w:numPr>
          <w:ilvl w:val="0"/>
          <w:numId w:val="0"/>
        </w:numPr>
        <w:spacing w:line="360" w:lineRule="auto"/>
        <w:jc w:val="center"/>
        <w:rPr>
          <w:rFonts w:hint="eastAsia"/>
          <w:sz w:val="21"/>
          <w:szCs w:val="21"/>
          <w:lang w:val="en-US" w:eastAsia="zh-CN"/>
        </w:rPr>
      </w:pPr>
      <w:r>
        <w:rPr>
          <w:rFonts w:hint="eastAsia" w:ascii="宋体" w:hAnsi="宋体" w:eastAsia="宋体" w:cs="宋体"/>
          <w:sz w:val="21"/>
          <w:szCs w:val="21"/>
          <w:highlight w:val="none"/>
          <w:lang w:val="en-US" w:eastAsia="zh-CN"/>
        </w:rPr>
        <w:t>图3-1</w:t>
      </w:r>
      <w:r>
        <w:rPr>
          <w:rFonts w:hint="eastAsia" w:ascii="宋体" w:hAnsi="宋体" w:cs="宋体"/>
          <w:sz w:val="21"/>
          <w:szCs w:val="21"/>
          <w:highlight w:val="none"/>
          <w:lang w:val="en-US" w:eastAsia="zh-CN"/>
        </w:rPr>
        <w:t>1 嘉荫</w:t>
      </w:r>
      <w:r>
        <w:rPr>
          <w:rFonts w:hint="eastAsia" w:ascii="宋体" w:hAnsi="宋体" w:eastAsia="宋体" w:cs="宋体"/>
          <w:sz w:val="21"/>
          <w:szCs w:val="21"/>
          <w:highlight w:val="none"/>
          <w:lang w:val="en-US" w:eastAsia="zh-CN"/>
        </w:rPr>
        <w:t>县养殖水域滩涂规划自然保护地一般控制区限养区规划图</w:t>
      </w:r>
    </w:p>
    <w:p w14:paraId="48F6EFBC">
      <w:pPr>
        <w:pStyle w:val="5"/>
        <w:jc w:val="left"/>
        <w:rPr>
          <w:rFonts w:hint="eastAsia" w:ascii="Times New Roman" w:hAnsi="Times New Roman" w:eastAsia="宋体"/>
          <w:lang w:val="en-US" w:eastAsia="zh-CN"/>
        </w:rPr>
      </w:pPr>
      <w:r>
        <w:rPr>
          <w:rFonts w:hint="eastAsia" w:ascii="Times New Roman" w:hAnsi="Times New Roman" w:eastAsia="宋体"/>
          <w:lang w:val="en-US" w:eastAsia="zh-CN"/>
        </w:rPr>
        <w:t>3.</w:t>
      </w:r>
      <w:r>
        <w:rPr>
          <w:rFonts w:hint="eastAsia" w:ascii="Times New Roman" w:hAnsi="Times New Roman"/>
          <w:lang w:val="en-US" w:eastAsia="zh-CN"/>
        </w:rPr>
        <w:t>5</w:t>
      </w:r>
      <w:r>
        <w:rPr>
          <w:rFonts w:hint="eastAsia" w:ascii="Times New Roman" w:hAnsi="Times New Roman" w:eastAsia="宋体"/>
          <w:lang w:val="en-US" w:eastAsia="zh-CN"/>
        </w:rPr>
        <w:t>.1.2</w:t>
      </w:r>
      <w:bookmarkStart w:id="86" w:name="_GoBack"/>
      <w:r>
        <w:rPr>
          <w:rFonts w:hint="eastAsia" w:ascii="Times New Roman" w:hAnsi="Times New Roman" w:eastAsia="宋体"/>
          <w:lang w:val="en-US" w:eastAsia="zh-CN"/>
        </w:rPr>
        <w:t>生物多样性维护</w:t>
      </w:r>
      <w:bookmarkEnd w:id="86"/>
      <w:r>
        <w:rPr>
          <w:rFonts w:hint="eastAsia" w:ascii="Times New Roman" w:hAnsi="Times New Roman" w:eastAsia="宋体"/>
          <w:lang w:val="en-US" w:eastAsia="zh-CN"/>
        </w:rPr>
        <w:t>区限养区</w:t>
      </w:r>
    </w:p>
    <w:p w14:paraId="320AFA42">
      <w:pPr>
        <w:numPr>
          <w:ilvl w:val="0"/>
          <w:numId w:val="0"/>
        </w:numPr>
        <w:spacing w:line="360" w:lineRule="auto"/>
        <w:ind w:firstLine="560" w:firstLineChars="200"/>
        <w:jc w:val="both"/>
        <w:rPr>
          <w:rFonts w:hint="eastAsia"/>
          <w:lang w:val="en-US" w:eastAsia="zh-CN"/>
        </w:rPr>
      </w:pPr>
      <w:r>
        <w:rPr>
          <w:rFonts w:hint="eastAsia" w:ascii="Times New Roman" w:hAnsi="Times New Roman"/>
        </w:rPr>
        <w:t>依据</w:t>
      </w:r>
      <w:r>
        <w:rPr>
          <w:rFonts w:hint="eastAsia" w:ascii="Times New Roman" w:hAnsi="Times New Roman"/>
          <w:lang w:val="en-US" w:eastAsia="zh-CN"/>
        </w:rPr>
        <w:t>生态保护红线将生物多样性维护区非核心区域</w:t>
      </w:r>
      <w:r>
        <w:rPr>
          <w:rFonts w:hint="eastAsia" w:ascii="Times New Roman" w:hAnsi="Times New Roman"/>
        </w:rPr>
        <w:t>划定</w:t>
      </w:r>
      <w:r>
        <w:rPr>
          <w:rFonts w:ascii="Times New Roman" w:hAnsi="Times New Roman"/>
        </w:rPr>
        <w:t>为</w:t>
      </w:r>
      <w:r>
        <w:rPr>
          <w:rFonts w:hint="eastAsia" w:ascii="Times New Roman" w:hAnsi="Times New Roman"/>
          <w:lang w:val="en-US" w:eastAsia="zh-CN"/>
        </w:rPr>
        <w:t>限养区域</w:t>
      </w:r>
      <w:r>
        <w:rPr>
          <w:rFonts w:hint="eastAsia" w:ascii="Times New Roman" w:hAnsi="Times New Roman"/>
          <w:lang w:eastAsia="zh-CN"/>
        </w:rPr>
        <w:t>，</w:t>
      </w:r>
      <w:r>
        <w:rPr>
          <w:rFonts w:ascii="Times New Roman" w:hAnsi="Times New Roman"/>
        </w:rPr>
        <w:t>总</w:t>
      </w:r>
      <w:r>
        <w:rPr>
          <w:rFonts w:hint="eastAsia" w:ascii="Times New Roman" w:hAnsi="Times New Roman"/>
          <w:lang w:val="en-US" w:eastAsia="zh-CN"/>
        </w:rPr>
        <w:t>限</w:t>
      </w:r>
      <w:r>
        <w:rPr>
          <w:rFonts w:ascii="Times New Roman" w:hAnsi="Times New Roman"/>
        </w:rPr>
        <w:t>养区面积为</w:t>
      </w:r>
      <w:r>
        <w:rPr>
          <w:rFonts w:hint="eastAsia" w:ascii="Times New Roman" w:hAnsi="Times New Roman"/>
          <w:highlight w:val="none"/>
          <w:lang w:val="en-US" w:eastAsia="zh-CN"/>
        </w:rPr>
        <w:t>39362.79</w:t>
      </w:r>
      <w:r>
        <w:rPr>
          <w:rFonts w:hint="eastAsia" w:ascii="Times New Roman" w:hAnsi="Times New Roman"/>
        </w:rPr>
        <w:t>公顷</w:t>
      </w:r>
      <w:r>
        <w:rPr>
          <w:rFonts w:ascii="Times New Roman" w:hAnsi="Times New Roman"/>
        </w:rPr>
        <w:t>。</w:t>
      </w:r>
    </w:p>
    <w:p w14:paraId="697BC090">
      <w:pPr>
        <w:pStyle w:val="5"/>
        <w:jc w:val="left"/>
        <w:rPr>
          <w:rFonts w:hint="eastAsia" w:ascii="Times New Roman" w:hAnsi="Times New Roman" w:eastAsia="宋体"/>
          <w:lang w:val="en-US" w:eastAsia="zh-CN"/>
        </w:rPr>
      </w:pPr>
      <w:r>
        <w:rPr>
          <w:rFonts w:hint="eastAsia" w:ascii="Times New Roman" w:hAnsi="Times New Roman" w:eastAsia="宋体"/>
          <w:lang w:val="en-US" w:eastAsia="zh-CN"/>
        </w:rPr>
        <w:t>3.</w:t>
      </w:r>
      <w:r>
        <w:rPr>
          <w:rFonts w:hint="eastAsia" w:ascii="Times New Roman" w:hAnsi="Times New Roman"/>
          <w:lang w:val="en-US" w:eastAsia="zh-CN"/>
        </w:rPr>
        <w:t>5</w:t>
      </w:r>
      <w:r>
        <w:rPr>
          <w:rFonts w:hint="eastAsia" w:ascii="Times New Roman" w:hAnsi="Times New Roman" w:eastAsia="宋体"/>
          <w:lang w:val="en-US" w:eastAsia="zh-CN"/>
        </w:rPr>
        <w:t>.1.3</w:t>
      </w:r>
      <w:r>
        <w:rPr>
          <w:rFonts w:hint="eastAsia" w:ascii="Times New Roman" w:hAnsi="Times New Roman"/>
          <w:lang w:val="en-US" w:eastAsia="zh-CN"/>
        </w:rPr>
        <w:t xml:space="preserve"> </w:t>
      </w:r>
      <w:r>
        <w:rPr>
          <w:rFonts w:hint="eastAsia" w:ascii="Times New Roman" w:hAnsi="Times New Roman" w:eastAsia="宋体"/>
          <w:lang w:val="en-US" w:eastAsia="zh-CN"/>
        </w:rPr>
        <w:t>水源涵养区限养区</w:t>
      </w:r>
    </w:p>
    <w:p w14:paraId="35ADC1D4">
      <w:pPr>
        <w:numPr>
          <w:ilvl w:val="0"/>
          <w:numId w:val="0"/>
        </w:numPr>
        <w:spacing w:line="360" w:lineRule="auto"/>
        <w:ind w:firstLine="560" w:firstLineChars="200"/>
        <w:jc w:val="both"/>
        <w:rPr>
          <w:rFonts w:ascii="Times New Roman" w:hAnsi="Times New Roman"/>
        </w:rPr>
      </w:pPr>
      <w:r>
        <w:rPr>
          <w:rFonts w:hint="eastAsia" w:ascii="Times New Roman" w:hAnsi="Times New Roman"/>
        </w:rPr>
        <w:t>依据</w:t>
      </w:r>
      <w:r>
        <w:rPr>
          <w:rFonts w:hint="eastAsia" w:ascii="Times New Roman" w:hAnsi="Times New Roman"/>
          <w:lang w:val="en-US" w:eastAsia="zh-CN"/>
        </w:rPr>
        <w:t>生态保护红线将水源涵养区非核心区域</w:t>
      </w:r>
      <w:r>
        <w:rPr>
          <w:rFonts w:hint="eastAsia" w:ascii="Times New Roman" w:hAnsi="Times New Roman"/>
        </w:rPr>
        <w:t>划定</w:t>
      </w:r>
      <w:r>
        <w:rPr>
          <w:rFonts w:ascii="Times New Roman" w:hAnsi="Times New Roman"/>
        </w:rPr>
        <w:t>为</w:t>
      </w:r>
      <w:r>
        <w:rPr>
          <w:rFonts w:hint="eastAsia" w:ascii="Times New Roman" w:hAnsi="Times New Roman"/>
          <w:lang w:val="en-US" w:eastAsia="zh-CN"/>
        </w:rPr>
        <w:t>限养区域</w:t>
      </w:r>
      <w:r>
        <w:rPr>
          <w:rFonts w:hint="eastAsia" w:ascii="Times New Roman" w:hAnsi="Times New Roman"/>
          <w:lang w:eastAsia="zh-CN"/>
        </w:rPr>
        <w:t>，</w:t>
      </w:r>
      <w:r>
        <w:rPr>
          <w:rFonts w:ascii="Times New Roman" w:hAnsi="Times New Roman"/>
        </w:rPr>
        <w:t>总</w:t>
      </w:r>
      <w:r>
        <w:rPr>
          <w:rFonts w:hint="eastAsia" w:ascii="Times New Roman" w:hAnsi="Times New Roman"/>
          <w:lang w:val="en-US" w:eastAsia="zh-CN"/>
        </w:rPr>
        <w:t>限</w:t>
      </w:r>
      <w:r>
        <w:rPr>
          <w:rFonts w:ascii="Times New Roman" w:hAnsi="Times New Roman"/>
        </w:rPr>
        <w:t>养区面积为</w:t>
      </w:r>
      <w:r>
        <w:rPr>
          <w:rFonts w:hint="eastAsia" w:ascii="Times New Roman" w:hAnsi="Times New Roman"/>
          <w:highlight w:val="none"/>
          <w:lang w:val="en-US" w:eastAsia="zh-CN"/>
        </w:rPr>
        <w:t>84848.73</w:t>
      </w:r>
      <w:r>
        <w:rPr>
          <w:rFonts w:hint="eastAsia" w:ascii="Times New Roman" w:hAnsi="Times New Roman"/>
        </w:rPr>
        <w:t>公顷</w:t>
      </w:r>
      <w:r>
        <w:rPr>
          <w:rFonts w:ascii="Times New Roman" w:hAnsi="Times New Roman"/>
        </w:rPr>
        <w:t>。</w:t>
      </w:r>
    </w:p>
    <w:p w14:paraId="2358E951">
      <w:pPr>
        <w:pStyle w:val="5"/>
        <w:jc w:val="left"/>
        <w:rPr>
          <w:rFonts w:hint="eastAsia" w:ascii="Times New Roman" w:hAnsi="Times New Roman" w:eastAsia="宋体"/>
          <w:lang w:val="en-US" w:eastAsia="zh-CN"/>
        </w:rPr>
      </w:pPr>
      <w:r>
        <w:rPr>
          <w:rFonts w:hint="eastAsia" w:ascii="Times New Roman" w:hAnsi="Times New Roman" w:eastAsia="宋体"/>
          <w:lang w:val="en-US" w:eastAsia="zh-CN"/>
        </w:rPr>
        <w:t>3.</w:t>
      </w:r>
      <w:r>
        <w:rPr>
          <w:rFonts w:hint="eastAsia" w:ascii="Times New Roman" w:hAnsi="Times New Roman"/>
          <w:lang w:val="en-US" w:eastAsia="zh-CN"/>
        </w:rPr>
        <w:t>5</w:t>
      </w:r>
      <w:r>
        <w:rPr>
          <w:rFonts w:hint="eastAsia" w:ascii="Times New Roman" w:hAnsi="Times New Roman" w:eastAsia="宋体"/>
          <w:lang w:val="en-US" w:eastAsia="zh-CN"/>
        </w:rPr>
        <w:t>.1.</w:t>
      </w:r>
      <w:r>
        <w:rPr>
          <w:rFonts w:hint="eastAsia" w:ascii="Times New Roman" w:hAnsi="Times New Roman"/>
          <w:lang w:val="en-US" w:eastAsia="zh-CN"/>
        </w:rPr>
        <w:t>4 水土保持区</w:t>
      </w:r>
      <w:r>
        <w:rPr>
          <w:rFonts w:hint="eastAsia" w:ascii="Times New Roman" w:hAnsi="Times New Roman" w:eastAsia="宋体"/>
          <w:lang w:val="en-US" w:eastAsia="zh-CN"/>
        </w:rPr>
        <w:t>限养区</w:t>
      </w:r>
    </w:p>
    <w:p w14:paraId="75BD8ACE">
      <w:pPr>
        <w:numPr>
          <w:ilvl w:val="0"/>
          <w:numId w:val="0"/>
        </w:numPr>
        <w:spacing w:line="360" w:lineRule="auto"/>
        <w:ind w:firstLine="560" w:firstLineChars="200"/>
        <w:jc w:val="both"/>
        <w:rPr>
          <w:rFonts w:hint="eastAsia" w:ascii="Times New Roman" w:hAnsi="Times New Roman"/>
          <w:lang w:val="en-US" w:eastAsia="zh-CN"/>
        </w:rPr>
      </w:pPr>
      <w:r>
        <w:rPr>
          <w:rFonts w:hint="eastAsia" w:ascii="Times New Roman" w:hAnsi="Times New Roman"/>
          <w:lang w:val="en-US" w:eastAsia="zh-CN"/>
        </w:rPr>
        <w:t>依据生态保护红线将</w:t>
      </w:r>
      <w:r>
        <w:rPr>
          <w:rFonts w:hint="eastAsia"/>
          <w:lang w:val="en-US" w:eastAsia="zh-CN"/>
        </w:rPr>
        <w:t>水土保持</w:t>
      </w:r>
      <w:r>
        <w:rPr>
          <w:rFonts w:hint="eastAsia" w:ascii="Times New Roman" w:hAnsi="Times New Roman"/>
          <w:lang w:val="en-US" w:eastAsia="zh-CN"/>
        </w:rPr>
        <w:t>区非核心区域划定为限养区域，总限养区面积为44458.75公顷。</w:t>
      </w:r>
    </w:p>
    <w:p w14:paraId="124BF3FD">
      <w:pPr>
        <w:numPr>
          <w:ilvl w:val="0"/>
          <w:numId w:val="0"/>
        </w:numPr>
        <w:spacing w:line="360" w:lineRule="auto"/>
        <w:ind w:left="0" w:leftChars="0" w:firstLine="0" w:firstLineChars="0"/>
        <w:jc w:val="center"/>
        <w:rPr>
          <w:rFonts w:hint="default" w:ascii="Times New Roman" w:hAnsi="Times New Roman"/>
          <w:lang w:val="en-US" w:eastAsia="zh-CN"/>
        </w:rPr>
      </w:pPr>
      <w:r>
        <w:rPr>
          <w:rFonts w:hint="default" w:ascii="Times New Roman" w:hAnsi="Times New Roman"/>
          <w:lang w:val="en-US" w:eastAsia="zh-CN"/>
        </w:rPr>
        <w:drawing>
          <wp:inline distT="0" distB="0" distL="114300" distR="114300">
            <wp:extent cx="4481195" cy="6072505"/>
            <wp:effectExtent l="0" t="0" r="14605" b="4445"/>
            <wp:docPr id="13" name="图片 13" descr="F:/2025.10养殖滩涂水域规划/嘉荫县/五次修改/图件/限养区图/限养区规划图-生态保护红线.jpg限养区规划图-生态保护红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2025.10养殖滩涂水域规划/嘉荫县/五次修改/图件/限养区图/限养区规划图-生态保护红线.jpg限养区规划图-生态保护红线"/>
                    <pic:cNvPicPr>
                      <a:picLocks noChangeAspect="1"/>
                    </pic:cNvPicPr>
                  </pic:nvPicPr>
                  <pic:blipFill>
                    <a:blip r:embed="rId29"/>
                    <a:srcRect l="16" r="16"/>
                    <a:stretch>
                      <a:fillRect/>
                    </a:stretch>
                  </pic:blipFill>
                  <pic:spPr>
                    <a:xfrm>
                      <a:off x="0" y="0"/>
                      <a:ext cx="4481195" cy="6072505"/>
                    </a:xfrm>
                    <a:prstGeom prst="rect">
                      <a:avLst/>
                    </a:prstGeom>
                  </pic:spPr>
                </pic:pic>
              </a:graphicData>
            </a:graphic>
          </wp:inline>
        </w:drawing>
      </w:r>
    </w:p>
    <w:p w14:paraId="36BF7F10">
      <w:pPr>
        <w:numPr>
          <w:ilvl w:val="0"/>
          <w:numId w:val="0"/>
        </w:numPr>
        <w:spacing w:line="360" w:lineRule="auto"/>
        <w:jc w:val="center"/>
        <w:rPr>
          <w:rFonts w:ascii="Times New Roman" w:hAnsi="Times New Roman"/>
          <w:sz w:val="21"/>
          <w:szCs w:val="21"/>
        </w:rPr>
      </w:pPr>
      <w:r>
        <w:rPr>
          <w:rFonts w:hint="eastAsia" w:ascii="宋体" w:hAnsi="宋体" w:eastAsia="宋体" w:cs="宋体"/>
          <w:sz w:val="21"/>
          <w:szCs w:val="21"/>
          <w:highlight w:val="none"/>
          <w:lang w:val="en-US" w:eastAsia="zh-CN"/>
        </w:rPr>
        <w:t>图3-1</w:t>
      </w:r>
      <w:r>
        <w:rPr>
          <w:rFonts w:hint="eastAsia" w:ascii="宋体" w:hAnsi="宋体" w:cs="宋体"/>
          <w:sz w:val="21"/>
          <w:szCs w:val="21"/>
          <w:highlight w:val="none"/>
          <w:lang w:val="en-US" w:eastAsia="zh-CN"/>
        </w:rPr>
        <w:t>2 嘉荫</w:t>
      </w:r>
      <w:r>
        <w:rPr>
          <w:rFonts w:hint="eastAsia" w:ascii="宋体" w:hAnsi="宋体" w:eastAsia="宋体" w:cs="宋体"/>
          <w:sz w:val="21"/>
          <w:szCs w:val="21"/>
          <w:highlight w:val="none"/>
          <w:lang w:val="en-US" w:eastAsia="zh-CN"/>
        </w:rPr>
        <w:t>县养殖水域滩涂规划生态保护红线限养区规划图</w:t>
      </w:r>
    </w:p>
    <w:p w14:paraId="1FC6864C">
      <w:pPr>
        <w:pStyle w:val="4"/>
        <w:bidi w:val="0"/>
        <w:rPr>
          <w:rFonts w:hint="eastAsia"/>
          <w:lang w:val="en-US" w:eastAsia="zh-CN"/>
        </w:rPr>
      </w:pPr>
      <w:bookmarkStart w:id="66" w:name="_Toc7716"/>
      <w:r>
        <w:rPr>
          <w:rFonts w:hint="eastAsia"/>
          <w:lang w:val="en-US" w:eastAsia="zh-CN"/>
        </w:rPr>
        <w:t>3.5.2 饮用水水源地二级保护区限养区</w:t>
      </w:r>
      <w:bookmarkEnd w:id="66"/>
    </w:p>
    <w:p w14:paraId="339A43A1">
      <w:pPr>
        <w:numPr>
          <w:ilvl w:val="0"/>
          <w:numId w:val="0"/>
        </w:numPr>
        <w:spacing w:line="360" w:lineRule="auto"/>
        <w:ind w:firstLine="560" w:firstLineChars="200"/>
        <w:jc w:val="both"/>
        <w:rPr>
          <w:rFonts w:hint="eastAsia"/>
          <w:lang w:val="en-US" w:eastAsia="zh-CN"/>
        </w:rPr>
        <w:sectPr>
          <w:pgSz w:w="11906" w:h="16838"/>
          <w:pgMar w:top="1531" w:right="1247" w:bottom="1417" w:left="1417" w:header="851" w:footer="992" w:gutter="0"/>
          <w:pgNumType w:fmt="decimal"/>
          <w:cols w:space="425" w:num="1"/>
          <w:rtlGutter w:val="0"/>
          <w:docGrid w:type="lines" w:linePitch="312" w:charSpace="0"/>
        </w:sectPr>
      </w:pPr>
      <w:r>
        <w:t>嘉荫县朝阳镇饮用水水源地</w:t>
      </w:r>
      <w:r>
        <w:rPr>
          <w:rFonts w:hint="eastAsia"/>
        </w:rPr>
        <w:t>二级保护区北侧以黑龙江国界为界，保留200</w:t>
      </w:r>
      <w:r>
        <w:rPr>
          <w:rFonts w:hint="eastAsia"/>
          <w:lang w:eastAsia="zh-CN"/>
        </w:rPr>
        <w:t>米</w:t>
      </w:r>
      <w:r>
        <w:rPr>
          <w:rFonts w:hint="eastAsia"/>
        </w:rPr>
        <w:t>航道宽度，所形成的界线为二级保护区北侧界线。南侧考虑到丘陵与黑龙江阶地为不同的水文地质单元，潜水的水力联系相对较弱，同时丘陵区植被均为生态环境良好的树林，人类活动轻微没有污染源，因此二级保护区南侧以黑龙江阶地与丘陵区的地貌界线为界。西侧以一级保护区边界为起点，向外径向距离2000</w:t>
      </w:r>
      <w:r>
        <w:rPr>
          <w:rFonts w:hint="eastAsia"/>
          <w:lang w:eastAsia="zh-CN"/>
        </w:rPr>
        <w:t>米</w:t>
      </w:r>
      <w:r>
        <w:rPr>
          <w:rFonts w:hint="eastAsia"/>
        </w:rPr>
        <w:t>的范围为界。东侧考虑到嘉荫县城发展，东侧若以一级保护区边界为起点，向外径向距离2000</w:t>
      </w:r>
      <w:r>
        <w:rPr>
          <w:rFonts w:hint="eastAsia"/>
          <w:lang w:eastAsia="zh-CN"/>
        </w:rPr>
        <w:t>米</w:t>
      </w:r>
      <w:r>
        <w:rPr>
          <w:rFonts w:hint="eastAsia"/>
        </w:rPr>
        <w:t>的范围为界，则二级保护区东侧边界应扩至满洲龙路，届时嘉荫县主城区也将纳入保护区中，由于调整后井群位置整体向西偏移，且东侧嘉荫县城区为水源地下游，因此，二级保护区东侧以城市规划区的外围边界线为界。</w:t>
      </w:r>
      <w:r>
        <w:rPr>
          <w:rFonts w:hint="eastAsia"/>
          <w:lang w:val="en-US" w:eastAsia="zh-CN"/>
        </w:rPr>
        <w:t>饮用水水源地二级保护区限养区划定面积为69.86公顷。</w:t>
      </w:r>
    </w:p>
    <w:p w14:paraId="1F5C04A9">
      <w:pPr>
        <w:numPr>
          <w:ilvl w:val="0"/>
          <w:numId w:val="0"/>
        </w:numPr>
        <w:spacing w:line="360" w:lineRule="auto"/>
        <w:ind w:left="0" w:leftChars="0" w:firstLine="0" w:firstLineChars="0"/>
        <w:jc w:val="both"/>
        <w:rPr>
          <w:rFonts w:hint="default"/>
          <w:lang w:val="en-US" w:eastAsia="zh-CN"/>
        </w:rPr>
      </w:pPr>
      <w:r>
        <w:rPr>
          <w:rFonts w:hint="default"/>
          <w:lang w:val="en-US" w:eastAsia="zh-CN"/>
        </w:rPr>
        <w:drawing>
          <wp:inline distT="0" distB="0" distL="114300" distR="114300">
            <wp:extent cx="5899785" cy="7994015"/>
            <wp:effectExtent l="0" t="0" r="5715" b="6985"/>
            <wp:docPr id="14" name="图片 14" descr="F:/2025.10养殖滩涂水域规划/嘉荫县/二次修改/图件/限养区图/限养区规划图-饮用水水源地二级保护区.jpg限养区规划图-饮用水水源地二级保护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2025.10养殖滩涂水域规划/嘉荫县/二次修改/图件/限养区图/限养区规划图-饮用水水源地二级保护区.jpg限养区规划图-饮用水水源地二级保护区"/>
                    <pic:cNvPicPr>
                      <a:picLocks noChangeAspect="1"/>
                    </pic:cNvPicPr>
                  </pic:nvPicPr>
                  <pic:blipFill>
                    <a:blip r:embed="rId30"/>
                    <a:srcRect l="8" r="8"/>
                    <a:stretch>
                      <a:fillRect/>
                    </a:stretch>
                  </pic:blipFill>
                  <pic:spPr>
                    <a:xfrm>
                      <a:off x="0" y="0"/>
                      <a:ext cx="5899785" cy="7994015"/>
                    </a:xfrm>
                    <a:prstGeom prst="rect">
                      <a:avLst/>
                    </a:prstGeom>
                  </pic:spPr>
                </pic:pic>
              </a:graphicData>
            </a:graphic>
          </wp:inline>
        </w:drawing>
      </w:r>
    </w:p>
    <w:p w14:paraId="131578F1">
      <w:pPr>
        <w:numPr>
          <w:ilvl w:val="0"/>
          <w:numId w:val="0"/>
        </w:numPr>
        <w:spacing w:line="360" w:lineRule="auto"/>
        <w:jc w:val="center"/>
        <w:rPr>
          <w:rFonts w:ascii="Times New Roman" w:hAnsi="Times New Roman"/>
          <w:sz w:val="21"/>
          <w:szCs w:val="21"/>
        </w:rPr>
      </w:pPr>
      <w:r>
        <w:rPr>
          <w:rFonts w:hint="eastAsia" w:ascii="宋体" w:hAnsi="宋体" w:eastAsia="宋体" w:cs="宋体"/>
          <w:sz w:val="21"/>
          <w:szCs w:val="21"/>
          <w:highlight w:val="none"/>
          <w:lang w:val="en-US" w:eastAsia="zh-CN"/>
        </w:rPr>
        <w:t>图3-1</w:t>
      </w:r>
      <w:r>
        <w:rPr>
          <w:rFonts w:hint="eastAsia" w:ascii="宋体" w:hAnsi="宋体" w:cs="宋体"/>
          <w:sz w:val="21"/>
          <w:szCs w:val="21"/>
          <w:highlight w:val="none"/>
          <w:lang w:val="en-US" w:eastAsia="zh-CN"/>
        </w:rPr>
        <w:t>3 嘉荫</w:t>
      </w:r>
      <w:r>
        <w:rPr>
          <w:rFonts w:hint="eastAsia" w:ascii="宋体" w:hAnsi="宋体" w:eastAsia="宋体" w:cs="宋体"/>
          <w:sz w:val="21"/>
          <w:szCs w:val="21"/>
          <w:highlight w:val="none"/>
          <w:lang w:val="en-US" w:eastAsia="zh-CN"/>
        </w:rPr>
        <w:t>县养殖水域滩涂规划饮用水水源地二级保护区限养区规划图</w:t>
      </w:r>
    </w:p>
    <w:p w14:paraId="413FF34E">
      <w:pPr>
        <w:rPr>
          <w:sz w:val="21"/>
          <w:szCs w:val="21"/>
        </w:rPr>
        <w:sectPr>
          <w:footerReference r:id="rId11" w:type="first"/>
          <w:footerReference r:id="rId10" w:type="default"/>
          <w:pgSz w:w="11907" w:h="16840"/>
          <w:pgMar w:top="1531" w:right="1247" w:bottom="1417" w:left="1417" w:header="851" w:footer="992" w:gutter="0"/>
          <w:pgBorders w:offsetFrom="page">
            <w:top w:val="none" w:sz="0" w:space="0"/>
            <w:left w:val="none" w:sz="0" w:space="0"/>
            <w:bottom w:val="none" w:sz="0" w:space="0"/>
            <w:right w:val="none" w:sz="0" w:space="0"/>
          </w:pgBorders>
          <w:pgNumType w:fmt="decimal"/>
          <w:cols w:space="720" w:num="1"/>
          <w:titlePg/>
          <w:rtlGutter w:val="0"/>
          <w:docGrid w:linePitch="312" w:charSpace="0"/>
        </w:sectPr>
      </w:pPr>
    </w:p>
    <w:p w14:paraId="2FEFB722">
      <w:pPr>
        <w:pStyle w:val="4"/>
        <w:bidi w:val="0"/>
        <w:rPr>
          <w:rFonts w:hint="eastAsia" w:cs="Times New Roman"/>
          <w:lang w:val="en-US" w:eastAsia="zh-CN"/>
        </w:rPr>
      </w:pPr>
      <w:bookmarkStart w:id="67" w:name="_Toc29297"/>
      <w:r>
        <w:rPr>
          <w:rFonts w:hint="eastAsia"/>
          <w:lang w:val="en-US" w:eastAsia="zh-CN"/>
        </w:rPr>
        <w:t xml:space="preserve">3.5.3 </w:t>
      </w:r>
      <w:r>
        <w:rPr>
          <w:rFonts w:hint="eastAsia" w:cs="Times New Roman"/>
          <w:lang w:val="en-US" w:eastAsia="zh-CN"/>
        </w:rPr>
        <w:t>国家级水产种质资源保护区实验区</w:t>
      </w:r>
    </w:p>
    <w:p w14:paraId="41DB75A9">
      <w:pPr>
        <w:numPr>
          <w:ilvl w:val="0"/>
          <w:numId w:val="0"/>
        </w:numPr>
        <w:spacing w:line="360" w:lineRule="auto"/>
        <w:ind w:firstLine="560" w:firstLineChars="200"/>
        <w:jc w:val="both"/>
        <w:rPr>
          <w:rFonts w:hint="eastAsia" w:cs="Times New Roman"/>
          <w:lang w:val="en-US" w:eastAsia="zh-CN"/>
        </w:rPr>
      </w:pPr>
      <w:r>
        <w:rPr>
          <w:rFonts w:hint="eastAsia"/>
          <w:lang w:val="en-US" w:eastAsia="zh-CN"/>
        </w:rPr>
        <w:t>国家级水产种质资源保护区中的实验区划定为限养区，实验区总面积为</w:t>
      </w:r>
      <w:r>
        <w:rPr>
          <w:rFonts w:hint="default"/>
          <w:lang w:val="en-US" w:eastAsia="zh-CN"/>
        </w:rPr>
        <w:t>563</w:t>
      </w:r>
      <w:r>
        <w:rPr>
          <w:rFonts w:hint="eastAsia"/>
          <w:lang w:val="en-US" w:eastAsia="zh-CN"/>
        </w:rPr>
        <w:t>.</w:t>
      </w:r>
      <w:r>
        <w:rPr>
          <w:rFonts w:hint="default"/>
          <w:lang w:val="en-US" w:eastAsia="zh-CN"/>
        </w:rPr>
        <w:t>8</w:t>
      </w:r>
      <w:r>
        <w:rPr>
          <w:rFonts w:hint="eastAsia"/>
          <w:lang w:val="en-US" w:eastAsia="zh-CN"/>
        </w:rPr>
        <w:t>4公顷，实验区范围与</w:t>
      </w:r>
      <w:r>
        <w:rPr>
          <w:rFonts w:hint="eastAsia" w:ascii="Times New Roman" w:hAnsi="Times New Roman" w:eastAsia="宋体"/>
          <w:lang w:val="en-US" w:eastAsia="zh-CN"/>
        </w:rPr>
        <w:t>河湖自然岸线禁养区</w:t>
      </w:r>
      <w:r>
        <w:rPr>
          <w:rFonts w:hint="eastAsia"/>
          <w:lang w:val="en-US" w:eastAsia="zh-CN"/>
        </w:rPr>
        <w:t>范围有交叉重叠部分，此部分面积为561.63公顷，实际划定国</w:t>
      </w:r>
      <w:r>
        <w:rPr>
          <w:rFonts w:hint="eastAsia" w:cs="Times New Roman"/>
          <w:lang w:val="en-US" w:eastAsia="zh-CN"/>
        </w:rPr>
        <w:t>家级水产种质资源保护区实验区限养区面积为2.21公顷。</w:t>
      </w:r>
    </w:p>
    <w:p w14:paraId="3214BC26">
      <w:pPr>
        <w:numPr>
          <w:ilvl w:val="0"/>
          <w:numId w:val="0"/>
        </w:numPr>
        <w:spacing w:line="360" w:lineRule="auto"/>
        <w:ind w:left="0" w:leftChars="0" w:firstLine="0" w:firstLineChars="0"/>
        <w:jc w:val="center"/>
        <w:rPr>
          <w:rFonts w:hint="default" w:cs="Times New Roman"/>
          <w:lang w:val="en-US" w:eastAsia="zh-CN"/>
        </w:rPr>
      </w:pPr>
      <w:r>
        <w:rPr>
          <w:rFonts w:hint="default" w:cs="Times New Roman"/>
          <w:lang w:val="en-US" w:eastAsia="zh-CN"/>
        </w:rPr>
        <w:drawing>
          <wp:inline distT="0" distB="0" distL="114300" distR="114300">
            <wp:extent cx="4806950" cy="6513195"/>
            <wp:effectExtent l="0" t="0" r="12700" b="1905"/>
            <wp:docPr id="22" name="图片 22" descr="限养区规划图-国家级水产种质资源保护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限养区规划图-国家级水产种质资源保护区"/>
                    <pic:cNvPicPr>
                      <a:picLocks noChangeAspect="1"/>
                    </pic:cNvPicPr>
                  </pic:nvPicPr>
                  <pic:blipFill>
                    <a:blip r:embed="rId31"/>
                    <a:stretch>
                      <a:fillRect/>
                    </a:stretch>
                  </pic:blipFill>
                  <pic:spPr>
                    <a:xfrm>
                      <a:off x="0" y="0"/>
                      <a:ext cx="4806950" cy="6513195"/>
                    </a:xfrm>
                    <a:prstGeom prst="rect">
                      <a:avLst/>
                    </a:prstGeom>
                  </pic:spPr>
                </pic:pic>
              </a:graphicData>
            </a:graphic>
          </wp:inline>
        </w:drawing>
      </w:r>
    </w:p>
    <w:p w14:paraId="5C72C98A">
      <w:pPr>
        <w:numPr>
          <w:ilvl w:val="0"/>
          <w:numId w:val="0"/>
        </w:numPr>
        <w:spacing w:line="360" w:lineRule="auto"/>
        <w:jc w:val="center"/>
        <w:rPr>
          <w:rFonts w:ascii="Times New Roman" w:hAnsi="Times New Roman"/>
          <w:sz w:val="21"/>
          <w:szCs w:val="21"/>
        </w:rPr>
      </w:pPr>
      <w:r>
        <w:rPr>
          <w:rFonts w:hint="eastAsia" w:ascii="宋体" w:hAnsi="宋体" w:eastAsia="宋体" w:cs="宋体"/>
          <w:sz w:val="21"/>
          <w:szCs w:val="21"/>
          <w:highlight w:val="none"/>
          <w:lang w:val="en-US" w:eastAsia="zh-CN"/>
        </w:rPr>
        <w:t>图3-1</w:t>
      </w:r>
      <w:r>
        <w:rPr>
          <w:rFonts w:hint="eastAsia" w:ascii="宋体" w:hAnsi="宋体" w:cs="宋体"/>
          <w:sz w:val="21"/>
          <w:szCs w:val="21"/>
          <w:highlight w:val="none"/>
          <w:lang w:val="en-US" w:eastAsia="zh-CN"/>
        </w:rPr>
        <w:t>4 嘉荫</w:t>
      </w:r>
      <w:r>
        <w:rPr>
          <w:rFonts w:hint="eastAsia" w:ascii="宋体" w:hAnsi="宋体" w:eastAsia="宋体" w:cs="宋体"/>
          <w:sz w:val="21"/>
          <w:szCs w:val="21"/>
          <w:highlight w:val="none"/>
          <w:lang w:val="en-US" w:eastAsia="zh-CN"/>
        </w:rPr>
        <w:t>县养殖水域滩涂规划国家级水产种质资源保护区限养区规划图</w:t>
      </w:r>
    </w:p>
    <w:p w14:paraId="2E5085E1">
      <w:pPr>
        <w:rPr>
          <w:sz w:val="21"/>
          <w:szCs w:val="21"/>
        </w:rPr>
        <w:sectPr>
          <w:footerReference r:id="rId13" w:type="first"/>
          <w:footerReference r:id="rId12" w:type="default"/>
          <w:pgSz w:w="11907" w:h="16840"/>
          <w:pgMar w:top="1531" w:right="1247" w:bottom="1417" w:left="1417" w:header="851" w:footer="992" w:gutter="0"/>
          <w:pgBorders w:offsetFrom="page">
            <w:top w:val="none" w:sz="0" w:space="0"/>
            <w:left w:val="none" w:sz="0" w:space="0"/>
            <w:bottom w:val="none" w:sz="0" w:space="0"/>
            <w:right w:val="none" w:sz="0" w:space="0"/>
          </w:pgBorders>
          <w:pgNumType w:fmt="decimal"/>
          <w:cols w:space="720" w:num="1"/>
          <w:titlePg/>
          <w:rtlGutter w:val="0"/>
          <w:docGrid w:linePitch="312" w:charSpace="0"/>
        </w:sectPr>
      </w:pPr>
    </w:p>
    <w:p w14:paraId="4FF36BF7">
      <w:pPr>
        <w:pStyle w:val="3"/>
        <w:jc w:val="left"/>
        <w:rPr>
          <w:rFonts w:hint="eastAsia" w:ascii="Times New Roman" w:hAnsi="Times New Roman"/>
        </w:rPr>
      </w:pPr>
      <w:bookmarkStart w:id="68" w:name="_Toc28860"/>
      <w:r>
        <w:rPr>
          <w:rFonts w:hint="eastAsia" w:ascii="Times New Roman" w:hAnsi="Times New Roman"/>
        </w:rPr>
        <w:t>3.</w:t>
      </w:r>
      <w:r>
        <w:rPr>
          <w:rFonts w:hint="eastAsia" w:ascii="Times New Roman" w:hAnsi="Times New Roman"/>
          <w:lang w:val="en-US" w:eastAsia="zh-CN"/>
        </w:rPr>
        <w:t>6</w:t>
      </w:r>
      <w:r>
        <w:rPr>
          <w:rFonts w:hint="eastAsia" w:ascii="Times New Roman" w:hAnsi="Times New Roman"/>
        </w:rPr>
        <w:t xml:space="preserve"> 养殖区</w:t>
      </w:r>
      <w:bookmarkEnd w:id="67"/>
      <w:bookmarkEnd w:id="68"/>
    </w:p>
    <w:p w14:paraId="7D5F9F05">
      <w:pPr>
        <w:numPr>
          <w:ilvl w:val="0"/>
          <w:numId w:val="0"/>
        </w:numPr>
        <w:spacing w:line="360" w:lineRule="auto"/>
        <w:ind w:firstLine="560" w:firstLineChars="200"/>
        <w:jc w:val="both"/>
        <w:rPr>
          <w:rFonts w:hint="eastAsia"/>
          <w:lang w:val="en-US" w:eastAsia="zh-CN"/>
        </w:rPr>
      </w:pPr>
      <w:r>
        <w:rPr>
          <w:rFonts w:hint="eastAsia"/>
        </w:rPr>
        <w:t>根据</w:t>
      </w:r>
      <w:r>
        <w:rPr>
          <w:rFonts w:hint="eastAsia"/>
          <w:lang w:val="en-US" w:eastAsia="zh-CN"/>
        </w:rPr>
        <w:t>嘉荫县</w:t>
      </w:r>
      <w:r>
        <w:rPr>
          <w:rFonts w:hint="eastAsia"/>
        </w:rPr>
        <w:t>开发利用现状，结合</w:t>
      </w:r>
      <w:r>
        <w:rPr>
          <w:rFonts w:hint="eastAsia"/>
          <w:lang w:val="en-US" w:eastAsia="zh-CN"/>
        </w:rPr>
        <w:t>嘉荫县</w:t>
      </w:r>
      <w:r>
        <w:rPr>
          <w:rFonts w:hint="eastAsia"/>
        </w:rPr>
        <w:t>总体规划和各类保护区规划除去已划入禁养区和限养区的水域滩涂，</w:t>
      </w:r>
      <w:r>
        <w:rPr>
          <w:rFonts w:hint="eastAsia"/>
          <w:lang w:val="en-US" w:eastAsia="zh-CN"/>
        </w:rPr>
        <w:t>嘉荫县</w:t>
      </w:r>
      <w:r>
        <w:rPr>
          <w:rFonts w:hint="eastAsia"/>
        </w:rPr>
        <w:t>适用于养殖水域滩涂以</w:t>
      </w:r>
      <w:r>
        <w:rPr>
          <w:rFonts w:hint="eastAsia"/>
          <w:lang w:val="en-US" w:eastAsia="zh-CN"/>
        </w:rPr>
        <w:t>河流水面和坑塘水面</w:t>
      </w:r>
      <w:r>
        <w:rPr>
          <w:rFonts w:hint="eastAsia"/>
        </w:rPr>
        <w:t>为主，共划定养殖区规划面积</w:t>
      </w:r>
      <w:r>
        <w:rPr>
          <w:rFonts w:hint="eastAsia"/>
          <w:lang w:val="en-US" w:eastAsia="zh-CN"/>
        </w:rPr>
        <w:t>846.44公顷</w:t>
      </w:r>
      <w:r>
        <w:rPr>
          <w:rFonts w:hint="eastAsia"/>
        </w:rPr>
        <w:t>，</w:t>
      </w:r>
      <w:r>
        <w:rPr>
          <w:rFonts w:hint="eastAsia"/>
          <w:lang w:val="en-US" w:eastAsia="zh-CN"/>
        </w:rPr>
        <w:t>养殖水域面积</w:t>
      </w:r>
      <w:r>
        <w:rPr>
          <w:rFonts w:hint="eastAsia"/>
        </w:rPr>
        <w:t>见表3-</w:t>
      </w:r>
      <w:r>
        <w:rPr>
          <w:rFonts w:hint="eastAsia"/>
          <w:lang w:val="en-US" w:eastAsia="zh-CN"/>
        </w:rPr>
        <w:t>7，功能区规划见图3-15。</w:t>
      </w:r>
    </w:p>
    <w:p w14:paraId="2D0A2934">
      <w:pPr>
        <w:numPr>
          <w:ilvl w:val="0"/>
          <w:numId w:val="0"/>
        </w:numPr>
        <w:ind w:left="0" w:leftChars="0" w:firstLine="0" w:firstLineChars="0"/>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表3-7 嘉荫县养殖区面积表</w:t>
      </w:r>
    </w:p>
    <w:p w14:paraId="1F6471CD">
      <w:pPr>
        <w:keepNext w:val="0"/>
        <w:keepLines w:val="0"/>
        <w:widowControl/>
        <w:suppressLineNumbers w:val="0"/>
        <w:tabs>
          <w:tab w:val="left" w:pos="7560"/>
          <w:tab w:val="left" w:pos="8400"/>
          <w:tab w:val="left" w:pos="8680"/>
        </w:tabs>
        <w:ind w:left="0" w:leftChars="0" w:right="840" w:rightChars="300" w:firstLine="6998" w:firstLineChars="3181"/>
        <w:jc w:val="left"/>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单位：公顷</w:t>
      </w:r>
    </w:p>
    <w:tbl>
      <w:tblPr>
        <w:tblStyle w:val="12"/>
        <w:tblW w:w="73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55"/>
        <w:gridCol w:w="1275"/>
        <w:gridCol w:w="1356"/>
        <w:gridCol w:w="1356"/>
        <w:gridCol w:w="1357"/>
      </w:tblGrid>
      <w:tr w14:paraId="641C6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20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517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行政区</w:t>
            </w:r>
          </w:p>
        </w:tc>
        <w:tc>
          <w:tcPr>
            <w:tcW w:w="12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C761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可养区</w:t>
            </w:r>
          </w:p>
          <w:p w14:paraId="18AC6EA8">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面积</w:t>
            </w:r>
          </w:p>
        </w:tc>
        <w:tc>
          <w:tcPr>
            <w:tcW w:w="4069" w:type="dxa"/>
            <w:gridSpan w:val="3"/>
            <w:tcBorders>
              <w:top w:val="single" w:color="000000" w:sz="4" w:space="0"/>
              <w:left w:val="single" w:color="000000" w:sz="4" w:space="0"/>
              <w:bottom w:val="single" w:color="000000" w:sz="4" w:space="0"/>
              <w:right w:val="single" w:color="auto" w:sz="4" w:space="0"/>
            </w:tcBorders>
            <w:shd w:val="clear" w:color="auto" w:fill="auto"/>
            <w:noWrap/>
            <w:vAlign w:val="center"/>
          </w:tcPr>
          <w:p w14:paraId="30CB0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w:t>
            </w:r>
          </w:p>
        </w:tc>
      </w:tr>
      <w:tr w14:paraId="75163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B2F26">
            <w:pPr>
              <w:jc w:val="center"/>
              <w:rPr>
                <w:rFonts w:hint="eastAsia" w:ascii="宋体" w:hAnsi="宋体" w:eastAsia="宋体" w:cs="宋体"/>
                <w:i w:val="0"/>
                <w:iCs w:val="0"/>
                <w:color w:val="000000"/>
                <w:sz w:val="22"/>
                <w:szCs w:val="22"/>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33ADA">
            <w:pPr>
              <w:jc w:val="center"/>
              <w:rPr>
                <w:rFonts w:hint="eastAsia" w:ascii="宋体" w:hAnsi="宋体" w:eastAsia="宋体" w:cs="宋体"/>
                <w:i w:val="0"/>
                <w:iCs w:val="0"/>
                <w:color w:val="000000"/>
                <w:sz w:val="22"/>
                <w:szCs w:val="22"/>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FDA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河流水面</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1CD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坑塘水面</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A78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养殖坑塘</w:t>
            </w:r>
          </w:p>
        </w:tc>
      </w:tr>
      <w:tr w14:paraId="4CC9A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6D973">
            <w:pPr>
              <w:jc w:val="center"/>
              <w:rPr>
                <w:rFonts w:hint="eastAsia" w:ascii="宋体" w:hAnsi="宋体" w:eastAsia="宋体" w:cs="宋体"/>
                <w:i w:val="0"/>
                <w:iCs w:val="0"/>
                <w:color w:val="000000"/>
                <w:sz w:val="22"/>
                <w:szCs w:val="22"/>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EF879">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5EEE1">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48391">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BF1A0">
            <w:pPr>
              <w:jc w:val="center"/>
              <w:rPr>
                <w:rFonts w:hint="eastAsia" w:ascii="宋体" w:hAnsi="宋体" w:eastAsia="宋体" w:cs="宋体"/>
                <w:i w:val="0"/>
                <w:iCs w:val="0"/>
                <w:color w:val="000000"/>
                <w:sz w:val="22"/>
                <w:szCs w:val="22"/>
                <w:u w:val="none"/>
              </w:rPr>
            </w:pPr>
          </w:p>
        </w:tc>
      </w:tr>
      <w:tr w14:paraId="47896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C7C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嘉荫县</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92A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846.44</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4B1B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386.4</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EBD6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349.13</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ECFD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110.91</w:t>
            </w:r>
          </w:p>
        </w:tc>
      </w:tr>
      <w:tr w14:paraId="022F2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FF7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朝阳镇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5EB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47.28</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589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5.47</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C8D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32.01</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4AC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9.8</w:t>
            </w:r>
          </w:p>
        </w:tc>
      </w:tr>
      <w:tr w14:paraId="763F1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570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乌云镇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82B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163.92</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EB5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3.09</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298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87.48</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0414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73.35</w:t>
            </w:r>
          </w:p>
        </w:tc>
      </w:tr>
      <w:tr w14:paraId="505FC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BE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乌拉嘎镇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18BA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138.25</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BCFF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70.62</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8EFF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67.63</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8F80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0</w:t>
            </w:r>
          </w:p>
        </w:tc>
      </w:tr>
      <w:tr w14:paraId="2DA7D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A79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保兴镇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B4CB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147.41</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554E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96.65</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284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47.11</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635C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3.65</w:t>
            </w:r>
          </w:p>
        </w:tc>
      </w:tr>
      <w:tr w14:paraId="73D09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B91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常胜乡</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5FFA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25.16</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FCB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7.68</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6106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14.91</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A7E1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2.57</w:t>
            </w:r>
          </w:p>
        </w:tc>
      </w:tr>
      <w:tr w14:paraId="1129E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DF4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向阳乡</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AB58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34.91</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A714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20.3</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B79D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14.04</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FA91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0.57</w:t>
            </w:r>
          </w:p>
        </w:tc>
      </w:tr>
      <w:tr w14:paraId="2896F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BB7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沪嘉乡</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43E2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15.07</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680B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8.83</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B3F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3.67</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178F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2.57</w:t>
            </w:r>
          </w:p>
        </w:tc>
      </w:tr>
      <w:tr w14:paraId="776C9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B10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红光乡</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C720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26.49</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906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6.97</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1D58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8.41</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6E30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11.11</w:t>
            </w:r>
          </w:p>
        </w:tc>
      </w:tr>
      <w:tr w14:paraId="1857E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2E8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青山乡</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0FF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30.5</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0751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24.59</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C05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1.89</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12D4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4.02</w:t>
            </w:r>
          </w:p>
        </w:tc>
      </w:tr>
      <w:tr w14:paraId="20527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0A3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农垦绥化管理局</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07E6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85.48</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813B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19.96</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F36A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62.25</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C391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3.27</w:t>
            </w:r>
          </w:p>
        </w:tc>
      </w:tr>
      <w:tr w14:paraId="4D892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9F1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嘉荫县鹤北林业局</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8BF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131.97</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40F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122.24</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1BEE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9.73</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DFC6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0</w:t>
            </w:r>
          </w:p>
        </w:tc>
      </w:tr>
    </w:tbl>
    <w:p w14:paraId="3C34BCEC">
      <w:pPr>
        <w:numPr>
          <w:ilvl w:val="0"/>
          <w:numId w:val="0"/>
        </w:numPr>
        <w:spacing w:line="360" w:lineRule="auto"/>
        <w:ind w:left="0" w:leftChars="0" w:firstLine="0" w:firstLineChars="0"/>
        <w:jc w:val="center"/>
        <w:rPr>
          <w:rFonts w:hint="default"/>
          <w:lang w:val="en-US" w:eastAsia="zh-CN"/>
        </w:rPr>
      </w:pPr>
      <w:r>
        <w:rPr>
          <w:rFonts w:hint="default"/>
          <w:lang w:val="en-US" w:eastAsia="zh-CN"/>
        </w:rPr>
        <w:drawing>
          <wp:inline distT="0" distB="0" distL="114300" distR="114300">
            <wp:extent cx="5821680" cy="7889240"/>
            <wp:effectExtent l="0" t="0" r="7620" b="16510"/>
            <wp:docPr id="15" name="图片 15" descr="F:/2025.10养殖滩涂水域规划/嘉荫县/五次修改/图件/全县及各乡镇养殖区图/嘉荫县养殖区规划图.jpg嘉荫县养殖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2025.10养殖滩涂水域规划/嘉荫县/五次修改/图件/全县及各乡镇养殖区图/嘉荫县养殖区规划图.jpg嘉荫县养殖区规划图"/>
                    <pic:cNvPicPr>
                      <a:picLocks noChangeAspect="1"/>
                    </pic:cNvPicPr>
                  </pic:nvPicPr>
                  <pic:blipFill>
                    <a:blip r:embed="rId32"/>
                    <a:srcRect l="16" r="16"/>
                    <a:stretch>
                      <a:fillRect/>
                    </a:stretch>
                  </pic:blipFill>
                  <pic:spPr>
                    <a:xfrm>
                      <a:off x="0" y="0"/>
                      <a:ext cx="5821680" cy="7889240"/>
                    </a:xfrm>
                    <a:prstGeom prst="rect">
                      <a:avLst/>
                    </a:prstGeom>
                  </pic:spPr>
                </pic:pic>
              </a:graphicData>
            </a:graphic>
          </wp:inline>
        </w:drawing>
      </w:r>
    </w:p>
    <w:p w14:paraId="05A19A9A">
      <w:pPr>
        <w:numPr>
          <w:ilvl w:val="0"/>
          <w:numId w:val="0"/>
        </w:numPr>
        <w:spacing w:line="360" w:lineRule="auto"/>
        <w:jc w:val="center"/>
        <w:rPr>
          <w:rFonts w:hint="default" w:ascii="宋体" w:hAnsi="宋体" w:eastAsia="宋体" w:cs="宋体"/>
          <w:sz w:val="21"/>
          <w:szCs w:val="21"/>
          <w:lang w:val="en-US"/>
        </w:rPr>
      </w:pPr>
      <w:r>
        <w:rPr>
          <w:rFonts w:hint="eastAsia" w:ascii="宋体" w:hAnsi="宋体" w:eastAsia="宋体" w:cs="宋体"/>
          <w:sz w:val="21"/>
          <w:szCs w:val="21"/>
          <w:highlight w:val="none"/>
          <w:lang w:val="en-US" w:eastAsia="zh-CN"/>
        </w:rPr>
        <w:t>图3-1</w:t>
      </w:r>
      <w:r>
        <w:rPr>
          <w:rFonts w:hint="eastAsia" w:ascii="宋体" w:hAnsi="宋体" w:cs="宋体"/>
          <w:sz w:val="21"/>
          <w:szCs w:val="21"/>
          <w:highlight w:val="none"/>
          <w:lang w:val="en-US" w:eastAsia="zh-CN"/>
        </w:rPr>
        <w:t>5 嘉荫</w:t>
      </w:r>
      <w:r>
        <w:rPr>
          <w:rFonts w:hint="eastAsia" w:ascii="宋体" w:hAnsi="宋体" w:eastAsia="宋体" w:cs="宋体"/>
          <w:sz w:val="21"/>
          <w:szCs w:val="21"/>
          <w:highlight w:val="none"/>
          <w:lang w:val="en-US" w:eastAsia="zh-CN"/>
        </w:rPr>
        <w:t>县养殖水域滩涂规划养殖区规划图</w:t>
      </w:r>
    </w:p>
    <w:p w14:paraId="0F233C4C">
      <w:pPr>
        <w:numPr>
          <w:ilvl w:val="0"/>
          <w:numId w:val="0"/>
        </w:numPr>
        <w:spacing w:line="360" w:lineRule="auto"/>
        <w:ind w:left="0" w:leftChars="0" w:firstLine="0" w:firstLineChars="0"/>
        <w:jc w:val="left"/>
        <w:rPr>
          <w:rFonts w:hint="default"/>
          <w:lang w:val="en-US" w:eastAsia="zh-CN"/>
        </w:rPr>
        <w:sectPr>
          <w:footerReference r:id="rId14" w:type="default"/>
          <w:pgSz w:w="11906" w:h="16838"/>
          <w:pgMar w:top="1531" w:right="1247" w:bottom="1417" w:left="1417" w:header="851" w:footer="992" w:gutter="0"/>
          <w:pgNumType w:fmt="decimal"/>
          <w:cols w:space="425" w:num="1"/>
          <w:rtlGutter w:val="0"/>
          <w:docGrid w:type="lines" w:linePitch="312" w:charSpace="0"/>
        </w:sectPr>
      </w:pPr>
    </w:p>
    <w:p w14:paraId="504C7549">
      <w:pPr>
        <w:pStyle w:val="2"/>
        <w:bidi w:val="0"/>
      </w:pPr>
      <w:bookmarkStart w:id="69" w:name="_Toc16685"/>
      <w:bookmarkStart w:id="70" w:name="_Toc4372"/>
      <w:r>
        <w:rPr>
          <w:rFonts w:hint="eastAsia"/>
        </w:rPr>
        <w:t>第四章 保障措施</w:t>
      </w:r>
      <w:bookmarkEnd w:id="69"/>
      <w:bookmarkEnd w:id="70"/>
    </w:p>
    <w:p w14:paraId="14DFAF83">
      <w:pPr>
        <w:pStyle w:val="3"/>
        <w:rPr>
          <w:rFonts w:ascii="Times New Roman" w:hAnsi="宋体"/>
        </w:rPr>
      </w:pPr>
      <w:bookmarkStart w:id="71" w:name="_Toc28981"/>
      <w:bookmarkStart w:id="72" w:name="_Toc7172"/>
      <w:r>
        <w:rPr>
          <w:rFonts w:ascii="Times New Roman" w:hAnsi="Times New Roman"/>
        </w:rPr>
        <w:t xml:space="preserve">4.1 </w:t>
      </w:r>
      <w:r>
        <w:rPr>
          <w:rFonts w:ascii="Times New Roman" w:hAnsi="宋体"/>
        </w:rPr>
        <w:t>加强组织领导</w:t>
      </w:r>
      <w:bookmarkEnd w:id="71"/>
      <w:bookmarkEnd w:id="72"/>
    </w:p>
    <w:p w14:paraId="33396353">
      <w:pPr>
        <w:keepNext w:val="0"/>
        <w:keepLines w:val="0"/>
        <w:widowControl/>
        <w:suppressLineNumbers w:val="0"/>
        <w:ind w:firstLine="560" w:firstLineChars="200"/>
        <w:jc w:val="left"/>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养殖水域滩涂规划是综合性系统工程，编制水域滩涂规划涉及面广，政策性强，工作量大，</w:t>
      </w:r>
      <w:r>
        <w:rPr>
          <w:rFonts w:hint="eastAsia" w:ascii="宋体" w:hAnsi="宋体" w:cs="宋体"/>
          <w:color w:val="000000"/>
          <w:kern w:val="0"/>
          <w:sz w:val="28"/>
          <w:szCs w:val="28"/>
          <w:lang w:val="en-US" w:eastAsia="zh-CN" w:bidi="ar"/>
        </w:rPr>
        <w:t>嘉荫县</w:t>
      </w:r>
      <w:r>
        <w:rPr>
          <w:rFonts w:hint="eastAsia" w:ascii="宋体" w:hAnsi="宋体" w:eastAsia="宋体" w:cs="宋体"/>
          <w:color w:val="000000"/>
          <w:kern w:val="0"/>
          <w:sz w:val="28"/>
          <w:szCs w:val="28"/>
          <w:lang w:val="en-US" w:eastAsia="zh-CN" w:bidi="ar"/>
        </w:rPr>
        <w:t>政府充分认识</w:t>
      </w:r>
      <w:r>
        <w:rPr>
          <w:rFonts w:hint="eastAsia" w:ascii="宋体" w:hAnsi="宋体" w:cs="宋体"/>
          <w:color w:val="000000"/>
          <w:kern w:val="0"/>
          <w:sz w:val="28"/>
          <w:szCs w:val="28"/>
          <w:lang w:val="en-US" w:eastAsia="zh-CN" w:bidi="ar"/>
        </w:rPr>
        <w:t>到</w:t>
      </w:r>
      <w:r>
        <w:rPr>
          <w:rFonts w:hint="eastAsia" w:ascii="宋体" w:hAnsi="宋体" w:eastAsia="宋体" w:cs="宋体"/>
          <w:color w:val="000000"/>
          <w:kern w:val="0"/>
          <w:sz w:val="28"/>
          <w:szCs w:val="28"/>
          <w:lang w:val="en-US" w:eastAsia="zh-CN" w:bidi="ar"/>
        </w:rPr>
        <w:t>编制养殖水域滩涂规划是对全县水产养殖业的重新布局，是维护养殖生产者的合法权益，保障水产养殖业持续健康发展的一种保障，为了加强对养殖水域滩涂规划编制工作的领导，成立由县级人民政府主管领导任组长，由</w:t>
      </w:r>
      <w:r>
        <w:rPr>
          <w:rFonts w:hint="eastAsia" w:ascii="宋体" w:hAnsi="宋体" w:cs="宋体"/>
          <w:color w:val="000000"/>
          <w:kern w:val="0"/>
          <w:sz w:val="28"/>
          <w:szCs w:val="28"/>
          <w:lang w:val="en-US" w:eastAsia="zh-CN" w:bidi="ar"/>
        </w:rPr>
        <w:t>嘉荫县水产总站</w:t>
      </w:r>
      <w:r>
        <w:rPr>
          <w:rFonts w:hint="eastAsia" w:ascii="宋体" w:hAnsi="宋体" w:eastAsia="宋体" w:cs="宋体"/>
          <w:color w:val="000000"/>
          <w:kern w:val="0"/>
          <w:sz w:val="28"/>
          <w:szCs w:val="28"/>
          <w:lang w:val="en-US" w:eastAsia="zh-CN" w:bidi="ar"/>
        </w:rPr>
        <w:t>主要负责同志任副组长的修订工作</w:t>
      </w:r>
      <w:r>
        <w:rPr>
          <w:rFonts w:hint="eastAsia" w:ascii="宋体" w:hAnsi="宋体" w:cs="宋体"/>
          <w:color w:val="000000"/>
          <w:kern w:val="0"/>
          <w:sz w:val="28"/>
          <w:szCs w:val="28"/>
          <w:lang w:val="en-US" w:eastAsia="zh-CN" w:bidi="ar"/>
        </w:rPr>
        <w:t>专班</w:t>
      </w:r>
      <w:r>
        <w:rPr>
          <w:rFonts w:hint="eastAsia" w:ascii="宋体" w:hAnsi="宋体" w:eastAsia="宋体" w:cs="宋体"/>
          <w:color w:val="000000"/>
          <w:kern w:val="0"/>
          <w:sz w:val="28"/>
          <w:szCs w:val="28"/>
          <w:lang w:val="en-US" w:eastAsia="zh-CN" w:bidi="ar"/>
        </w:rPr>
        <w:t>，统筹解决《规划》修订所需要的人力、财力、物力，协调自然资源、林草、水利、生态环保等相关部门，审定工作方案，按时推进各项工作落实。建立定期的工作协调会议机制，及时解决修订过程中遇到的问题。工作小组应定期汇报工作进展，确保各项任务按时完成。</w:t>
      </w:r>
    </w:p>
    <w:p w14:paraId="1CA714DB">
      <w:pPr>
        <w:pStyle w:val="3"/>
        <w:rPr>
          <w:rFonts w:hint="default" w:ascii="Times New Roman" w:hAnsi="Times New Roman" w:eastAsia="宋体"/>
          <w:lang w:val="en-US" w:eastAsia="zh-CN"/>
        </w:rPr>
      </w:pPr>
      <w:bookmarkStart w:id="73" w:name="_Toc14982"/>
      <w:bookmarkStart w:id="74" w:name="_Toc30861"/>
      <w:r>
        <w:rPr>
          <w:rFonts w:hint="eastAsia" w:ascii="Times New Roman" w:hAnsi="Times New Roman"/>
        </w:rPr>
        <w:t xml:space="preserve">4.2 </w:t>
      </w:r>
      <w:r>
        <w:rPr>
          <w:rFonts w:hint="eastAsia" w:ascii="Times New Roman" w:hAnsi="Times New Roman"/>
          <w:lang w:val="en-US" w:eastAsia="zh-CN"/>
        </w:rPr>
        <w:t>技术保障</w:t>
      </w:r>
      <w:bookmarkEnd w:id="73"/>
      <w:bookmarkEnd w:id="74"/>
    </w:p>
    <w:p w14:paraId="37BD58C3">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1.技术支持与设备配置 </w:t>
      </w:r>
    </w:p>
    <w:p w14:paraId="34A09008">
      <w:pPr>
        <w:keepNext w:val="0"/>
        <w:keepLines w:val="0"/>
        <w:widowControl/>
        <w:suppressLineNumbers w:val="0"/>
        <w:ind w:firstLine="560" w:firstLineChars="200"/>
        <w:jc w:val="left"/>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 xml:space="preserve">为确保修订工作的顺利进行，配备必要的技术设备和软件工具，如2000 国家大地坐标系统、地理信息系统（GIS）等。同时，聘请相关专家提供技术支持，确保操作人员能够熟练掌握设备和软件的使用方法。 </w:t>
      </w:r>
    </w:p>
    <w:p w14:paraId="0AF0586F">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2.技术培训</w:t>
      </w:r>
    </w:p>
    <w:p w14:paraId="5CD064BF">
      <w:pPr>
        <w:keepNext w:val="0"/>
        <w:keepLines w:val="0"/>
        <w:widowControl/>
        <w:suppressLineNumbers w:val="0"/>
        <w:ind w:firstLine="560" w:firstLineChars="200"/>
        <w:jc w:val="left"/>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对参与修订工作的技术人员进行专门的培训，确保熟练掌握水域滩涂划定、数据复核、规划衔接等各项技术操作。</w:t>
      </w:r>
    </w:p>
    <w:p w14:paraId="05A0EC8C">
      <w:pPr>
        <w:pStyle w:val="3"/>
        <w:rPr>
          <w:rFonts w:hint="default" w:ascii="Times New Roman" w:hAnsi="Times New Roman" w:eastAsia="宋体"/>
          <w:lang w:val="en-US" w:eastAsia="zh-CN"/>
        </w:rPr>
      </w:pPr>
      <w:bookmarkStart w:id="75" w:name="_Toc23016"/>
      <w:bookmarkStart w:id="76" w:name="_Toc5426"/>
      <w:r>
        <w:rPr>
          <w:rFonts w:hint="eastAsia" w:ascii="Times New Roman" w:hAnsi="Times New Roman"/>
        </w:rPr>
        <w:t xml:space="preserve">4.3 </w:t>
      </w:r>
      <w:r>
        <w:rPr>
          <w:rFonts w:hint="eastAsia" w:ascii="Times New Roman" w:hAnsi="Times New Roman"/>
          <w:lang w:val="en-US" w:eastAsia="zh-CN"/>
        </w:rPr>
        <w:t>经费保障</w:t>
      </w:r>
      <w:bookmarkEnd w:id="75"/>
      <w:bookmarkEnd w:id="76"/>
    </w:p>
    <w:p w14:paraId="7ACC73BA">
      <w:pPr>
        <w:keepNext w:val="0"/>
        <w:keepLines w:val="0"/>
        <w:widowControl/>
        <w:suppressLineNumbers w:val="0"/>
        <w:ind w:firstLine="560" w:firstLineChars="200"/>
        <w:jc w:val="left"/>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规划》编制修订所需经费由本级人民政府统筹解决。根据修订工作的需求，申请本级安排专项工作经费，制定的经费预算，要涵盖数据采集、设备购置、技术支持、人员培训等各项开支。经费的使用需严格按照预算进行管理，确保资金使用规范安全。</w:t>
      </w:r>
    </w:p>
    <w:p w14:paraId="05072FD4">
      <w:pPr>
        <w:pStyle w:val="3"/>
        <w:rPr>
          <w:rFonts w:hint="default" w:ascii="Times New Roman" w:hAnsi="Times New Roman" w:eastAsia="宋体"/>
          <w:lang w:val="en-US" w:eastAsia="zh-CN"/>
        </w:rPr>
      </w:pPr>
      <w:bookmarkStart w:id="77" w:name="_Toc8303"/>
      <w:bookmarkStart w:id="78" w:name="_Toc31792"/>
      <w:r>
        <w:rPr>
          <w:rFonts w:hint="eastAsia" w:ascii="Times New Roman" w:hAnsi="Times New Roman"/>
        </w:rPr>
        <w:t xml:space="preserve">4.4 </w:t>
      </w:r>
      <w:r>
        <w:rPr>
          <w:rFonts w:hint="eastAsia" w:ascii="Times New Roman" w:hAnsi="Times New Roman"/>
          <w:lang w:val="en-US" w:eastAsia="zh-CN"/>
        </w:rPr>
        <w:t>风险管理与应对</w:t>
      </w:r>
      <w:bookmarkEnd w:id="77"/>
      <w:bookmarkEnd w:id="78"/>
    </w:p>
    <w:p w14:paraId="1C7A4E82">
      <w:pPr>
        <w:pStyle w:val="4"/>
        <w:bidi w:val="0"/>
        <w:rPr>
          <w:rFonts w:hint="eastAsia"/>
          <w:lang w:val="en-US" w:eastAsia="zh-CN"/>
        </w:rPr>
      </w:pPr>
      <w:r>
        <w:rPr>
          <w:rFonts w:hint="eastAsia"/>
          <w:lang w:val="en-US" w:eastAsia="zh-CN"/>
        </w:rPr>
        <w:t>4.4.1 风险识别与评估</w:t>
      </w:r>
    </w:p>
    <w:p w14:paraId="74E4D545">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在修订工作开始前，需对可能出现的风险进行全面识别和评估，包括数据采集风险、技术操作风险、时间进度风险及其他意外风险等。每项风险都应制定相应的应对措施，确保工作进展顺利。</w:t>
      </w:r>
    </w:p>
    <w:p w14:paraId="23819D73">
      <w:pPr>
        <w:keepNext w:val="0"/>
        <w:keepLines w:val="0"/>
        <w:widowControl/>
        <w:suppressLineNumbers w:val="0"/>
        <w:ind w:firstLine="560" w:firstLineChars="200"/>
        <w:jc w:val="left"/>
        <w:rPr>
          <w:rFonts w:hint="eastAsia" w:ascii="宋体" w:hAnsi="宋体" w:cs="宋体"/>
          <w:color w:val="000000"/>
          <w:kern w:val="0"/>
          <w:sz w:val="28"/>
          <w:szCs w:val="28"/>
          <w:lang w:val="en-US" w:eastAsia="zh-CN" w:bidi="ar"/>
        </w:rPr>
      </w:pPr>
      <w:r>
        <w:rPr>
          <w:rFonts w:hint="eastAsia" w:ascii="宋体" w:hAnsi="宋体" w:cs="宋体"/>
          <w:color w:val="000000"/>
          <w:kern w:val="0"/>
          <w:sz w:val="28"/>
          <w:szCs w:val="28"/>
          <w:lang w:val="en-US" w:eastAsia="zh-CN" w:bidi="ar"/>
        </w:rPr>
        <w:t>数据采集风险主要涉及基础地理信息、水域滩涂现状、生态环境监测等数据的获取质量与时效性。嘉荫县地处边境，部分区域地形复杂、交通不便，野外调查难度大，可能导致数据缺失或精度不足；同时，多部门数据格式不统一、坐标系统差异、历史档案不完整等问题，易造成数据整合困难。技术操作风险体现在GIS空间分析、禁养区与限养区边界精准划定、矢量数据拓扑检查等环节，若技术人员对生态保护红线、永久基本农田等管控要求理解不到位，可能出现区划冲突或逻辑错误。时间进度风险源于规划修订涉及自然资源、林草、水利、生态环境等多部门协调，意见征集与修改周期较长，且需与国土空间规划、自然保护地整合优化等相衔接，易因外部因素导致工期延误。此外，极端天气、边境管控政策变化、重大突发环境事件等意外因素也可能对野外作业和规划实施造成影响。</w:t>
      </w:r>
    </w:p>
    <w:p w14:paraId="7393BBE6">
      <w:pPr>
        <w:pStyle w:val="4"/>
        <w:bidi w:val="0"/>
        <w:rPr>
          <w:rFonts w:hint="eastAsia"/>
          <w:lang w:val="en-US" w:eastAsia="zh-CN"/>
        </w:rPr>
      </w:pPr>
      <w:r>
        <w:rPr>
          <w:rFonts w:hint="eastAsia"/>
          <w:lang w:val="en-US" w:eastAsia="zh-CN"/>
        </w:rPr>
        <w:t>4.4.2 应对措施</w:t>
      </w:r>
    </w:p>
    <w:p w14:paraId="4235F7FE">
      <w:pPr>
        <w:keepNext w:val="0"/>
        <w:keepLines w:val="0"/>
        <w:widowControl/>
        <w:suppressLineNumbers w:val="0"/>
        <w:ind w:firstLine="560" w:firstLineChars="200"/>
        <w:jc w:val="left"/>
        <w:rPr>
          <w:rFonts w:hint="eastAsia" w:ascii="宋体" w:hAnsi="宋体" w:cs="宋体"/>
          <w:color w:val="000000"/>
          <w:kern w:val="0"/>
          <w:sz w:val="28"/>
          <w:szCs w:val="28"/>
          <w:lang w:val="en-US" w:eastAsia="zh-CN" w:bidi="ar"/>
        </w:rPr>
      </w:pPr>
      <w:r>
        <w:rPr>
          <w:rFonts w:hint="eastAsia" w:ascii="宋体" w:hAnsi="宋体" w:cs="宋体"/>
          <w:color w:val="000000"/>
          <w:kern w:val="0"/>
          <w:sz w:val="28"/>
          <w:szCs w:val="28"/>
          <w:lang w:val="en-US" w:eastAsia="zh-CN" w:bidi="ar"/>
        </w:rPr>
        <w:t>针对上述风险识别与评估结果，制定以下具体应对措施：</w:t>
      </w:r>
    </w:p>
    <w:p w14:paraId="72492CC2">
      <w:pPr>
        <w:keepNext w:val="0"/>
        <w:keepLines w:val="0"/>
        <w:widowControl/>
        <w:suppressLineNumbers w:val="0"/>
        <w:jc w:val="left"/>
        <w:rPr>
          <w:rFonts w:hint="eastAsia" w:ascii="宋体" w:hAnsi="宋体" w:cs="宋体"/>
          <w:b/>
          <w:bCs/>
          <w:color w:val="000000"/>
          <w:kern w:val="0"/>
          <w:sz w:val="28"/>
          <w:szCs w:val="28"/>
          <w:lang w:val="en-US" w:eastAsia="zh-CN" w:bidi="ar"/>
        </w:rPr>
      </w:pPr>
      <w:r>
        <w:rPr>
          <w:rFonts w:hint="eastAsia" w:ascii="宋体" w:hAnsi="宋体" w:cs="宋体"/>
          <w:b/>
          <w:bCs/>
          <w:color w:val="000000"/>
          <w:kern w:val="0"/>
          <w:sz w:val="28"/>
          <w:szCs w:val="28"/>
          <w:lang w:val="en-US" w:eastAsia="zh-CN" w:bidi="ar"/>
        </w:rPr>
        <w:t>4.4.2.1.数据质量保障措施</w:t>
      </w:r>
    </w:p>
    <w:p w14:paraId="2E8FC36A">
      <w:pPr>
        <w:keepNext w:val="0"/>
        <w:keepLines w:val="0"/>
        <w:widowControl/>
        <w:suppressLineNumbers w:val="0"/>
        <w:ind w:firstLine="560" w:firstLineChars="200"/>
        <w:jc w:val="left"/>
        <w:rPr>
          <w:rFonts w:hint="eastAsia" w:ascii="宋体" w:hAnsi="宋体" w:cs="宋体"/>
          <w:color w:val="000000"/>
          <w:kern w:val="0"/>
          <w:sz w:val="28"/>
          <w:szCs w:val="28"/>
          <w:lang w:val="en-US" w:eastAsia="zh-CN" w:bidi="ar"/>
        </w:rPr>
      </w:pPr>
      <w:r>
        <w:rPr>
          <w:rFonts w:hint="eastAsia" w:ascii="宋体" w:hAnsi="宋体" w:cs="宋体"/>
          <w:color w:val="000000"/>
          <w:kern w:val="0"/>
          <w:sz w:val="28"/>
          <w:szCs w:val="28"/>
          <w:lang w:val="en-US" w:eastAsia="zh-CN" w:bidi="ar"/>
        </w:rPr>
        <w:t>数据采集方面，优先采用卫星遥感影像解译、无人机航测等现代技术手段补充地面调查，与省级自然资源、生态环境部门建立数据共享通道，统一采用2000国家大地坐标系统和1985国家高程基准，制定数据质量检查清单，实行采集、校核、审核三级质量控制。</w:t>
      </w:r>
    </w:p>
    <w:p w14:paraId="56FAC2C3">
      <w:pPr>
        <w:keepNext w:val="0"/>
        <w:keepLines w:val="0"/>
        <w:widowControl/>
        <w:suppressLineNumbers w:val="0"/>
        <w:jc w:val="left"/>
        <w:rPr>
          <w:rFonts w:hint="eastAsia" w:ascii="宋体" w:hAnsi="宋体" w:cs="宋体"/>
          <w:b/>
          <w:bCs/>
          <w:color w:val="000000"/>
          <w:kern w:val="0"/>
          <w:sz w:val="28"/>
          <w:szCs w:val="28"/>
          <w:lang w:val="en-US" w:eastAsia="zh-CN" w:bidi="ar"/>
        </w:rPr>
      </w:pPr>
      <w:r>
        <w:rPr>
          <w:rFonts w:hint="eastAsia" w:ascii="宋体" w:hAnsi="宋体" w:cs="宋体"/>
          <w:b/>
          <w:bCs/>
          <w:color w:val="000000"/>
          <w:kern w:val="0"/>
          <w:sz w:val="28"/>
          <w:szCs w:val="28"/>
          <w:lang w:val="en-US" w:eastAsia="zh-CN" w:bidi="ar"/>
        </w:rPr>
        <w:t>4.4.2.2.技术质量管控措施</w:t>
      </w:r>
    </w:p>
    <w:p w14:paraId="47A37B63">
      <w:pPr>
        <w:keepNext w:val="0"/>
        <w:keepLines w:val="0"/>
        <w:widowControl/>
        <w:suppressLineNumbers w:val="0"/>
        <w:ind w:firstLine="560" w:firstLineChars="200"/>
        <w:jc w:val="left"/>
        <w:rPr>
          <w:rFonts w:hint="eastAsia" w:ascii="宋体" w:hAnsi="宋体" w:cs="宋体"/>
          <w:color w:val="000000"/>
          <w:kern w:val="0"/>
          <w:sz w:val="28"/>
          <w:szCs w:val="28"/>
          <w:lang w:val="en-US" w:eastAsia="zh-CN" w:bidi="ar"/>
        </w:rPr>
      </w:pPr>
      <w:r>
        <w:rPr>
          <w:rFonts w:hint="eastAsia" w:ascii="宋体" w:hAnsi="宋体" w:cs="宋体"/>
          <w:color w:val="000000"/>
          <w:kern w:val="0"/>
          <w:sz w:val="28"/>
          <w:szCs w:val="28"/>
          <w:lang w:val="en-US" w:eastAsia="zh-CN" w:bidi="ar"/>
        </w:rPr>
        <w:t>严格执行“三级检查、一级验收”制度。作业员自查比例100%，作业组互查比例不低于30%，项目组专查覆盖全部成果，聘请专家对成果进行评审验收。重点加强空间拓扑一致性检查，运用ArcGIS拓扑规则修复悬挂节点、重叠面等错误，确保禁养区、限养区、养殖区三界无重叠、无缝隙、全覆盖。征求自然资源、林草、生态环境等部门意见，对相关意见修改完善后最终形成规划成果。</w:t>
      </w:r>
    </w:p>
    <w:p w14:paraId="418E89F3">
      <w:pPr>
        <w:keepNext w:val="0"/>
        <w:keepLines w:val="0"/>
        <w:widowControl/>
        <w:suppressLineNumbers w:val="0"/>
        <w:jc w:val="left"/>
        <w:rPr>
          <w:rFonts w:hint="eastAsia" w:ascii="宋体" w:hAnsi="宋体" w:cs="宋体"/>
          <w:b/>
          <w:bCs/>
          <w:color w:val="000000"/>
          <w:kern w:val="0"/>
          <w:sz w:val="28"/>
          <w:szCs w:val="28"/>
          <w:lang w:val="en-US" w:eastAsia="zh-CN" w:bidi="ar"/>
        </w:rPr>
      </w:pPr>
      <w:r>
        <w:rPr>
          <w:rFonts w:hint="eastAsia" w:ascii="宋体" w:hAnsi="宋体" w:cs="宋体"/>
          <w:b/>
          <w:bCs/>
          <w:color w:val="000000"/>
          <w:kern w:val="0"/>
          <w:sz w:val="28"/>
          <w:szCs w:val="28"/>
          <w:lang w:val="en-US" w:eastAsia="zh-CN" w:bidi="ar"/>
        </w:rPr>
        <w:t>4.4.2.3 进度与应急管理措施</w:t>
      </w:r>
    </w:p>
    <w:p w14:paraId="0C7CE928">
      <w:pPr>
        <w:keepNext w:val="0"/>
        <w:keepLines w:val="0"/>
        <w:widowControl/>
        <w:suppressLineNumbers w:val="0"/>
        <w:ind w:firstLine="560" w:firstLineChars="200"/>
        <w:jc w:val="left"/>
        <w:rPr>
          <w:rFonts w:hint="eastAsia" w:ascii="宋体" w:hAnsi="宋体" w:cs="宋体"/>
          <w:color w:val="000000"/>
          <w:kern w:val="0"/>
          <w:sz w:val="28"/>
          <w:szCs w:val="28"/>
          <w:lang w:val="en-US" w:eastAsia="zh-CN" w:bidi="ar"/>
        </w:rPr>
      </w:pPr>
      <w:r>
        <w:rPr>
          <w:rFonts w:hint="eastAsia" w:ascii="宋体" w:hAnsi="宋体" w:cs="宋体"/>
          <w:color w:val="000000"/>
          <w:kern w:val="0"/>
          <w:sz w:val="28"/>
          <w:szCs w:val="28"/>
          <w:lang w:val="en-US" w:eastAsia="zh-CN" w:bidi="ar"/>
        </w:rPr>
        <w:t>优化工作流程，将数据采集、分析处理、部门协调、成果编制设为关键工序，配置充足资源保障关键工序按期完成。编制详细的工作横道图，明确数据采集、内业分析、部门会商、公示征求意见、成果报批等关键节点，预留不少于总工期15%的弹性时间，建立周调度、月通报制度，对滞后环节及时预警并调整资源配置。制定野外作业安全预案，配备卫星通讯设备和应急物资，密切关注气象预报和边境管理动态，遇重大政策调整或突发事件时启动规划适应性评估程序，必要时申请延期或优化技术路线。制定数据安全应急预案，对涉密计算机实行物理隔离，移动存储介质专盘专用，定期开展保密教育培训与应急演练。</w:t>
      </w:r>
    </w:p>
    <w:p w14:paraId="59C7EB17">
      <w:pPr>
        <w:pStyle w:val="2"/>
        <w:bidi w:val="0"/>
        <w:rPr>
          <w:rFonts w:hint="eastAsia"/>
        </w:rPr>
      </w:pPr>
      <w:r>
        <w:rPr>
          <w:rFonts w:hint="eastAsia" w:ascii="宋体" w:hAnsi="宋体" w:eastAsia="宋体" w:cs="宋体"/>
          <w:color w:val="000000"/>
          <w:kern w:val="0"/>
          <w:sz w:val="28"/>
          <w:szCs w:val="28"/>
          <w:lang w:val="en-US" w:eastAsia="zh-CN" w:bidi="ar"/>
        </w:rPr>
        <w:br w:type="page"/>
      </w:r>
      <w:bookmarkStart w:id="79" w:name="_Toc23232"/>
      <w:bookmarkStart w:id="80" w:name="_Toc21858"/>
      <w:r>
        <w:rPr>
          <w:rFonts w:hint="eastAsia"/>
        </w:rPr>
        <w:t>第五章 附则</w:t>
      </w:r>
      <w:bookmarkEnd w:id="79"/>
      <w:bookmarkEnd w:id="80"/>
    </w:p>
    <w:p w14:paraId="5ED66B05">
      <w:pPr>
        <w:pStyle w:val="3"/>
        <w:rPr>
          <w:rFonts w:ascii="Times New Roman" w:hAnsi="宋体"/>
        </w:rPr>
      </w:pPr>
      <w:bookmarkStart w:id="81" w:name="_Toc525734678"/>
      <w:bookmarkStart w:id="82" w:name="_Toc20045"/>
      <w:bookmarkStart w:id="83" w:name="_Toc4221"/>
      <w:r>
        <w:rPr>
          <w:rFonts w:ascii="Times New Roman" w:hAnsi="Times New Roman"/>
        </w:rPr>
        <w:t xml:space="preserve">5.1 </w:t>
      </w:r>
      <w:r>
        <w:rPr>
          <w:rFonts w:ascii="Times New Roman" w:hAnsi="宋体"/>
        </w:rPr>
        <w:t>关于规划效力</w:t>
      </w:r>
      <w:bookmarkEnd w:id="81"/>
      <w:bookmarkEnd w:id="82"/>
      <w:bookmarkEnd w:id="83"/>
    </w:p>
    <w:p w14:paraId="2A8D4581">
      <w:pPr>
        <w:numPr>
          <w:ilvl w:val="0"/>
          <w:numId w:val="0"/>
        </w:numPr>
        <w:spacing w:line="360" w:lineRule="auto"/>
        <w:ind w:firstLine="560" w:firstLineChars="200"/>
        <w:jc w:val="both"/>
      </w:pPr>
      <w:r>
        <w:rPr>
          <w:rFonts w:hint="eastAsia" w:ascii="宋体" w:hAnsi="宋体" w:eastAsia="宋体" w:cs="宋体"/>
          <w:sz w:val="28"/>
          <w:szCs w:val="28"/>
          <w:lang w:val="en-US" w:eastAsia="zh-CN"/>
        </w:rPr>
        <w:t>《</w:t>
      </w:r>
      <w:r>
        <w:rPr>
          <w:rFonts w:hint="eastAsia" w:ascii="宋体" w:hAnsi="宋体" w:cs="宋体"/>
          <w:sz w:val="28"/>
          <w:szCs w:val="28"/>
          <w:lang w:val="en-US" w:eastAsia="zh-CN"/>
        </w:rPr>
        <w:t>嘉荫</w:t>
      </w:r>
      <w:r>
        <w:rPr>
          <w:rFonts w:hint="eastAsia" w:ascii="宋体" w:hAnsi="宋体" w:eastAsia="宋体" w:cs="宋体"/>
          <w:sz w:val="28"/>
          <w:szCs w:val="28"/>
          <w:lang w:val="en-US" w:eastAsia="zh-CN"/>
        </w:rPr>
        <w:t>县养殖水域滩涂规划（修订）》一经批准，即具有法律效力，必须严格执行。本水域滩涂养殖规划自公布之日起实施。本规划如与国家有关法律法规和管理规定相冲突的，按有关法律法规和管理规定办理。规划期内如遇国家政策重大变更，需经县级以上渔业主管部门组织专家论证后，按法定程序修订。</w:t>
      </w:r>
    </w:p>
    <w:p w14:paraId="381BC2FE">
      <w:pPr>
        <w:pStyle w:val="3"/>
        <w:rPr>
          <w:rFonts w:ascii="Times New Roman" w:hAnsi="宋体"/>
        </w:rPr>
      </w:pPr>
      <w:bookmarkStart w:id="84" w:name="_Toc30603"/>
      <w:bookmarkStart w:id="85" w:name="_Toc26518"/>
      <w:r>
        <w:rPr>
          <w:rFonts w:ascii="Times New Roman" w:hAnsi="Times New Roman"/>
        </w:rPr>
        <w:t xml:space="preserve">5.2 </w:t>
      </w:r>
      <w:r>
        <w:rPr>
          <w:rFonts w:ascii="Times New Roman" w:hAnsi="宋体"/>
        </w:rPr>
        <w:t>关于规划图件</w:t>
      </w:r>
      <w:bookmarkEnd w:id="84"/>
      <w:bookmarkEnd w:id="85"/>
    </w:p>
    <w:p w14:paraId="235009C8">
      <w:pPr>
        <w:numPr>
          <w:ilvl w:val="0"/>
          <w:numId w:val="0"/>
        </w:numPr>
        <w:spacing w:line="360" w:lineRule="auto"/>
        <w:ind w:leftChars="0"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规划图件为规划文本附件，具有与文本同等的法律效力。</w:t>
      </w:r>
    </w:p>
    <w:p w14:paraId="6354E95C">
      <w:pPr>
        <w:numPr>
          <w:ilvl w:val="0"/>
          <w:numId w:val="0"/>
        </w:numPr>
        <w:spacing w:line="360" w:lineRule="auto"/>
        <w:jc w:val="right"/>
        <w:rPr>
          <w:rFonts w:hint="eastAsia" w:ascii="宋体" w:hAnsi="宋体" w:eastAsia="宋体" w:cs="宋体"/>
          <w:sz w:val="28"/>
          <w:szCs w:val="28"/>
          <w:lang w:val="en-US" w:eastAsia="zh-CN"/>
        </w:rPr>
      </w:pPr>
    </w:p>
    <w:p w14:paraId="5E99E98A">
      <w:pPr>
        <w:numPr>
          <w:ilvl w:val="0"/>
          <w:numId w:val="0"/>
        </w:numPr>
        <w:spacing w:line="360" w:lineRule="auto"/>
        <w:jc w:val="right"/>
        <w:rPr>
          <w:rFonts w:hint="eastAsia" w:ascii="宋体" w:hAnsi="宋体" w:eastAsia="宋体" w:cs="宋体"/>
          <w:sz w:val="28"/>
          <w:szCs w:val="28"/>
          <w:lang w:val="en-US" w:eastAsia="zh-CN"/>
        </w:rPr>
      </w:pPr>
    </w:p>
    <w:p w14:paraId="052CA521">
      <w:pPr>
        <w:numPr>
          <w:ilvl w:val="0"/>
          <w:numId w:val="0"/>
        </w:numPr>
        <w:spacing w:line="360" w:lineRule="auto"/>
        <w:jc w:val="right"/>
        <w:rPr>
          <w:rFonts w:hint="eastAsia" w:ascii="宋体" w:hAnsi="宋体" w:eastAsia="宋体" w:cs="宋体"/>
          <w:sz w:val="28"/>
          <w:szCs w:val="28"/>
          <w:lang w:val="en-US" w:eastAsia="zh-CN"/>
        </w:rPr>
      </w:pPr>
    </w:p>
    <w:p w14:paraId="35869EAF">
      <w:pPr>
        <w:numPr>
          <w:ilvl w:val="0"/>
          <w:numId w:val="0"/>
        </w:numPr>
        <w:spacing w:line="360" w:lineRule="auto"/>
        <w:jc w:val="right"/>
        <w:rPr>
          <w:rFonts w:hint="eastAsia" w:ascii="宋体" w:hAnsi="宋体" w:eastAsia="宋体" w:cs="宋体"/>
          <w:sz w:val="28"/>
          <w:szCs w:val="28"/>
          <w:lang w:val="en-US" w:eastAsia="zh-CN"/>
        </w:rPr>
      </w:pPr>
    </w:p>
    <w:p w14:paraId="2B721EFB">
      <w:pPr>
        <w:numPr>
          <w:ilvl w:val="0"/>
          <w:numId w:val="0"/>
        </w:numPr>
        <w:spacing w:line="360" w:lineRule="auto"/>
        <w:jc w:val="right"/>
        <w:rPr>
          <w:rFonts w:hint="eastAsia" w:ascii="宋体" w:hAnsi="宋体" w:eastAsia="宋体" w:cs="宋体"/>
          <w:sz w:val="28"/>
          <w:szCs w:val="28"/>
          <w:lang w:val="en-US" w:eastAsia="zh-CN"/>
        </w:rPr>
      </w:pPr>
    </w:p>
    <w:p w14:paraId="098876D8">
      <w:pPr>
        <w:numPr>
          <w:ilvl w:val="0"/>
          <w:numId w:val="0"/>
        </w:numPr>
        <w:spacing w:line="360" w:lineRule="auto"/>
        <w:jc w:val="right"/>
        <w:rPr>
          <w:rFonts w:hint="eastAsia" w:ascii="宋体" w:hAnsi="宋体" w:eastAsia="宋体" w:cs="宋体"/>
          <w:sz w:val="28"/>
          <w:szCs w:val="28"/>
          <w:lang w:val="en-US" w:eastAsia="zh-CN"/>
        </w:rPr>
      </w:pPr>
    </w:p>
    <w:p w14:paraId="261DEC39">
      <w:pPr>
        <w:numPr>
          <w:ilvl w:val="0"/>
          <w:numId w:val="0"/>
        </w:numPr>
        <w:spacing w:line="360" w:lineRule="auto"/>
        <w:jc w:val="right"/>
        <w:rPr>
          <w:rFonts w:hint="eastAsia" w:ascii="宋体" w:hAnsi="宋体" w:eastAsia="宋体" w:cs="宋体"/>
          <w:sz w:val="28"/>
          <w:szCs w:val="28"/>
          <w:lang w:val="en-US" w:eastAsia="zh-CN"/>
        </w:rPr>
      </w:pPr>
    </w:p>
    <w:p w14:paraId="39FEDD60">
      <w:pPr>
        <w:numPr>
          <w:ilvl w:val="0"/>
          <w:numId w:val="0"/>
        </w:numPr>
        <w:spacing w:line="360" w:lineRule="auto"/>
        <w:jc w:val="right"/>
        <w:rPr>
          <w:rFonts w:hint="eastAsia" w:ascii="宋体" w:hAnsi="宋体" w:eastAsia="宋体" w:cs="宋体"/>
          <w:sz w:val="28"/>
          <w:szCs w:val="28"/>
          <w:lang w:val="en-US" w:eastAsia="zh-CN"/>
        </w:rPr>
      </w:pPr>
    </w:p>
    <w:p w14:paraId="153319AE">
      <w:pPr>
        <w:numPr>
          <w:ilvl w:val="0"/>
          <w:numId w:val="0"/>
        </w:numPr>
        <w:spacing w:line="360" w:lineRule="auto"/>
        <w:jc w:val="right"/>
        <w:rPr>
          <w:rFonts w:hint="eastAsia" w:ascii="宋体" w:hAnsi="宋体" w:eastAsia="宋体" w:cs="宋体"/>
          <w:sz w:val="28"/>
          <w:szCs w:val="28"/>
          <w:lang w:val="en-US" w:eastAsia="zh-CN"/>
        </w:rPr>
      </w:pPr>
    </w:p>
    <w:p w14:paraId="0B5987BF">
      <w:pPr>
        <w:numPr>
          <w:ilvl w:val="0"/>
          <w:numId w:val="0"/>
        </w:numPr>
        <w:spacing w:line="360" w:lineRule="auto"/>
        <w:jc w:val="right"/>
        <w:rPr>
          <w:rFonts w:hint="eastAsia" w:ascii="宋体" w:hAnsi="宋体" w:eastAsia="宋体" w:cs="宋体"/>
          <w:sz w:val="28"/>
          <w:szCs w:val="28"/>
          <w:lang w:val="en-US" w:eastAsia="zh-CN"/>
        </w:rPr>
      </w:pPr>
    </w:p>
    <w:p w14:paraId="446CF337">
      <w:pPr>
        <w:numPr>
          <w:ilvl w:val="0"/>
          <w:numId w:val="0"/>
        </w:numPr>
        <w:spacing w:line="360" w:lineRule="auto"/>
        <w:jc w:val="right"/>
        <w:rPr>
          <w:rFonts w:hint="eastAsia" w:ascii="宋体" w:hAnsi="宋体" w:eastAsia="宋体" w:cs="宋体"/>
          <w:sz w:val="28"/>
          <w:szCs w:val="28"/>
          <w:lang w:val="en-US" w:eastAsia="zh-CN"/>
        </w:rPr>
      </w:pPr>
    </w:p>
    <w:p w14:paraId="58BE66AA">
      <w:pPr>
        <w:numPr>
          <w:ilvl w:val="0"/>
          <w:numId w:val="0"/>
        </w:numPr>
        <w:spacing w:line="360" w:lineRule="auto"/>
        <w:jc w:val="right"/>
        <w:rPr>
          <w:rFonts w:hint="eastAsia" w:ascii="宋体" w:hAnsi="宋体" w:eastAsia="宋体" w:cs="宋体"/>
          <w:sz w:val="28"/>
          <w:szCs w:val="28"/>
          <w:lang w:val="en-US" w:eastAsia="zh-CN"/>
        </w:rPr>
      </w:pPr>
    </w:p>
    <w:p w14:paraId="3E06195D">
      <w:pPr>
        <w:numPr>
          <w:ilvl w:val="0"/>
          <w:numId w:val="0"/>
        </w:numPr>
        <w:spacing w:line="360" w:lineRule="auto"/>
        <w:jc w:val="right"/>
        <w:rPr>
          <w:rFonts w:hint="eastAsia" w:ascii="宋体" w:hAnsi="宋体" w:eastAsia="宋体" w:cs="宋体"/>
          <w:sz w:val="28"/>
          <w:szCs w:val="28"/>
          <w:lang w:val="en-US" w:eastAsia="zh-CN"/>
        </w:rPr>
      </w:pPr>
      <w:r>
        <w:rPr>
          <w:rFonts w:hint="eastAsia" w:ascii="宋体" w:hAnsi="宋体" w:cs="宋体"/>
          <w:sz w:val="28"/>
          <w:szCs w:val="28"/>
          <w:lang w:val="en-US" w:eastAsia="zh-CN"/>
        </w:rPr>
        <w:t>嘉荫</w:t>
      </w:r>
      <w:r>
        <w:rPr>
          <w:rFonts w:hint="eastAsia" w:ascii="宋体" w:hAnsi="宋体" w:eastAsia="宋体" w:cs="宋体"/>
          <w:sz w:val="28"/>
          <w:szCs w:val="28"/>
          <w:lang w:val="en-US" w:eastAsia="zh-CN"/>
        </w:rPr>
        <w:t>县农业农村局</w:t>
      </w:r>
    </w:p>
    <w:p w14:paraId="3F43A79E">
      <w:pPr>
        <w:jc w:val="right"/>
        <w:rPr>
          <w:rFonts w:hint="default"/>
          <w:lang w:val="en-US"/>
        </w:rPr>
      </w:pPr>
      <w:r>
        <w:rPr>
          <w:rFonts w:hint="eastAsia" w:ascii="宋体" w:hAnsi="宋体" w:eastAsia="宋体" w:cs="宋体"/>
          <w:sz w:val="28"/>
          <w:szCs w:val="28"/>
          <w:lang w:val="en-US" w:eastAsia="zh-CN"/>
        </w:rPr>
        <w:t>二〇二五年</w:t>
      </w:r>
      <w:r>
        <w:rPr>
          <w:rFonts w:hint="eastAsia" w:ascii="宋体" w:hAnsi="宋体" w:cs="宋体"/>
          <w:sz w:val="28"/>
          <w:szCs w:val="28"/>
          <w:lang w:val="en-US" w:eastAsia="zh-CN"/>
        </w:rPr>
        <w:t>十</w:t>
      </w:r>
      <w:r>
        <w:rPr>
          <w:rFonts w:hint="eastAsia" w:ascii="宋体" w:hAnsi="宋体" w:eastAsia="宋体" w:cs="宋体"/>
          <w:sz w:val="28"/>
          <w:szCs w:val="28"/>
          <w:lang w:val="en-US" w:eastAsia="zh-CN"/>
        </w:rPr>
        <w:t>月</w:t>
      </w:r>
    </w:p>
    <w:p w14:paraId="50B4A275">
      <w:pPr>
        <w:numPr>
          <w:ilvl w:val="0"/>
          <w:numId w:val="0"/>
        </w:numPr>
        <w:spacing w:line="360" w:lineRule="auto"/>
        <w:ind w:left="0" w:leftChars="0" w:firstLine="0" w:firstLineChars="0"/>
        <w:jc w:val="left"/>
        <w:rPr>
          <w:rFonts w:hint="default"/>
          <w:lang w:val="en-US" w:eastAsia="zh-CN"/>
        </w:rPr>
      </w:pPr>
    </w:p>
    <w:sectPr>
      <w:pgSz w:w="11907" w:h="16840"/>
      <w:pgMar w:top="1531" w:right="1247" w:bottom="1417" w:left="1417" w:header="851" w:footer="992" w:gutter="0"/>
      <w:pgBorders w:offsetFrom="page">
        <w:top w:val="none" w:sz="0" w:space="0"/>
        <w:left w:val="none" w:sz="0" w:space="0"/>
        <w:bottom w:val="none" w:sz="0" w:space="0"/>
        <w:right w:val="none" w:sz="0" w:space="0"/>
      </w:pgBorders>
      <w:pgNumType w:fmt="decimal"/>
      <w:cols w:space="720" w:num="1"/>
      <w:titlePg/>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1AE08">
    <w:pPr>
      <w:pStyle w:val="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C35201"/>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08C35201"/>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085DA">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B6575F">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45B6575F">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DE042">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8DBEBA">
                          <w:pPr>
                            <w:pStyle w:val="8"/>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18DBEBA">
                    <w:pPr>
                      <w:pStyle w:val="8"/>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E94DD">
    <w:pPr>
      <w:pStyle w:val="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FDADD1">
                          <w:pPr>
                            <w:pStyle w:val="8"/>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57FDADD1">
                    <w:pPr>
                      <w:pStyle w:val="8"/>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DB5BC">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AF2D68">
                          <w:pPr>
                            <w:pStyle w:val="8"/>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34AF2D68">
                    <w:pPr>
                      <w:pStyle w:val="8"/>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09EB0">
    <w:pPr>
      <w:pStyle w:val="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E974FD">
                          <w:pPr>
                            <w:pStyle w:val="8"/>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2E974FD">
                    <w:pPr>
                      <w:pStyle w:val="8"/>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8C8C4">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064F1E">
                          <w:pPr>
                            <w:pStyle w:val="8"/>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30064F1E">
                    <w:pPr>
                      <w:pStyle w:val="8"/>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F69BB">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7E8FF8">
                          <w:pPr>
                            <w:pStyle w:val="8"/>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5D7E8FF8">
                    <w:pPr>
                      <w:pStyle w:val="8"/>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939C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2068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095D1F"/>
    <w:rsid w:val="024B7594"/>
    <w:rsid w:val="02637FD0"/>
    <w:rsid w:val="02A078FD"/>
    <w:rsid w:val="02AE2ED7"/>
    <w:rsid w:val="03336550"/>
    <w:rsid w:val="04000356"/>
    <w:rsid w:val="05525311"/>
    <w:rsid w:val="055B7809"/>
    <w:rsid w:val="06023489"/>
    <w:rsid w:val="061551B2"/>
    <w:rsid w:val="06653AE6"/>
    <w:rsid w:val="066E5FFA"/>
    <w:rsid w:val="06F650C7"/>
    <w:rsid w:val="07B733DE"/>
    <w:rsid w:val="07DD39E2"/>
    <w:rsid w:val="085208A2"/>
    <w:rsid w:val="090E6A2D"/>
    <w:rsid w:val="091B2A9A"/>
    <w:rsid w:val="09552024"/>
    <w:rsid w:val="0A286F05"/>
    <w:rsid w:val="0A3B6154"/>
    <w:rsid w:val="0C6A568B"/>
    <w:rsid w:val="0CD73B3C"/>
    <w:rsid w:val="0D757FD7"/>
    <w:rsid w:val="0E3D79D4"/>
    <w:rsid w:val="0E5B2F4B"/>
    <w:rsid w:val="0EC1589A"/>
    <w:rsid w:val="0F677B54"/>
    <w:rsid w:val="0FD1269D"/>
    <w:rsid w:val="100B407B"/>
    <w:rsid w:val="106C00E0"/>
    <w:rsid w:val="106D2CA7"/>
    <w:rsid w:val="10807F49"/>
    <w:rsid w:val="10837546"/>
    <w:rsid w:val="117C13C5"/>
    <w:rsid w:val="11F75825"/>
    <w:rsid w:val="123A29AD"/>
    <w:rsid w:val="128C419D"/>
    <w:rsid w:val="136C7674"/>
    <w:rsid w:val="173B0501"/>
    <w:rsid w:val="178E51F7"/>
    <w:rsid w:val="18117D55"/>
    <w:rsid w:val="186A43A3"/>
    <w:rsid w:val="19554552"/>
    <w:rsid w:val="197D78F9"/>
    <w:rsid w:val="19A83945"/>
    <w:rsid w:val="19B20C95"/>
    <w:rsid w:val="19B37E42"/>
    <w:rsid w:val="1A84273E"/>
    <w:rsid w:val="1A956E43"/>
    <w:rsid w:val="1B140A04"/>
    <w:rsid w:val="1B1536D3"/>
    <w:rsid w:val="1B326960"/>
    <w:rsid w:val="1B827EC0"/>
    <w:rsid w:val="1B862C11"/>
    <w:rsid w:val="1D8722FA"/>
    <w:rsid w:val="1E957929"/>
    <w:rsid w:val="1EA12B68"/>
    <w:rsid w:val="1EB31B66"/>
    <w:rsid w:val="2024121A"/>
    <w:rsid w:val="208756D2"/>
    <w:rsid w:val="20C122F3"/>
    <w:rsid w:val="22E700F9"/>
    <w:rsid w:val="23044B6F"/>
    <w:rsid w:val="23B35025"/>
    <w:rsid w:val="24160515"/>
    <w:rsid w:val="25135B0D"/>
    <w:rsid w:val="25A9509E"/>
    <w:rsid w:val="26937F25"/>
    <w:rsid w:val="26A43B3C"/>
    <w:rsid w:val="26DD165E"/>
    <w:rsid w:val="27FD67B8"/>
    <w:rsid w:val="285D1C17"/>
    <w:rsid w:val="29445476"/>
    <w:rsid w:val="2B4061A9"/>
    <w:rsid w:val="2D1D079D"/>
    <w:rsid w:val="2E2A1718"/>
    <w:rsid w:val="2F2E5B06"/>
    <w:rsid w:val="30DC65DD"/>
    <w:rsid w:val="32016486"/>
    <w:rsid w:val="32B36BD7"/>
    <w:rsid w:val="32D31707"/>
    <w:rsid w:val="32F42549"/>
    <w:rsid w:val="33A61841"/>
    <w:rsid w:val="34240789"/>
    <w:rsid w:val="35055622"/>
    <w:rsid w:val="3684212C"/>
    <w:rsid w:val="369933BE"/>
    <w:rsid w:val="372E28CC"/>
    <w:rsid w:val="39D92F78"/>
    <w:rsid w:val="3B0847B6"/>
    <w:rsid w:val="3C523DC7"/>
    <w:rsid w:val="4005068C"/>
    <w:rsid w:val="400F3656"/>
    <w:rsid w:val="41543EC7"/>
    <w:rsid w:val="41CF6407"/>
    <w:rsid w:val="42132BCD"/>
    <w:rsid w:val="438C70B7"/>
    <w:rsid w:val="443E7E62"/>
    <w:rsid w:val="44D02A12"/>
    <w:rsid w:val="451673FA"/>
    <w:rsid w:val="451B276B"/>
    <w:rsid w:val="460E76C8"/>
    <w:rsid w:val="46FB5788"/>
    <w:rsid w:val="474A4912"/>
    <w:rsid w:val="4805375F"/>
    <w:rsid w:val="48DA253D"/>
    <w:rsid w:val="4916548C"/>
    <w:rsid w:val="49D85C06"/>
    <w:rsid w:val="4AEC165E"/>
    <w:rsid w:val="4AEE640A"/>
    <w:rsid w:val="4B3134FA"/>
    <w:rsid w:val="4B8B15F1"/>
    <w:rsid w:val="4B9647E1"/>
    <w:rsid w:val="4B980293"/>
    <w:rsid w:val="4BC208CE"/>
    <w:rsid w:val="4C112607"/>
    <w:rsid w:val="4CC528E0"/>
    <w:rsid w:val="4D896F4C"/>
    <w:rsid w:val="4DC725C0"/>
    <w:rsid w:val="4DD83509"/>
    <w:rsid w:val="4FC42B58"/>
    <w:rsid w:val="51581671"/>
    <w:rsid w:val="51B73303"/>
    <w:rsid w:val="524441FA"/>
    <w:rsid w:val="52872DA4"/>
    <w:rsid w:val="53E64DB7"/>
    <w:rsid w:val="5486329D"/>
    <w:rsid w:val="54C0055D"/>
    <w:rsid w:val="55222C89"/>
    <w:rsid w:val="562E469C"/>
    <w:rsid w:val="56404134"/>
    <w:rsid w:val="56644F18"/>
    <w:rsid w:val="568966F7"/>
    <w:rsid w:val="56984225"/>
    <w:rsid w:val="57F44ABA"/>
    <w:rsid w:val="581666E6"/>
    <w:rsid w:val="581A0B8C"/>
    <w:rsid w:val="58450ABF"/>
    <w:rsid w:val="59035972"/>
    <w:rsid w:val="594352B9"/>
    <w:rsid w:val="597946DF"/>
    <w:rsid w:val="5A0802B0"/>
    <w:rsid w:val="5A0E69A3"/>
    <w:rsid w:val="5A4E29E5"/>
    <w:rsid w:val="5A8427A0"/>
    <w:rsid w:val="5D4764E6"/>
    <w:rsid w:val="5D686545"/>
    <w:rsid w:val="5D8A7F0F"/>
    <w:rsid w:val="5DA402F0"/>
    <w:rsid w:val="5DDC2EEE"/>
    <w:rsid w:val="5DEC14F9"/>
    <w:rsid w:val="5FC825C6"/>
    <w:rsid w:val="60150219"/>
    <w:rsid w:val="60C91A3A"/>
    <w:rsid w:val="610C164A"/>
    <w:rsid w:val="619148F7"/>
    <w:rsid w:val="6198490F"/>
    <w:rsid w:val="61FA5610"/>
    <w:rsid w:val="62142A61"/>
    <w:rsid w:val="62A43985"/>
    <w:rsid w:val="62CE25AA"/>
    <w:rsid w:val="64004955"/>
    <w:rsid w:val="64FE7CAC"/>
    <w:rsid w:val="66E520A5"/>
    <w:rsid w:val="67645492"/>
    <w:rsid w:val="67E63ED9"/>
    <w:rsid w:val="67FA1A50"/>
    <w:rsid w:val="680C1AEE"/>
    <w:rsid w:val="68B166E3"/>
    <w:rsid w:val="69722BCB"/>
    <w:rsid w:val="699D0A15"/>
    <w:rsid w:val="69C13537"/>
    <w:rsid w:val="6A6C21BB"/>
    <w:rsid w:val="6AC21AD5"/>
    <w:rsid w:val="6AF97ECD"/>
    <w:rsid w:val="6B6F4993"/>
    <w:rsid w:val="6E7B5B56"/>
    <w:rsid w:val="6F4340A4"/>
    <w:rsid w:val="6F657D34"/>
    <w:rsid w:val="6F742218"/>
    <w:rsid w:val="6F8A01F7"/>
    <w:rsid w:val="6F9717E7"/>
    <w:rsid w:val="6FBA25F9"/>
    <w:rsid w:val="70587C63"/>
    <w:rsid w:val="711F3BD4"/>
    <w:rsid w:val="71597571"/>
    <w:rsid w:val="71A32941"/>
    <w:rsid w:val="721A0977"/>
    <w:rsid w:val="72547AD7"/>
    <w:rsid w:val="72BF37AA"/>
    <w:rsid w:val="72C50B17"/>
    <w:rsid w:val="7326786A"/>
    <w:rsid w:val="73473521"/>
    <w:rsid w:val="73492B25"/>
    <w:rsid w:val="735707F0"/>
    <w:rsid w:val="74067B15"/>
    <w:rsid w:val="751604DE"/>
    <w:rsid w:val="753F0BD2"/>
    <w:rsid w:val="75A4692A"/>
    <w:rsid w:val="75B8229B"/>
    <w:rsid w:val="76472434"/>
    <w:rsid w:val="769E5D83"/>
    <w:rsid w:val="771147F1"/>
    <w:rsid w:val="77DB24F3"/>
    <w:rsid w:val="793022DA"/>
    <w:rsid w:val="794874C6"/>
    <w:rsid w:val="7B2418EC"/>
    <w:rsid w:val="7B2525C8"/>
    <w:rsid w:val="7B911F3A"/>
    <w:rsid w:val="7CB4087A"/>
    <w:rsid w:val="7D3B2A1E"/>
    <w:rsid w:val="7F1903B6"/>
    <w:rsid w:val="7F2801AA"/>
    <w:rsid w:val="7F2A3067"/>
    <w:rsid w:val="7F2E733D"/>
    <w:rsid w:val="7FE04082"/>
    <w:rsid w:val="7FFB29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Times New Roman" w:hAnsi="Times New Roman" w:eastAsia="宋体" w:cs="Times New Roman"/>
      <w:kern w:val="2"/>
      <w:sz w:val="28"/>
      <w:szCs w:val="22"/>
      <w:lang w:val="en-US" w:eastAsia="zh-CN" w:bidi="ar-SA"/>
    </w:rPr>
  </w:style>
  <w:style w:type="paragraph" w:styleId="2">
    <w:name w:val="heading 1"/>
    <w:basedOn w:val="1"/>
    <w:next w:val="1"/>
    <w:link w:val="18"/>
    <w:qFormat/>
    <w:uiPriority w:val="9"/>
    <w:pPr>
      <w:keepNext/>
      <w:keepLines/>
      <w:snapToGrid w:val="0"/>
      <w:spacing w:beforeLines="50" w:afterLines="50" w:line="360" w:lineRule="auto"/>
      <w:jc w:val="center"/>
      <w:outlineLvl w:val="0"/>
    </w:pPr>
    <w:rPr>
      <w:rFonts w:ascii="Times New Roman" w:hAnsi="Times New Roman" w:eastAsia="宋体" w:cs="Times New Roman"/>
      <w:b/>
      <w:bCs/>
      <w:kern w:val="44"/>
      <w:sz w:val="36"/>
      <w:szCs w:val="44"/>
    </w:rPr>
  </w:style>
  <w:style w:type="paragraph" w:styleId="3">
    <w:name w:val="heading 2"/>
    <w:basedOn w:val="1"/>
    <w:next w:val="1"/>
    <w:unhideWhenUsed/>
    <w:qFormat/>
    <w:uiPriority w:val="9"/>
    <w:pPr>
      <w:keepNext/>
      <w:keepLines/>
      <w:spacing w:line="360" w:lineRule="auto"/>
      <w:jc w:val="left"/>
      <w:outlineLvl w:val="1"/>
    </w:pPr>
    <w:rPr>
      <w:rFonts w:ascii="Cambria" w:hAnsi="Cambria" w:eastAsia="宋体" w:cs="Times New Roman"/>
      <w:b/>
      <w:bCs/>
      <w:sz w:val="32"/>
      <w:szCs w:val="32"/>
    </w:rPr>
  </w:style>
  <w:style w:type="paragraph" w:styleId="4">
    <w:name w:val="heading 3"/>
    <w:basedOn w:val="1"/>
    <w:next w:val="1"/>
    <w:unhideWhenUsed/>
    <w:qFormat/>
    <w:uiPriority w:val="9"/>
    <w:pPr>
      <w:keepNext/>
      <w:keepLines/>
      <w:spacing w:line="360" w:lineRule="auto"/>
      <w:jc w:val="left"/>
      <w:outlineLvl w:val="2"/>
    </w:pPr>
    <w:rPr>
      <w:b/>
      <w:bCs/>
      <w:sz w:val="30"/>
      <w:szCs w:val="32"/>
    </w:rPr>
  </w:style>
  <w:style w:type="paragraph" w:styleId="5">
    <w:name w:val="heading 4"/>
    <w:basedOn w:val="1"/>
    <w:next w:val="1"/>
    <w:unhideWhenUsed/>
    <w:qFormat/>
    <w:uiPriority w:val="9"/>
    <w:pPr>
      <w:keepNext/>
      <w:keepLines/>
      <w:spacing w:line="360" w:lineRule="auto"/>
      <w:jc w:val="left"/>
      <w:outlineLvl w:val="3"/>
    </w:pPr>
    <w:rPr>
      <w:rFonts w:ascii="Cambria" w:hAnsi="Cambria" w:cs="Times New Roman"/>
      <w:b/>
      <w:bCs/>
      <w:sz w:val="28"/>
      <w:szCs w:val="28"/>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Plain Text"/>
    <w:basedOn w:val="1"/>
    <w:link w:val="15"/>
    <w:qFormat/>
    <w:uiPriority w:val="0"/>
    <w:rPr>
      <w:rFonts w:ascii="宋体" w:hAnsi="Courier New" w:eastAsia="宋体" w:cs="Courier New"/>
      <w:szCs w:val="21"/>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Hyperlink"/>
    <w:basedOn w:val="13"/>
    <w:qFormat/>
    <w:uiPriority w:val="0"/>
    <w:rPr>
      <w:color w:val="0000FF"/>
      <w:u w:val="single"/>
    </w:rPr>
  </w:style>
  <w:style w:type="character" w:customStyle="1" w:styleId="15">
    <w:name w:val="纯文本 Char"/>
    <w:basedOn w:val="13"/>
    <w:link w:val="7"/>
    <w:qFormat/>
    <w:uiPriority w:val="0"/>
    <w:rPr>
      <w:rFonts w:ascii="宋体" w:hAnsi="Courier New" w:eastAsia="宋体" w:cs="Courier New"/>
      <w:szCs w:val="21"/>
    </w:rPr>
  </w:style>
  <w:style w:type="character" w:customStyle="1" w:styleId="16">
    <w:name w:val="font21"/>
    <w:basedOn w:val="13"/>
    <w:qFormat/>
    <w:uiPriority w:val="0"/>
    <w:rPr>
      <w:rFonts w:hint="eastAsia" w:ascii="宋体" w:hAnsi="宋体" w:eastAsia="宋体" w:cs="宋体"/>
      <w:color w:val="000000"/>
      <w:sz w:val="24"/>
      <w:szCs w:val="24"/>
      <w:u w:val="none"/>
      <w:vertAlign w:val="superscript"/>
    </w:rPr>
  </w:style>
  <w:style w:type="character" w:customStyle="1" w:styleId="17">
    <w:name w:val="font11"/>
    <w:basedOn w:val="13"/>
    <w:qFormat/>
    <w:uiPriority w:val="0"/>
    <w:rPr>
      <w:rFonts w:hint="eastAsia" w:ascii="宋体" w:hAnsi="宋体" w:eastAsia="宋体" w:cs="宋体"/>
      <w:color w:val="000000"/>
      <w:sz w:val="24"/>
      <w:szCs w:val="24"/>
      <w:u w:val="none"/>
    </w:rPr>
  </w:style>
  <w:style w:type="character" w:customStyle="1" w:styleId="18">
    <w:name w:val="标题 1 Char"/>
    <w:basedOn w:val="13"/>
    <w:link w:val="2"/>
    <w:qFormat/>
    <w:uiPriority w:val="9"/>
    <w:rPr>
      <w:rFonts w:ascii="Times New Roman" w:hAnsi="Times New Roman" w:eastAsia="宋体" w:cs="Times New Roman"/>
      <w:b/>
      <w:bCs/>
      <w:kern w:val="44"/>
      <w:sz w:val="36"/>
      <w:szCs w:val="44"/>
    </w:rPr>
  </w:style>
  <w:style w:type="character" w:customStyle="1" w:styleId="19">
    <w:name w:val="font31"/>
    <w:basedOn w:val="13"/>
    <w:qFormat/>
    <w:uiPriority w:val="0"/>
    <w:rPr>
      <w:rFonts w:hint="default" w:ascii="Times New Roman" w:hAnsi="Times New Roman" w:cs="Times New Roman"/>
      <w:color w:val="000000"/>
      <w:sz w:val="22"/>
      <w:szCs w:val="22"/>
      <w:u w:val="none"/>
      <w:vertAlign w:val="superscript"/>
    </w:rPr>
  </w:style>
  <w:style w:type="paragraph" w:customStyle="1" w:styleId="20">
    <w:name w:val="p0"/>
    <w:basedOn w:val="1"/>
    <w:qFormat/>
    <w:uiPriority w:val="0"/>
    <w:pPr>
      <w:widowControl/>
    </w:pPr>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6d31ddef-4d02-4b31-902b-1f790a4d0711</errorID>
      <errorWord>《中共中央办公厅、国务院办公厅</errorWord>
      <group>L1_Political</group>
      <groupName>政治性问题</groupName>
      <ability>L2_Unpolitical</ability>
      <abilityName>政治敏感错误</abilityName>
      <candidateList>
        <item>《中共中央办公厅 国务院办公厅</item>
      </candidateList>
      <explain/>
      <paraID>673B8908</paraID>
      <start>2</start>
      <end>17</end>
      <status>modified</status>
      <modifiedWord>《中共中央办公厅 国务院办公厅</modifiedWord>
      <trackRevisions>false</trackRevisions>
    </reviewItem>
    <reviewItem>
      <errorID>ce6b266e-fb16-4377-bc6e-20e85003e5aa</errorID>
      <errorWord>黑龙江省土地管理条例</errorWord>
      <group>L1_Knowledge</group>
      <groupName>知识性问题</groupName>
      <ability>L2_Knowledge</ability>
      <abilityName>其他知识</abilityName>
      <candidateList/>
      <explain>该法规已废止，请注意检查引用是否正确。</explain>
      <paraID>7BFEA71A</paraID>
      <start>3</start>
      <end>13</end>
      <status>ignored</status>
      <modifiedWord/>
      <trackRevisions>false</trackRevisions>
    </reviewItem>
    <reviewItem>
      <errorID>2c307042-589c-4c93-99da-c2986ee4ba75</errorID>
      <errorWord>黑龙江省河道管理条例</errorWord>
      <group>L1_Knowledge</group>
      <groupName>知识性问题</groupName>
      <ability>L2_Knowledge</ability>
      <abilityName>其他知识</abilityName>
      <candidateList/>
      <explain>该法规已废止，请注意检查引用是否正确。</explain>
      <paraID>4ED6B194</paraID>
      <start>3</start>
      <end>13</end>
      <status>ignored</status>
      <modifiedWord/>
      <trackRevisions>false</trackRevisions>
    </reviewItem>
    <reviewItem>
      <errorID>787fd061-db98-439f-80ec-c2961f3972dc</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95A65EA</paraID>
      <start>2</start>
      <end>3</end>
      <status>ignored</status>
      <modifiedWord/>
      <trackRevisions>false</trackRevisions>
    </reviewItem>
    <reviewItem>
      <errorID>db80c6ba-df6a-453b-bf38-0a3c04a7605a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26CB410B</paraID>
      <start>6</start>
      <end>7</end>
      <status>ignored</status>
      <modifiedWord/>
      <trackRevisions>false</trackRevisions>
    </reviewItem>
    <reviewItem>
      <errorID>700f162b-867d-4edc-9d0e-b9b40757f6b3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AF449D8</paraID>
      <start>92</start>
      <end>93</end>
      <status>ignored</status>
      <modifiedWord/>
      <trackRevisions>false</trackRevisions>
    </reviewItem>
    <reviewItem>
      <errorID>b9e1b861-bf79-41a0-a4a8-1feeccc4f3e8</errorID>
      <errorWord>年平</errorWord>
      <group>L1_Word</group>
      <groupName>字词问题</groupName>
      <ability>L2_Typo</ability>
      <abilityName>字词错误</abilityName>
      <candidateList>
        <item>平均</item>
      </candidateList>
      <explain/>
      <paraID>3544960C</paraID>
      <start>242</start>
      <end>244</end>
      <status>ignored</status>
      <modifiedWord/>
      <trackRevisions>false</trackRevisions>
    </reviewItem>
    <reviewItem>
      <errorID>30db8c03-e05f-4496-93ba-65b6aea30659</errorID>
      <errorWord>重碳酸盐</errorWord>
      <group>L1_Knowledge</group>
      <groupName>知识性问题</groupName>
      <ability>L2_Term</ability>
      <abilityName>专业术语</abilityName>
      <candidateList>
        <item>碳酸氢盐</item>
      </candidateList>
      <explain>医学名词[重碳酸盐]为不规范表述或旧称，其规范书面表述为[碳酸氢盐]。</explain>
      <paraID>125C114E</paraID>
      <start>158</start>
      <end>162</end>
      <status>ignored</status>
      <modifiedWord/>
      <trackRevisions>false</trackRevisions>
    </reviewItem>
    <reviewItem>
      <errorID>db233213-1fbf-4e39-bb0c-9f84a1c0d9cb</errorID>
      <errorWord>截止</errorWord>
      <group>L1_Word</group>
      <groupName>字词问题</groupName>
      <ability>L2_Typo</ability>
      <abilityName>字词错误</abilityName>
      <candidateList>
        <item>截至</item>
      </candidateList>
      <explain>存在发音相同字词的误用。</explain>
      <paraID>75998926</paraID>
      <start>0</start>
      <end>2</end>
      <status>unmodified</status>
      <modifiedWord/>
      <trackRevisions>false</trackRevisions>
    </reviewItem>
    <reviewItem>
      <errorID>d1ab2bf0-392e-42f0-a12d-dd0f0023c8a1</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47F2ABA7</paraID>
      <start>47</start>
      <end>54</end>
      <status>ignored</status>
      <modifiedWord/>
      <trackRevisions>false</trackRevisions>
    </reviewItem>
    <reviewItem>
      <errorID>15f3339b-b072-42ed-8450-d07daa3d7dca</errorID>
      <errorWord>原住居民</errorWord>
      <group>L1_Sensitive</group>
      <groupName>敏感问题</groupName>
      <ability>L2_Violent</ability>
      <abilityName>暴恐词条</abilityName>
      <candidateList/>
      <explain>【暴恐词条】句中包含暴恐类敏感词条，请注意甄别。</explain>
      <paraID>7942C3B1</paraID>
      <start>125</start>
      <end>129</end>
      <status>ignored</status>
      <modifiedWord/>
      <trackRevisions>false</trackRevisions>
    </reviewItem>
    <reviewItem>
      <errorID>745af626-2370-46d4-ba74-9b434076f8d2</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799E7AB5</paraID>
      <start>0</start>
      <end>7</end>
      <status>ignored</status>
      <modifiedWord/>
      <trackRevisions>false</trackRevisions>
    </reviewItem>
    <reviewItem>
      <errorID>d82ba78f-0518-40c0-810e-d6e50e45c1b9</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76F88CC6</paraID>
      <start>0</start>
      <end>7</end>
      <status>ignored</status>
      <modifiedWord/>
      <trackRevisions>false</trackRevisions>
    </reviewItem>
    <reviewItem>
      <errorID>e92ae5c8-6fc8-4f03-b1d1-2bba69c59645</errorID>
      <errorWord>原住居民</errorWord>
      <group>L1_Sensitive</group>
      <groupName>敏感问题</groupName>
      <ability>L2_Violent</ability>
      <abilityName>暴恐词条</abilityName>
      <candidateList/>
      <explain>【暴恐词条】句中包含暴恐类敏感词条，请注意甄别。</explain>
      <paraID>3FF9CD73</paraID>
      <start>4</start>
      <end>8</end>
      <status>unmodified</status>
      <modifiedWord/>
      <trackRevisions>false</trackRevisions>
    </reviewItem>
    <reviewItem>
      <errorID>297b7f8c-6829-4cdf-aa27-ad8d6c695c20</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26183BB0</paraID>
      <start>8</start>
      <end>15</end>
      <status>ignored</status>
      <modifiedWord/>
      <trackRevisions>false</trackRevisions>
    </reviewItem>
    <reviewItem>
      <errorID>9f1da3e9-c491-4932-91e7-a5cfbea4bba7</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4F59BF2E</paraID>
      <start>0</start>
      <end>7</end>
      <status>ignored</status>
      <modifiedWord/>
      <trackRevisions>false</trackRevisions>
    </reviewItem>
    <reviewItem>
      <errorID>384846be-1107-4c27-a9d3-c25532ccb2a9</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4F59BF2E</paraID>
      <start>120</start>
      <end>127</end>
      <status>ignored</status>
      <modifiedWord/>
      <trackRevisions>false</trackRevisions>
    </reviewItem>
    <reviewItem>
      <errorID>5fe561d2-947b-4170-820e-9d7c961e6ebe</errorID>
      <errorWord>-</errorWord>
      <group>L1_Format</group>
      <groupName>格式问题</groupName>
      <ability>L2_HalfPunc</ability>
      <abilityName>全半角检查</abilityName>
      <candidateList>
        <item>－</item>
      </candidateList>
      <explain>文本全半角错误。</explain>
      <paraID>2833D337</paraID>
      <start>87</start>
      <end>88</end>
      <status>modified</status>
      <modifiedWord>－</modifiedWord>
      <trackRevisions>false</trackRevisions>
    </reviewItem>
    <reviewItem>
      <errorID>9c59b9d4-bbaf-457c-a4a4-a4a1f7655c25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513D009A</paraID>
      <start>106</start>
      <end>107</end>
      <status>unmodified</status>
      <modifiedWord/>
      <trackRevisions>false</trackRevisions>
    </reviewItem>
    <reviewItem>
      <errorID>a0f49546-7cd0-4b11-b343-8c2fb69763f0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513D009A</paraID>
      <start>130</start>
      <end>131</end>
      <status>unmodified</status>
      <modifiedWord/>
      <trackRevisions>false</trackRevisions>
    </reviewItem>
    <reviewItem>
      <errorID>b16a1487-c6cd-4e2c-9887-ae104934e88e</errorID>
      <errorWord>,</errorWord>
      <group>L1_Format</group>
      <groupName>格式问题</groupName>
      <ability>L2_HalfPunc</ability>
      <abilityName>全半角检查</abilityName>
      <candidateList>
        <item>，</item>
      </candidateList>
      <explain>文本全半角错误。</explain>
      <paraID>513D009A</paraID>
      <start>136</start>
      <end>137</end>
      <status>modified</status>
      <modifiedWord>，</modifiedWord>
      <trackRevisions>false</trackRevisions>
    </reviewItem>
    <reviewItem>
      <errorID>8b3ee2ca-eb49-4734-965e-a7b80539d998</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48F6EFBC</paraID>
      <start>7</start>
      <end>14</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9123f7-2ac9-4621-8a88-e70bed707f41}">
  <ds:schemaRefs/>
</ds:datastoreItem>
</file>

<file path=docProps/app.xml><?xml version="1.0" encoding="utf-8"?>
<Properties xmlns="http://schemas.openxmlformats.org/officeDocument/2006/extended-properties" xmlns:vt="http://schemas.openxmlformats.org/officeDocument/2006/docPropsVTypes">
  <Template>Normal.dotm</Template>
  <Pages>74</Pages>
  <Words>9079</Words>
  <Characters>10227</Characters>
  <Lines>0</Lines>
  <Paragraphs>0</Paragraphs>
  <TotalTime>18</TotalTime>
  <ScaleCrop>false</ScaleCrop>
  <LinksUpToDate>false</LinksUpToDate>
  <CharactersWithSpaces>10472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2025-11-14T03:17:00Z</dcterms:created>
  <dc:creator>Administrator</dc:creator>
  <cp:lastModifiedBy>明明如月</cp:lastModifiedBy>
  <dcterms:modified xsi:type="dcterms:W3CDTF">2026-03-20T08:55:53Z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eyJoZGlkIjoiZWU5MTgzZDE3MThhMjMyOWUyZTBjMWU1N2FhMjQ1M2QiLCJ1c2VySWQiOiI5NDY2OTY1NjQifQ==</vt:lpwstr>
  </property>
  <property fmtid="{D5CDD505-2E9C-101B-9397-08002B2CF9AE}" pid="4" name="ICV">
    <vt:lpwstr>11935A28BD174356A9097E1C08B5E3FE_13</vt:lpwstr>
  </property>
</Properties>
</file>