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adjustRightInd w:val="0"/>
        <w:snapToGrid w:val="0"/>
        <w:jc w:val="center"/>
        <w:outlineLvl w:val="0"/>
        <w:rPr>
          <w:rFonts w:eastAsia="方正小标宋_GBK"/>
          <w:bCs/>
          <w:color w:val="auto"/>
          <w:sz w:val="72"/>
          <w:szCs w:val="72"/>
        </w:rPr>
      </w:pPr>
      <w:bookmarkStart w:id="0" w:name="_Toc15511"/>
      <w:bookmarkStart w:id="1" w:name="_Toc8828"/>
      <w:bookmarkStart w:id="2" w:name="_Toc17560"/>
      <w:bookmarkStart w:id="3" w:name="_Toc14081"/>
      <w:bookmarkStart w:id="4" w:name="_Toc18792"/>
      <w:bookmarkStart w:id="5" w:name="_Toc24019"/>
      <w:bookmarkStart w:id="6" w:name="_Toc20189"/>
      <w:bookmarkStart w:id="7" w:name="_Toc26034"/>
      <w:bookmarkStart w:id="8" w:name="_Toc16617"/>
      <w:bookmarkStart w:id="9" w:name="_Toc12047"/>
      <w:bookmarkStart w:id="10" w:name="_Toc24661"/>
      <w:bookmarkStart w:id="11" w:name="_Toc201"/>
      <w:bookmarkStart w:id="12" w:name="_Toc80034800"/>
      <w:bookmarkStart w:id="13" w:name="_Toc1236"/>
      <w:bookmarkStart w:id="14" w:name="_Toc19999"/>
      <w:bookmarkStart w:id="15" w:name="_Toc4482"/>
      <w:bookmarkStart w:id="16" w:name="_Toc3328"/>
      <w:bookmarkStart w:id="17" w:name="_Toc17705"/>
      <w:bookmarkStart w:id="18" w:name="_Toc17720"/>
      <w:bookmarkStart w:id="19" w:name="_Toc6910"/>
      <w:r>
        <w:rPr>
          <w:rFonts w:eastAsia="方正小标宋_GBK"/>
          <w:bCs/>
          <w:color w:val="auto"/>
          <w:sz w:val="72"/>
          <w:szCs w:val="72"/>
        </w:rPr>
        <w:t>建设项目环境影响报告表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p>
    <w:p>
      <w:pPr>
        <w:adjustRightInd w:val="0"/>
        <w:snapToGrid w:val="0"/>
        <w:spacing w:before="192" w:beforeLines="80"/>
        <w:jc w:val="center"/>
        <w:rPr>
          <w:rFonts w:eastAsia="楷体_GB2312"/>
          <w:bCs/>
          <w:color w:val="auto"/>
          <w:sz w:val="48"/>
          <w:szCs w:val="48"/>
        </w:rPr>
      </w:pPr>
    </w:p>
    <w:p>
      <w:pPr>
        <w:rPr>
          <w:color w:val="auto"/>
        </w:rPr>
      </w:pP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adjustRightInd w:val="0"/>
        <w:snapToGrid w:val="0"/>
        <w:spacing w:line="560" w:lineRule="exact"/>
        <w:ind w:firstLine="1280" w:firstLineChars="400"/>
        <w:jc w:val="left"/>
        <w:rPr>
          <w:rFonts w:hint="eastAsia"/>
          <w:color w:val="auto"/>
          <w:sz w:val="32"/>
          <w:szCs w:val="32"/>
          <w:u w:val="single"/>
          <w:lang w:eastAsia="zh-CN"/>
        </w:rPr>
      </w:pPr>
      <w:r>
        <w:rPr>
          <w:color w:val="auto"/>
          <w:sz w:val="32"/>
          <w:szCs w:val="32"/>
        </w:rPr>
        <w:t>项目名称：</w:t>
      </w:r>
      <w:r>
        <w:rPr>
          <w:rFonts w:hint="eastAsia"/>
          <w:color w:val="auto"/>
          <w:sz w:val="32"/>
          <w:szCs w:val="32"/>
          <w:u w:val="single"/>
          <w:lang w:eastAsia="zh-CN"/>
        </w:rPr>
        <w:t>黑龙江省伊春市嘉荫县保兴镇前岗村</w:t>
      </w:r>
    </w:p>
    <w:p>
      <w:pPr>
        <w:adjustRightInd w:val="0"/>
        <w:snapToGrid w:val="0"/>
        <w:spacing w:line="560" w:lineRule="exact"/>
        <w:ind w:firstLine="2880" w:firstLineChars="900"/>
        <w:jc w:val="left"/>
        <w:rPr>
          <w:color w:val="auto"/>
          <w:sz w:val="32"/>
          <w:szCs w:val="32"/>
          <w:u w:val="single"/>
        </w:rPr>
      </w:pPr>
      <w:r>
        <w:rPr>
          <w:rFonts w:hint="eastAsia"/>
          <w:color w:val="auto"/>
          <w:sz w:val="32"/>
          <w:szCs w:val="32"/>
          <w:u w:val="single"/>
          <w:lang w:eastAsia="zh-CN"/>
        </w:rPr>
        <w:t>蜂蜜加工项目</w:t>
      </w:r>
    </w:p>
    <w:p>
      <w:pPr>
        <w:adjustRightInd w:val="0"/>
        <w:snapToGrid w:val="0"/>
        <w:spacing w:line="560" w:lineRule="exact"/>
        <w:ind w:firstLine="1280" w:firstLineChars="400"/>
        <w:jc w:val="both"/>
        <w:rPr>
          <w:rFonts w:hint="default" w:eastAsia="宋体"/>
          <w:color w:val="auto"/>
          <w:sz w:val="32"/>
          <w:szCs w:val="32"/>
          <w:lang w:val="en-US" w:eastAsia="zh-CN"/>
        </w:rPr>
      </w:pPr>
      <w:r>
        <w:rPr>
          <w:color w:val="auto"/>
          <w:sz w:val="32"/>
          <w:szCs w:val="32"/>
        </w:rPr>
        <w:t>建设单位：</w:t>
      </w:r>
      <w:r>
        <w:rPr>
          <w:rFonts w:hint="eastAsia"/>
          <w:color w:val="auto"/>
          <w:sz w:val="32"/>
          <w:szCs w:val="32"/>
          <w:u w:val="single"/>
          <w:lang w:eastAsia="zh-CN"/>
        </w:rPr>
        <w:t>嘉荫县保兴镇人民政府</w:t>
      </w:r>
      <w:r>
        <w:rPr>
          <w:rFonts w:hint="eastAsia"/>
          <w:color w:val="auto"/>
          <w:sz w:val="32"/>
          <w:szCs w:val="32"/>
          <w:u w:val="single"/>
          <w:lang w:val="en-US" w:eastAsia="zh-CN"/>
        </w:rPr>
        <w:t xml:space="preserve"> </w:t>
      </w:r>
    </w:p>
    <w:p>
      <w:pPr>
        <w:adjustRightInd w:val="0"/>
        <w:snapToGrid w:val="0"/>
        <w:spacing w:line="560" w:lineRule="exact"/>
        <w:ind w:firstLine="1280" w:firstLineChars="400"/>
        <w:jc w:val="both"/>
        <w:rPr>
          <w:rFonts w:hint="default" w:eastAsia="宋体"/>
          <w:color w:val="auto"/>
          <w:sz w:val="32"/>
          <w:szCs w:val="32"/>
          <w:u w:val="single"/>
          <w:lang w:val="en-US" w:eastAsia="zh-CN"/>
        </w:rPr>
      </w:pPr>
      <w:r>
        <w:rPr>
          <w:color w:val="auto"/>
          <w:sz w:val="32"/>
          <w:szCs w:val="32"/>
        </w:rPr>
        <w:t>编制日期：</w:t>
      </w:r>
      <w:r>
        <w:rPr>
          <w:rFonts w:hint="eastAsia"/>
          <w:color w:val="auto"/>
          <w:sz w:val="32"/>
          <w:szCs w:val="32"/>
          <w:u w:val="single"/>
          <w:lang w:val="en-US" w:eastAsia="zh-CN"/>
        </w:rPr>
        <w:t xml:space="preserve">       </w:t>
      </w:r>
      <w:r>
        <w:rPr>
          <w:color w:val="auto"/>
          <w:sz w:val="32"/>
          <w:szCs w:val="32"/>
          <w:u w:val="single"/>
        </w:rPr>
        <w:t>202</w:t>
      </w:r>
      <w:r>
        <w:rPr>
          <w:rFonts w:hint="eastAsia"/>
          <w:color w:val="auto"/>
          <w:sz w:val="32"/>
          <w:szCs w:val="32"/>
          <w:u w:val="single"/>
          <w:lang w:val="en-US" w:eastAsia="zh-CN"/>
        </w:rPr>
        <w:t>6</w:t>
      </w:r>
      <w:r>
        <w:rPr>
          <w:color w:val="auto"/>
          <w:sz w:val="32"/>
          <w:szCs w:val="32"/>
          <w:u w:val="single"/>
        </w:rPr>
        <w:t>年</w:t>
      </w:r>
      <w:r>
        <w:rPr>
          <w:rFonts w:hint="eastAsia"/>
          <w:color w:val="auto"/>
          <w:sz w:val="32"/>
          <w:szCs w:val="32"/>
          <w:u w:val="single"/>
          <w:lang w:val="en-US" w:eastAsia="zh-CN"/>
        </w:rPr>
        <w:t>4</w:t>
      </w:r>
      <w:r>
        <w:rPr>
          <w:color w:val="auto"/>
          <w:sz w:val="32"/>
          <w:szCs w:val="32"/>
          <w:u w:val="single"/>
        </w:rPr>
        <w:t>月</w:t>
      </w:r>
      <w:r>
        <w:rPr>
          <w:rFonts w:hint="eastAsia"/>
          <w:color w:val="auto"/>
          <w:sz w:val="32"/>
          <w:szCs w:val="32"/>
          <w:u w:val="single"/>
          <w:lang w:val="en-US" w:eastAsia="zh-CN"/>
        </w:rPr>
        <w:t xml:space="preserve">       </w:t>
      </w:r>
    </w:p>
    <w:p>
      <w:pPr>
        <w:adjustRightInd w:val="0"/>
        <w:snapToGrid w:val="0"/>
        <w:spacing w:line="560" w:lineRule="exact"/>
        <w:ind w:firstLine="1040"/>
        <w:rPr>
          <w:rFonts w:eastAsia="仿宋_GB2312"/>
          <w:color w:val="auto"/>
          <w:sz w:val="36"/>
          <w:szCs w:val="36"/>
          <w:u w:val="single"/>
        </w:rPr>
      </w:pPr>
      <w:bookmarkStart w:id="20" w:name="_Hlk57884087"/>
    </w:p>
    <w:p>
      <w:pPr>
        <w:adjustRightInd w:val="0"/>
        <w:snapToGrid w:val="0"/>
        <w:spacing w:line="560" w:lineRule="exact"/>
        <w:ind w:firstLine="1040"/>
        <w:rPr>
          <w:rFonts w:eastAsia="仿宋_GB2312"/>
          <w:color w:val="auto"/>
          <w:sz w:val="36"/>
          <w:szCs w:val="36"/>
        </w:rPr>
      </w:pPr>
    </w:p>
    <w:p>
      <w:pPr>
        <w:adjustRightInd w:val="0"/>
        <w:snapToGrid w:val="0"/>
        <w:spacing w:line="288" w:lineRule="auto"/>
        <w:ind w:firstLine="1040"/>
        <w:rPr>
          <w:rFonts w:eastAsia="仿宋_GB2312"/>
          <w:color w:val="auto"/>
          <w:sz w:val="36"/>
          <w:szCs w:val="36"/>
        </w:rPr>
      </w:pPr>
    </w:p>
    <w:p>
      <w:pPr>
        <w:adjustRightInd w:val="0"/>
        <w:snapToGrid w:val="0"/>
        <w:spacing w:line="288" w:lineRule="auto"/>
        <w:ind w:firstLine="1040"/>
        <w:rPr>
          <w:rFonts w:eastAsia="仿宋_GB2312"/>
          <w:color w:val="auto"/>
          <w:sz w:val="36"/>
          <w:szCs w:val="36"/>
        </w:rPr>
      </w:pPr>
    </w:p>
    <w:p>
      <w:pPr>
        <w:adjustRightInd w:val="0"/>
        <w:snapToGrid w:val="0"/>
        <w:spacing w:line="288" w:lineRule="auto"/>
        <w:ind w:firstLine="1040"/>
        <w:rPr>
          <w:rFonts w:eastAsia="仿宋_GB2312"/>
          <w:color w:val="auto"/>
          <w:sz w:val="36"/>
          <w:szCs w:val="36"/>
        </w:rPr>
      </w:pPr>
    </w:p>
    <w:bookmarkEnd w:id="20"/>
    <w:p>
      <w:pPr>
        <w:adjustRightInd w:val="0"/>
        <w:snapToGrid w:val="0"/>
        <w:spacing w:line="288" w:lineRule="auto"/>
        <w:jc w:val="center"/>
        <w:rPr>
          <w:rFonts w:eastAsia="楷体_GB2312"/>
          <w:color w:val="auto"/>
          <w:sz w:val="36"/>
          <w:szCs w:val="36"/>
        </w:rPr>
      </w:pPr>
      <w:r>
        <w:rPr>
          <w:rFonts w:hint="eastAsia" w:eastAsia="楷体_GB2312"/>
          <w:color w:val="auto"/>
          <w:sz w:val="36"/>
          <w:szCs w:val="36"/>
        </w:rPr>
        <w:t>中华人民共和国生态环境部</w:t>
      </w:r>
      <w:r>
        <w:rPr>
          <w:rFonts w:eastAsia="楷体_GB2312"/>
          <w:color w:val="auto"/>
          <w:sz w:val="36"/>
          <w:szCs w:val="36"/>
        </w:rPr>
        <w:t>制</w:t>
      </w:r>
    </w:p>
    <w:p>
      <w:pPr>
        <w:adjustRightInd w:val="0"/>
        <w:snapToGrid w:val="0"/>
        <w:spacing w:line="288" w:lineRule="auto"/>
        <w:jc w:val="center"/>
        <w:rPr>
          <w:rFonts w:eastAsia="楷体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1"/>
        <w:rPr>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drawing>
          <wp:inline distT="0" distB="0" distL="114300" distR="114300">
            <wp:extent cx="5076825" cy="6686550"/>
            <wp:effectExtent l="0" t="0" r="9525"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1"/>
                    <a:stretch>
                      <a:fillRect/>
                    </a:stretch>
                  </pic:blipFill>
                  <pic:spPr>
                    <a:xfrm>
                      <a:off x="0" y="0"/>
                      <a:ext cx="5076825" cy="6686550"/>
                    </a:xfrm>
                    <a:prstGeom prst="rect">
                      <a:avLst/>
                    </a:prstGeom>
                    <a:noFill/>
                    <a:ln>
                      <a:noFill/>
                    </a:ln>
                  </pic:spPr>
                </pic:pic>
              </a:graphicData>
            </a:graphic>
          </wp:inline>
        </w:drawing>
      </w:r>
    </w:p>
    <w:p>
      <w:pPr>
        <w:widowControl/>
        <w:spacing w:line="360" w:lineRule="auto"/>
        <w:jc w:val="center"/>
        <w:rPr>
          <w:rFonts w:hint="default" w:ascii="Times New Roman" w:hAnsi="Times New Roman" w:eastAsia="宋体" w:cs="Times New Roman"/>
          <w:b/>
          <w:bCs/>
          <w:color w:val="auto"/>
          <w:kern w:val="0"/>
          <w:sz w:val="40"/>
          <w:szCs w:val="40"/>
          <w:highlight w:val="none"/>
          <w:lang w:bidi="ar"/>
        </w:rPr>
      </w:pPr>
      <w:r>
        <w:rPr>
          <w:rFonts w:hint="default" w:ascii="Times New Roman" w:hAnsi="Times New Roman" w:eastAsia="宋体" w:cs="Times New Roman"/>
          <w:b/>
          <w:bCs/>
          <w:color w:val="auto"/>
          <w:kern w:val="0"/>
          <w:sz w:val="40"/>
          <w:szCs w:val="40"/>
          <w:highlight w:val="none"/>
          <w:lang w:bidi="ar"/>
        </w:rPr>
        <w:t xml:space="preserve">目 </w:t>
      </w:r>
      <w:r>
        <w:rPr>
          <w:rFonts w:hint="default" w:ascii="Times New Roman" w:hAnsi="Times New Roman" w:eastAsia="宋体" w:cs="Times New Roman"/>
          <w:b/>
          <w:bCs/>
          <w:color w:val="auto"/>
          <w:kern w:val="0"/>
          <w:sz w:val="40"/>
          <w:szCs w:val="40"/>
          <w:highlight w:val="none"/>
          <w:lang w:val="en-US" w:eastAsia="zh-CN" w:bidi="ar"/>
        </w:rPr>
        <w:t xml:space="preserve"> </w:t>
      </w:r>
      <w:r>
        <w:rPr>
          <w:rFonts w:hint="default" w:ascii="Times New Roman" w:hAnsi="Times New Roman" w:eastAsia="宋体" w:cs="Times New Roman"/>
          <w:b/>
          <w:bCs/>
          <w:color w:val="auto"/>
          <w:kern w:val="0"/>
          <w:sz w:val="40"/>
          <w:szCs w:val="40"/>
          <w:highlight w:val="none"/>
          <w:lang w:bidi="ar"/>
        </w:rPr>
        <w:t>录</w:t>
      </w:r>
    </w:p>
    <w:sdt>
      <w:sdtPr>
        <w:rPr>
          <w:rFonts w:hint="default" w:ascii="Times New Roman" w:hAnsi="Times New Roman" w:eastAsia="宋体" w:cs="Times New Roman"/>
          <w:color w:val="auto"/>
          <w:kern w:val="2"/>
          <w:sz w:val="24"/>
          <w:szCs w:val="24"/>
          <w:lang w:val="zh-CN"/>
        </w:rPr>
        <w:id w:val="272366753"/>
        <w:docPartObj>
          <w:docPartGallery w:val="Table of Contents"/>
          <w:docPartUnique/>
        </w:docPartObj>
      </w:sdtPr>
      <w:sdtEndPr>
        <w:rPr>
          <w:rFonts w:hint="default" w:ascii="Times New Roman" w:hAnsi="Times New Roman" w:eastAsia="宋体" w:cs="Times New Roman"/>
          <w:snapToGrid w:val="0"/>
          <w:color w:val="auto"/>
          <w:kern w:val="2"/>
          <w:sz w:val="24"/>
          <w:szCs w:val="24"/>
          <w:lang w:val="zh-CN" w:eastAsia="zh-CN" w:bidi="ar-SA"/>
        </w:rPr>
      </w:sdtEndPr>
      <w:sdtContent>
        <w:p>
          <w:pPr>
            <w:pStyle w:val="18"/>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napToGrid w:val="0"/>
              <w:color w:val="auto"/>
              <w:kern w:val="2"/>
              <w:sz w:val="24"/>
              <w:szCs w:val="24"/>
              <w:lang w:val="zh-CN" w:eastAsia="zh-CN" w:bidi="ar-SA"/>
            </w:rPr>
          </w:pPr>
          <w:r>
            <w:rPr>
              <w:rFonts w:hint="default" w:ascii="Times New Roman" w:hAnsi="Times New Roman" w:eastAsia="宋体" w:cs="Times New Roman"/>
              <w:snapToGrid w:val="0"/>
              <w:color w:val="auto"/>
              <w:kern w:val="2"/>
              <w:sz w:val="24"/>
              <w:szCs w:val="24"/>
              <w:lang w:val="en-US" w:eastAsia="zh-CN" w:bidi="ar-SA"/>
            </w:rPr>
            <w:fldChar w:fldCharType="begin"/>
          </w:r>
          <w:r>
            <w:rPr>
              <w:rFonts w:hint="default" w:ascii="Times New Roman" w:hAnsi="Times New Roman" w:eastAsia="宋体" w:cs="Times New Roman"/>
              <w:snapToGrid w:val="0"/>
              <w:color w:val="auto"/>
              <w:kern w:val="2"/>
              <w:sz w:val="24"/>
              <w:szCs w:val="24"/>
              <w:lang w:val="en-US" w:eastAsia="zh-CN" w:bidi="ar-SA"/>
            </w:rPr>
            <w:instrText xml:space="preserve"> TOC \o "1-3" \h \z \u </w:instrText>
          </w:r>
          <w:r>
            <w:rPr>
              <w:rFonts w:hint="default" w:ascii="Times New Roman" w:hAnsi="Times New Roman" w:eastAsia="宋体" w:cs="Times New Roman"/>
              <w:snapToGrid w:val="0"/>
              <w:color w:val="auto"/>
              <w:kern w:val="2"/>
              <w:sz w:val="24"/>
              <w:szCs w:val="24"/>
              <w:lang w:val="en-US" w:eastAsia="zh-CN" w:bidi="ar-SA"/>
            </w:rPr>
            <w:fldChar w:fldCharType="separate"/>
          </w:r>
        </w:p>
        <w:p>
          <w:pPr>
            <w:pStyle w:val="18"/>
            <w:tabs>
              <w:tab w:val="right" w:leader="dot" w:pos="8844"/>
            </w:tabs>
            <w:rPr>
              <w:rFonts w:hint="default" w:ascii="Times New Roman" w:hAnsi="Times New Roman" w:eastAsia="宋体" w:cs="Times New Roman"/>
              <w:sz w:val="24"/>
              <w:szCs w:val="24"/>
            </w:rPr>
          </w:pPr>
          <w:r>
            <w:rPr>
              <w:rFonts w:hint="default" w:ascii="Times New Roman" w:hAnsi="Times New Roman" w:eastAsia="宋体" w:cs="Times New Roman"/>
              <w:snapToGrid w:val="0"/>
              <w:color w:val="auto"/>
              <w:kern w:val="2"/>
              <w:sz w:val="24"/>
              <w:szCs w:val="24"/>
              <w:lang w:val="zh-CN" w:eastAsia="zh-CN" w:bidi="ar-SA"/>
            </w:rPr>
            <w:fldChar w:fldCharType="begin"/>
          </w:r>
          <w:r>
            <w:rPr>
              <w:rFonts w:hint="default" w:ascii="Times New Roman" w:hAnsi="Times New Roman" w:eastAsia="宋体" w:cs="Times New Roman"/>
              <w:snapToGrid w:val="0"/>
              <w:kern w:val="2"/>
              <w:sz w:val="24"/>
              <w:szCs w:val="24"/>
              <w:lang w:val="zh-CN" w:eastAsia="zh-CN" w:bidi="ar-SA"/>
            </w:rPr>
            <w:instrText xml:space="preserve"> HYPERLINK \l _Toc5433 </w:instrText>
          </w:r>
          <w:r>
            <w:rPr>
              <w:rFonts w:hint="default" w:ascii="Times New Roman" w:hAnsi="Times New Roman" w:eastAsia="宋体" w:cs="Times New Roman"/>
              <w:snapToGrid w:val="0"/>
              <w:kern w:val="2"/>
              <w:sz w:val="24"/>
              <w:szCs w:val="24"/>
              <w:lang w:val="zh-CN" w:eastAsia="zh-CN" w:bidi="ar-SA"/>
            </w:rPr>
            <w:fldChar w:fldCharType="separate"/>
          </w:r>
          <w:r>
            <w:rPr>
              <w:rFonts w:hint="default" w:ascii="Times New Roman" w:hAnsi="Times New Roman" w:eastAsia="宋体" w:cs="Times New Roman"/>
              <w:snapToGrid w:val="0"/>
              <w:sz w:val="24"/>
              <w:szCs w:val="24"/>
            </w:rPr>
            <w:t>一、建设项目基本情况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_Toc5433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napToGrid w:val="0"/>
              <w:color w:val="auto"/>
              <w:kern w:val="2"/>
              <w:sz w:val="24"/>
              <w:szCs w:val="24"/>
              <w:lang w:val="zh-CN" w:eastAsia="zh-CN" w:bidi="ar-SA"/>
            </w:rPr>
            <w:fldChar w:fldCharType="end"/>
          </w:r>
        </w:p>
        <w:p>
          <w:pPr>
            <w:pStyle w:val="18"/>
            <w:tabs>
              <w:tab w:val="right" w:leader="dot" w:pos="8844"/>
            </w:tabs>
            <w:rPr>
              <w:rFonts w:hint="default" w:ascii="Times New Roman" w:hAnsi="Times New Roman" w:eastAsia="宋体" w:cs="Times New Roman"/>
              <w:sz w:val="24"/>
              <w:szCs w:val="24"/>
            </w:rPr>
          </w:pPr>
          <w:r>
            <w:rPr>
              <w:rFonts w:hint="default" w:ascii="Times New Roman" w:hAnsi="Times New Roman" w:eastAsia="宋体" w:cs="Times New Roman"/>
              <w:snapToGrid w:val="0"/>
              <w:color w:val="auto"/>
              <w:kern w:val="2"/>
              <w:sz w:val="24"/>
              <w:szCs w:val="24"/>
              <w:lang w:val="zh-CN" w:eastAsia="zh-CN" w:bidi="ar-SA"/>
            </w:rPr>
            <w:fldChar w:fldCharType="begin"/>
          </w:r>
          <w:r>
            <w:rPr>
              <w:rFonts w:hint="default" w:ascii="Times New Roman" w:hAnsi="Times New Roman" w:eastAsia="宋体" w:cs="Times New Roman"/>
              <w:snapToGrid w:val="0"/>
              <w:kern w:val="2"/>
              <w:sz w:val="24"/>
              <w:szCs w:val="24"/>
              <w:lang w:val="zh-CN" w:eastAsia="zh-CN" w:bidi="ar-SA"/>
            </w:rPr>
            <w:instrText xml:space="preserve"> HYPERLINK \l _Toc19142 </w:instrText>
          </w:r>
          <w:r>
            <w:rPr>
              <w:rFonts w:hint="default" w:ascii="Times New Roman" w:hAnsi="Times New Roman" w:eastAsia="宋体" w:cs="Times New Roman"/>
              <w:snapToGrid w:val="0"/>
              <w:kern w:val="2"/>
              <w:sz w:val="24"/>
              <w:szCs w:val="24"/>
              <w:lang w:val="zh-CN" w:eastAsia="zh-CN" w:bidi="ar-SA"/>
            </w:rPr>
            <w:fldChar w:fldCharType="separate"/>
          </w:r>
          <w:r>
            <w:rPr>
              <w:rFonts w:hint="default" w:ascii="Times New Roman" w:hAnsi="Times New Roman" w:eastAsia="宋体" w:cs="Times New Roman"/>
              <w:snapToGrid w:val="0"/>
              <w:sz w:val="24"/>
              <w:szCs w:val="24"/>
            </w:rPr>
            <w:t>二、建设项目工程分析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_Toc19142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napToGrid w:val="0"/>
              <w:color w:val="auto"/>
              <w:kern w:val="2"/>
              <w:sz w:val="24"/>
              <w:szCs w:val="24"/>
              <w:lang w:val="zh-CN" w:eastAsia="zh-CN" w:bidi="ar-SA"/>
            </w:rPr>
            <w:fldChar w:fldCharType="end"/>
          </w:r>
        </w:p>
        <w:p>
          <w:pPr>
            <w:pStyle w:val="18"/>
            <w:tabs>
              <w:tab w:val="right" w:leader="dot" w:pos="8844"/>
            </w:tabs>
            <w:rPr>
              <w:rFonts w:hint="default" w:ascii="Times New Roman" w:hAnsi="Times New Roman" w:eastAsia="宋体" w:cs="Times New Roman"/>
              <w:sz w:val="24"/>
              <w:szCs w:val="24"/>
            </w:rPr>
          </w:pPr>
          <w:r>
            <w:rPr>
              <w:rFonts w:hint="default" w:ascii="Times New Roman" w:hAnsi="Times New Roman" w:eastAsia="宋体" w:cs="Times New Roman"/>
              <w:snapToGrid w:val="0"/>
              <w:color w:val="auto"/>
              <w:kern w:val="2"/>
              <w:sz w:val="24"/>
              <w:szCs w:val="24"/>
              <w:lang w:val="zh-CN" w:eastAsia="zh-CN" w:bidi="ar-SA"/>
            </w:rPr>
            <w:fldChar w:fldCharType="begin"/>
          </w:r>
          <w:r>
            <w:rPr>
              <w:rFonts w:hint="default" w:ascii="Times New Roman" w:hAnsi="Times New Roman" w:eastAsia="宋体" w:cs="Times New Roman"/>
              <w:snapToGrid w:val="0"/>
              <w:kern w:val="2"/>
              <w:sz w:val="24"/>
              <w:szCs w:val="24"/>
              <w:lang w:val="zh-CN" w:eastAsia="zh-CN" w:bidi="ar-SA"/>
            </w:rPr>
            <w:instrText xml:space="preserve"> HYPERLINK \l _Toc19020 </w:instrText>
          </w:r>
          <w:r>
            <w:rPr>
              <w:rFonts w:hint="default" w:ascii="Times New Roman" w:hAnsi="Times New Roman" w:eastAsia="宋体" w:cs="Times New Roman"/>
              <w:snapToGrid w:val="0"/>
              <w:kern w:val="2"/>
              <w:sz w:val="24"/>
              <w:szCs w:val="24"/>
              <w:lang w:val="zh-CN" w:eastAsia="zh-CN" w:bidi="ar-SA"/>
            </w:rPr>
            <w:fldChar w:fldCharType="separate"/>
          </w:r>
          <w:r>
            <w:rPr>
              <w:rFonts w:hint="default" w:ascii="Times New Roman" w:hAnsi="Times New Roman" w:eastAsia="宋体" w:cs="Times New Roman"/>
              <w:snapToGrid w:val="0"/>
              <w:sz w:val="24"/>
              <w:szCs w:val="24"/>
            </w:rPr>
            <w:t>三、区域环境质量现状、环境保护目标及评价标准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_Toc19020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napToGrid w:val="0"/>
              <w:color w:val="auto"/>
              <w:kern w:val="2"/>
              <w:sz w:val="24"/>
              <w:szCs w:val="24"/>
              <w:lang w:val="zh-CN" w:eastAsia="zh-CN" w:bidi="ar-SA"/>
            </w:rPr>
            <w:fldChar w:fldCharType="end"/>
          </w:r>
        </w:p>
        <w:p>
          <w:pPr>
            <w:pStyle w:val="18"/>
            <w:tabs>
              <w:tab w:val="right" w:leader="dot" w:pos="8844"/>
            </w:tabs>
            <w:rPr>
              <w:rFonts w:hint="default" w:ascii="Times New Roman" w:hAnsi="Times New Roman" w:eastAsia="宋体" w:cs="Times New Roman"/>
              <w:sz w:val="24"/>
              <w:szCs w:val="24"/>
            </w:rPr>
          </w:pPr>
          <w:r>
            <w:rPr>
              <w:rFonts w:hint="default" w:ascii="Times New Roman" w:hAnsi="Times New Roman" w:eastAsia="宋体" w:cs="Times New Roman"/>
              <w:snapToGrid w:val="0"/>
              <w:color w:val="auto"/>
              <w:kern w:val="2"/>
              <w:sz w:val="24"/>
              <w:szCs w:val="24"/>
              <w:lang w:val="zh-CN" w:eastAsia="zh-CN" w:bidi="ar-SA"/>
            </w:rPr>
            <w:fldChar w:fldCharType="begin"/>
          </w:r>
          <w:r>
            <w:rPr>
              <w:rFonts w:hint="default" w:ascii="Times New Roman" w:hAnsi="Times New Roman" w:eastAsia="宋体" w:cs="Times New Roman"/>
              <w:snapToGrid w:val="0"/>
              <w:kern w:val="2"/>
              <w:sz w:val="24"/>
              <w:szCs w:val="24"/>
              <w:lang w:val="zh-CN" w:eastAsia="zh-CN" w:bidi="ar-SA"/>
            </w:rPr>
            <w:instrText xml:space="preserve"> HYPERLINK \l _Toc14552 </w:instrText>
          </w:r>
          <w:r>
            <w:rPr>
              <w:rFonts w:hint="default" w:ascii="Times New Roman" w:hAnsi="Times New Roman" w:eastAsia="宋体" w:cs="Times New Roman"/>
              <w:snapToGrid w:val="0"/>
              <w:kern w:val="2"/>
              <w:sz w:val="24"/>
              <w:szCs w:val="24"/>
              <w:lang w:val="zh-CN" w:eastAsia="zh-CN" w:bidi="ar-SA"/>
            </w:rPr>
            <w:fldChar w:fldCharType="separate"/>
          </w:r>
          <w:r>
            <w:rPr>
              <w:rFonts w:hint="default" w:ascii="Times New Roman" w:hAnsi="Times New Roman" w:eastAsia="宋体" w:cs="Times New Roman"/>
              <w:snapToGrid w:val="0"/>
              <w:sz w:val="24"/>
              <w:szCs w:val="24"/>
            </w:rPr>
            <w:t>四、主要环境影响和保护措施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_Toc14552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napToGrid w:val="0"/>
              <w:color w:val="auto"/>
              <w:kern w:val="2"/>
              <w:sz w:val="24"/>
              <w:szCs w:val="24"/>
              <w:lang w:val="zh-CN" w:eastAsia="zh-CN" w:bidi="ar-SA"/>
            </w:rPr>
            <w:fldChar w:fldCharType="end"/>
          </w:r>
        </w:p>
        <w:p>
          <w:pPr>
            <w:pStyle w:val="18"/>
            <w:tabs>
              <w:tab w:val="right" w:leader="dot" w:pos="8844"/>
            </w:tabs>
            <w:rPr>
              <w:rFonts w:hint="default" w:ascii="Times New Roman" w:hAnsi="Times New Roman" w:eastAsia="宋体" w:cs="Times New Roman"/>
              <w:sz w:val="24"/>
              <w:szCs w:val="24"/>
            </w:rPr>
          </w:pPr>
          <w:r>
            <w:rPr>
              <w:rFonts w:hint="default" w:ascii="Times New Roman" w:hAnsi="Times New Roman" w:eastAsia="宋体" w:cs="Times New Roman"/>
              <w:snapToGrid w:val="0"/>
              <w:color w:val="auto"/>
              <w:kern w:val="2"/>
              <w:sz w:val="24"/>
              <w:szCs w:val="24"/>
              <w:lang w:val="zh-CN" w:eastAsia="zh-CN" w:bidi="ar-SA"/>
            </w:rPr>
            <w:fldChar w:fldCharType="begin"/>
          </w:r>
          <w:r>
            <w:rPr>
              <w:rFonts w:hint="default" w:ascii="Times New Roman" w:hAnsi="Times New Roman" w:eastAsia="宋体" w:cs="Times New Roman"/>
              <w:snapToGrid w:val="0"/>
              <w:kern w:val="2"/>
              <w:sz w:val="24"/>
              <w:szCs w:val="24"/>
              <w:lang w:val="zh-CN" w:eastAsia="zh-CN" w:bidi="ar-SA"/>
            </w:rPr>
            <w:instrText xml:space="preserve"> HYPERLINK \l _Toc30589 </w:instrText>
          </w:r>
          <w:r>
            <w:rPr>
              <w:rFonts w:hint="default" w:ascii="Times New Roman" w:hAnsi="Times New Roman" w:eastAsia="宋体" w:cs="Times New Roman"/>
              <w:snapToGrid w:val="0"/>
              <w:kern w:val="2"/>
              <w:sz w:val="24"/>
              <w:szCs w:val="24"/>
              <w:lang w:val="zh-CN" w:eastAsia="zh-CN" w:bidi="ar-SA"/>
            </w:rPr>
            <w:fldChar w:fldCharType="separate"/>
          </w:r>
          <w:r>
            <w:rPr>
              <w:rFonts w:hint="default" w:ascii="Times New Roman" w:hAnsi="Times New Roman" w:eastAsia="宋体" w:cs="Times New Roman"/>
              <w:snapToGrid w:val="0"/>
              <w:sz w:val="24"/>
              <w:szCs w:val="24"/>
              <w:highlight w:val="none"/>
            </w:rPr>
            <w:t>五、环境保护措施监督检查清单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_Toc30589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napToGrid w:val="0"/>
              <w:color w:val="auto"/>
              <w:kern w:val="2"/>
              <w:sz w:val="24"/>
              <w:szCs w:val="24"/>
              <w:lang w:val="zh-CN" w:eastAsia="zh-CN" w:bidi="ar-SA"/>
            </w:rPr>
            <w:fldChar w:fldCharType="end"/>
          </w:r>
        </w:p>
        <w:p>
          <w:pPr>
            <w:pStyle w:val="18"/>
            <w:tabs>
              <w:tab w:val="right" w:leader="dot" w:pos="8844"/>
            </w:tabs>
            <w:rPr>
              <w:rFonts w:hint="default" w:ascii="Times New Roman" w:hAnsi="Times New Roman" w:eastAsia="宋体" w:cs="Times New Roman"/>
              <w:sz w:val="24"/>
              <w:szCs w:val="24"/>
            </w:rPr>
          </w:pPr>
          <w:r>
            <w:rPr>
              <w:rFonts w:hint="default" w:ascii="Times New Roman" w:hAnsi="Times New Roman" w:eastAsia="宋体" w:cs="Times New Roman"/>
              <w:snapToGrid w:val="0"/>
              <w:color w:val="auto"/>
              <w:kern w:val="2"/>
              <w:sz w:val="24"/>
              <w:szCs w:val="24"/>
              <w:lang w:val="zh-CN" w:eastAsia="zh-CN" w:bidi="ar-SA"/>
            </w:rPr>
            <w:fldChar w:fldCharType="begin"/>
          </w:r>
          <w:r>
            <w:rPr>
              <w:rFonts w:hint="default" w:ascii="Times New Roman" w:hAnsi="Times New Roman" w:eastAsia="宋体" w:cs="Times New Roman"/>
              <w:snapToGrid w:val="0"/>
              <w:kern w:val="2"/>
              <w:sz w:val="24"/>
              <w:szCs w:val="24"/>
              <w:lang w:val="zh-CN" w:eastAsia="zh-CN" w:bidi="ar-SA"/>
            </w:rPr>
            <w:instrText xml:space="preserve"> HYPERLINK \l _Toc21918 </w:instrText>
          </w:r>
          <w:r>
            <w:rPr>
              <w:rFonts w:hint="default" w:ascii="Times New Roman" w:hAnsi="Times New Roman" w:eastAsia="宋体" w:cs="Times New Roman"/>
              <w:snapToGrid w:val="0"/>
              <w:kern w:val="2"/>
              <w:sz w:val="24"/>
              <w:szCs w:val="24"/>
              <w:lang w:val="zh-CN" w:eastAsia="zh-CN" w:bidi="ar-SA"/>
            </w:rPr>
            <w:fldChar w:fldCharType="separate"/>
          </w:r>
          <w:r>
            <w:rPr>
              <w:rFonts w:hint="default" w:ascii="Times New Roman" w:hAnsi="Times New Roman" w:eastAsia="宋体" w:cs="Times New Roman"/>
              <w:snapToGrid w:val="0"/>
              <w:sz w:val="24"/>
              <w:szCs w:val="24"/>
            </w:rPr>
            <w:t>六、结论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_Toc21918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napToGrid w:val="0"/>
              <w:color w:val="auto"/>
              <w:kern w:val="2"/>
              <w:sz w:val="24"/>
              <w:szCs w:val="24"/>
              <w:lang w:val="zh-CN" w:eastAsia="zh-CN" w:bidi="ar-SA"/>
            </w:rPr>
            <w:fldChar w:fldCharType="end"/>
          </w:r>
        </w:p>
        <w:p>
          <w:pPr>
            <w:pStyle w:val="18"/>
            <w:tabs>
              <w:tab w:val="right" w:leader="dot" w:pos="8844"/>
            </w:tabs>
            <w:rPr>
              <w:rFonts w:hint="default" w:ascii="Times New Roman" w:hAnsi="Times New Roman" w:eastAsia="宋体" w:cs="Times New Roman"/>
              <w:sz w:val="24"/>
              <w:szCs w:val="24"/>
            </w:rPr>
          </w:pPr>
          <w:r>
            <w:rPr>
              <w:rFonts w:hint="default" w:ascii="Times New Roman" w:hAnsi="Times New Roman" w:eastAsia="宋体" w:cs="Times New Roman"/>
              <w:snapToGrid w:val="0"/>
              <w:color w:val="auto"/>
              <w:kern w:val="2"/>
              <w:sz w:val="24"/>
              <w:szCs w:val="24"/>
              <w:lang w:val="zh-CN" w:eastAsia="zh-CN" w:bidi="ar-SA"/>
            </w:rPr>
            <w:fldChar w:fldCharType="begin"/>
          </w:r>
          <w:r>
            <w:rPr>
              <w:rFonts w:hint="default" w:ascii="Times New Roman" w:hAnsi="Times New Roman" w:eastAsia="宋体" w:cs="Times New Roman"/>
              <w:snapToGrid w:val="0"/>
              <w:kern w:val="2"/>
              <w:sz w:val="24"/>
              <w:szCs w:val="24"/>
              <w:lang w:val="zh-CN" w:eastAsia="zh-CN" w:bidi="ar-SA"/>
            </w:rPr>
            <w:instrText xml:space="preserve"> HYPERLINK \l _Toc23468 </w:instrText>
          </w:r>
          <w:r>
            <w:rPr>
              <w:rFonts w:hint="default" w:ascii="Times New Roman" w:hAnsi="Times New Roman" w:eastAsia="宋体" w:cs="Times New Roman"/>
              <w:snapToGrid w:val="0"/>
              <w:kern w:val="2"/>
              <w:sz w:val="24"/>
              <w:szCs w:val="24"/>
              <w:lang w:val="zh-CN" w:eastAsia="zh-CN" w:bidi="ar-SA"/>
            </w:rPr>
            <w:fldChar w:fldCharType="separate"/>
          </w:r>
          <w:r>
            <w:rPr>
              <w:rFonts w:hint="default" w:ascii="Times New Roman" w:hAnsi="Times New Roman" w:eastAsia="宋体" w:cs="Times New Roman"/>
              <w:snapToGrid w:val="0"/>
              <w:sz w:val="24"/>
              <w:szCs w:val="24"/>
            </w:rPr>
            <w:t>附表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_Toc23468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napToGrid w:val="0"/>
              <w:color w:val="auto"/>
              <w:kern w:val="2"/>
              <w:sz w:val="24"/>
              <w:szCs w:val="24"/>
              <w:lang w:val="zh-CN" w:eastAsia="zh-CN" w:bidi="ar-SA"/>
            </w:rPr>
            <w:fldChar w:fldCharType="end"/>
          </w:r>
        </w:p>
        <w:p>
          <w:pPr>
            <w:pStyle w:val="18"/>
            <w:tabs>
              <w:tab w:val="right" w:leader="dot" w:pos="8844"/>
            </w:tabs>
            <w:rPr>
              <w:rFonts w:hint="default" w:ascii="Times New Roman" w:hAnsi="Times New Roman" w:eastAsia="宋体" w:cs="Times New Roman"/>
              <w:sz w:val="24"/>
              <w:szCs w:val="24"/>
            </w:rPr>
          </w:pPr>
          <w:r>
            <w:rPr>
              <w:rFonts w:hint="default" w:ascii="Times New Roman" w:hAnsi="Times New Roman" w:eastAsia="宋体" w:cs="Times New Roman"/>
              <w:snapToGrid w:val="0"/>
              <w:color w:val="auto"/>
              <w:kern w:val="2"/>
              <w:sz w:val="24"/>
              <w:szCs w:val="24"/>
              <w:lang w:val="zh-CN" w:eastAsia="zh-CN" w:bidi="ar-SA"/>
            </w:rPr>
            <w:fldChar w:fldCharType="begin"/>
          </w:r>
          <w:r>
            <w:rPr>
              <w:rFonts w:hint="default" w:ascii="Times New Roman" w:hAnsi="Times New Roman" w:eastAsia="宋体" w:cs="Times New Roman"/>
              <w:snapToGrid w:val="0"/>
              <w:kern w:val="2"/>
              <w:sz w:val="24"/>
              <w:szCs w:val="24"/>
              <w:lang w:val="zh-CN" w:eastAsia="zh-CN" w:bidi="ar-SA"/>
            </w:rPr>
            <w:instrText xml:space="preserve"> HYPERLINK \l _Toc23768 </w:instrText>
          </w:r>
          <w:r>
            <w:rPr>
              <w:rFonts w:hint="default" w:ascii="Times New Roman" w:hAnsi="Times New Roman" w:eastAsia="宋体" w:cs="Times New Roman"/>
              <w:snapToGrid w:val="0"/>
              <w:kern w:val="2"/>
              <w:sz w:val="24"/>
              <w:szCs w:val="24"/>
              <w:lang w:val="zh-CN" w:eastAsia="zh-CN" w:bidi="ar-SA"/>
            </w:rPr>
            <w:fldChar w:fldCharType="separate"/>
          </w:r>
          <w:r>
            <w:rPr>
              <w:rFonts w:hint="default" w:ascii="Times New Roman" w:hAnsi="Times New Roman" w:eastAsia="宋体" w:cs="Times New Roman"/>
              <w:snapToGrid w:val="0"/>
              <w:sz w:val="24"/>
              <w:szCs w:val="24"/>
              <w:highlight w:val="none"/>
            </w:rPr>
            <w:t>附图1</w:t>
          </w:r>
          <w:r>
            <w:rPr>
              <w:rFonts w:hint="default" w:ascii="Times New Roman" w:hAnsi="Times New Roman" w:eastAsia="宋体" w:cs="Times New Roman"/>
              <w:snapToGrid w:val="0"/>
              <w:sz w:val="24"/>
              <w:szCs w:val="24"/>
              <w:highlight w:val="none"/>
              <w:lang w:val="en-US" w:eastAsia="zh-CN"/>
            </w:rPr>
            <w:t xml:space="preserve"> 项目</w:t>
          </w:r>
          <w:r>
            <w:rPr>
              <w:rFonts w:hint="default" w:ascii="Times New Roman" w:hAnsi="Times New Roman" w:eastAsia="宋体" w:cs="Times New Roman"/>
              <w:snapToGrid w:val="0"/>
              <w:sz w:val="24"/>
              <w:szCs w:val="24"/>
              <w:highlight w:val="none"/>
            </w:rPr>
            <w:t>地理位置图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_Toc23768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napToGrid w:val="0"/>
              <w:color w:val="auto"/>
              <w:kern w:val="2"/>
              <w:sz w:val="24"/>
              <w:szCs w:val="24"/>
              <w:lang w:val="zh-CN" w:eastAsia="zh-CN" w:bidi="ar-SA"/>
            </w:rPr>
            <w:fldChar w:fldCharType="end"/>
          </w:r>
        </w:p>
        <w:p>
          <w:pPr>
            <w:pStyle w:val="18"/>
            <w:tabs>
              <w:tab w:val="right" w:leader="dot" w:pos="8844"/>
            </w:tabs>
            <w:rPr>
              <w:rFonts w:hint="default" w:ascii="Times New Roman" w:hAnsi="Times New Roman" w:eastAsia="宋体" w:cs="Times New Roman"/>
              <w:sz w:val="24"/>
              <w:szCs w:val="24"/>
            </w:rPr>
          </w:pPr>
          <w:r>
            <w:rPr>
              <w:rFonts w:hint="default" w:ascii="Times New Roman" w:hAnsi="Times New Roman" w:eastAsia="宋体" w:cs="Times New Roman"/>
              <w:snapToGrid w:val="0"/>
              <w:color w:val="auto"/>
              <w:kern w:val="2"/>
              <w:sz w:val="24"/>
              <w:szCs w:val="24"/>
              <w:lang w:val="zh-CN" w:eastAsia="zh-CN" w:bidi="ar-SA"/>
            </w:rPr>
            <w:fldChar w:fldCharType="begin"/>
          </w:r>
          <w:r>
            <w:rPr>
              <w:rFonts w:hint="default" w:ascii="Times New Roman" w:hAnsi="Times New Roman" w:eastAsia="宋体" w:cs="Times New Roman"/>
              <w:snapToGrid w:val="0"/>
              <w:kern w:val="2"/>
              <w:sz w:val="24"/>
              <w:szCs w:val="24"/>
              <w:lang w:val="zh-CN" w:eastAsia="zh-CN" w:bidi="ar-SA"/>
            </w:rPr>
            <w:instrText xml:space="preserve"> HYPERLINK \l _Toc11920 </w:instrText>
          </w:r>
          <w:r>
            <w:rPr>
              <w:rFonts w:hint="default" w:ascii="Times New Roman" w:hAnsi="Times New Roman" w:eastAsia="宋体" w:cs="Times New Roman"/>
              <w:snapToGrid w:val="0"/>
              <w:kern w:val="2"/>
              <w:sz w:val="24"/>
              <w:szCs w:val="24"/>
              <w:lang w:val="zh-CN" w:eastAsia="zh-CN" w:bidi="ar-SA"/>
            </w:rPr>
            <w:fldChar w:fldCharType="separate"/>
          </w: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2</w:t>
          </w:r>
          <w:r>
            <w:rPr>
              <w:rFonts w:hint="default" w:ascii="Times New Roman" w:hAnsi="Times New Roman" w:eastAsia="宋体" w:cs="Times New Roman"/>
              <w:bCs/>
              <w:sz w:val="24"/>
              <w:szCs w:val="24"/>
              <w:highlight w:val="none"/>
            </w:rPr>
            <w:t xml:space="preserve"> </w:t>
          </w:r>
          <w:r>
            <w:rPr>
              <w:rFonts w:hint="default" w:ascii="Times New Roman" w:hAnsi="Times New Roman" w:eastAsia="宋体" w:cs="Times New Roman"/>
              <w:bCs/>
              <w:sz w:val="24"/>
              <w:szCs w:val="24"/>
              <w:highlight w:val="none"/>
              <w:lang w:eastAsia="zh-CN"/>
            </w:rPr>
            <w:t>项目</w:t>
          </w:r>
          <w:r>
            <w:rPr>
              <w:rFonts w:hint="default" w:ascii="Times New Roman" w:hAnsi="Times New Roman" w:eastAsia="宋体" w:cs="Times New Roman"/>
              <w:bCs/>
              <w:sz w:val="24"/>
              <w:szCs w:val="24"/>
              <w:highlight w:val="none"/>
            </w:rPr>
            <w:t>平面布置图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_Toc11920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napToGrid w:val="0"/>
              <w:color w:val="auto"/>
              <w:kern w:val="2"/>
              <w:sz w:val="24"/>
              <w:szCs w:val="24"/>
              <w:lang w:val="zh-CN" w:eastAsia="zh-CN" w:bidi="ar-SA"/>
            </w:rPr>
            <w:fldChar w:fldCharType="end"/>
          </w:r>
        </w:p>
        <w:p>
          <w:pPr>
            <w:pStyle w:val="18"/>
            <w:tabs>
              <w:tab w:val="right" w:leader="dot" w:pos="8844"/>
            </w:tabs>
            <w:rPr>
              <w:rFonts w:hint="default" w:ascii="Times New Roman" w:hAnsi="Times New Roman" w:eastAsia="宋体" w:cs="Times New Roman"/>
              <w:sz w:val="24"/>
              <w:szCs w:val="24"/>
            </w:rPr>
          </w:pPr>
          <w:r>
            <w:rPr>
              <w:rFonts w:hint="default" w:ascii="Times New Roman" w:hAnsi="Times New Roman" w:eastAsia="宋体" w:cs="Times New Roman"/>
              <w:snapToGrid w:val="0"/>
              <w:color w:val="auto"/>
              <w:kern w:val="2"/>
              <w:sz w:val="24"/>
              <w:szCs w:val="24"/>
              <w:lang w:val="zh-CN" w:eastAsia="zh-CN" w:bidi="ar-SA"/>
            </w:rPr>
            <w:fldChar w:fldCharType="begin"/>
          </w:r>
          <w:r>
            <w:rPr>
              <w:rFonts w:hint="default" w:ascii="Times New Roman" w:hAnsi="Times New Roman" w:eastAsia="宋体" w:cs="Times New Roman"/>
              <w:snapToGrid w:val="0"/>
              <w:kern w:val="2"/>
              <w:sz w:val="24"/>
              <w:szCs w:val="24"/>
              <w:lang w:val="zh-CN" w:eastAsia="zh-CN" w:bidi="ar-SA"/>
            </w:rPr>
            <w:instrText xml:space="preserve"> HYPERLINK \l _Toc10177 </w:instrText>
          </w:r>
          <w:r>
            <w:rPr>
              <w:rFonts w:hint="default" w:ascii="Times New Roman" w:hAnsi="Times New Roman" w:eastAsia="宋体" w:cs="Times New Roman"/>
              <w:snapToGrid w:val="0"/>
              <w:kern w:val="2"/>
              <w:sz w:val="24"/>
              <w:szCs w:val="24"/>
              <w:lang w:val="zh-CN" w:eastAsia="zh-CN" w:bidi="ar-SA"/>
            </w:rPr>
            <w:fldChar w:fldCharType="separate"/>
          </w:r>
          <w:r>
            <w:rPr>
              <w:rFonts w:hint="default" w:ascii="Times New Roman" w:hAnsi="Times New Roman" w:eastAsia="宋体" w:cs="Times New Roman"/>
              <w:snapToGrid w:val="0"/>
              <w:sz w:val="24"/>
              <w:szCs w:val="24"/>
            </w:rPr>
            <w:t xml:space="preserve">附件1 </w:t>
          </w:r>
          <w:r>
            <w:rPr>
              <w:rFonts w:hint="default" w:ascii="Times New Roman" w:hAnsi="Times New Roman" w:eastAsia="宋体" w:cs="Times New Roman"/>
              <w:snapToGrid w:val="0"/>
              <w:sz w:val="24"/>
              <w:szCs w:val="24"/>
              <w:lang w:val="en-US" w:eastAsia="zh-CN"/>
            </w:rPr>
            <w:t>土地手续</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_Toc10177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napToGrid w:val="0"/>
              <w:color w:val="auto"/>
              <w:kern w:val="2"/>
              <w:sz w:val="24"/>
              <w:szCs w:val="24"/>
              <w:lang w:val="zh-CN" w:eastAsia="zh-CN" w:bidi="ar-SA"/>
            </w:rPr>
            <w:fldChar w:fldCharType="end"/>
          </w:r>
        </w:p>
        <w:p>
          <w:pPr>
            <w:pStyle w:val="18"/>
            <w:tabs>
              <w:tab w:val="right" w:leader="dot" w:pos="8844"/>
            </w:tabs>
            <w:rPr>
              <w:rFonts w:hint="default" w:ascii="Times New Roman" w:hAnsi="Times New Roman" w:eastAsia="宋体" w:cs="Times New Roman"/>
              <w:sz w:val="24"/>
              <w:szCs w:val="24"/>
            </w:rPr>
          </w:pPr>
          <w:r>
            <w:rPr>
              <w:rFonts w:hint="default" w:ascii="Times New Roman" w:hAnsi="Times New Roman" w:eastAsia="宋体" w:cs="Times New Roman"/>
              <w:snapToGrid w:val="0"/>
              <w:color w:val="auto"/>
              <w:kern w:val="2"/>
              <w:sz w:val="24"/>
              <w:szCs w:val="24"/>
              <w:lang w:val="zh-CN" w:eastAsia="zh-CN" w:bidi="ar-SA"/>
            </w:rPr>
            <w:fldChar w:fldCharType="begin"/>
          </w:r>
          <w:r>
            <w:rPr>
              <w:rFonts w:hint="default" w:ascii="Times New Roman" w:hAnsi="Times New Roman" w:eastAsia="宋体" w:cs="Times New Roman"/>
              <w:snapToGrid w:val="0"/>
              <w:kern w:val="2"/>
              <w:sz w:val="24"/>
              <w:szCs w:val="24"/>
              <w:lang w:val="zh-CN" w:eastAsia="zh-CN" w:bidi="ar-SA"/>
            </w:rPr>
            <w:instrText xml:space="preserve"> HYPERLINK \l _Toc20509 </w:instrText>
          </w:r>
          <w:r>
            <w:rPr>
              <w:rFonts w:hint="default" w:ascii="Times New Roman" w:hAnsi="Times New Roman" w:eastAsia="宋体" w:cs="Times New Roman"/>
              <w:snapToGrid w:val="0"/>
              <w:kern w:val="2"/>
              <w:sz w:val="24"/>
              <w:szCs w:val="24"/>
              <w:lang w:val="zh-CN" w:eastAsia="zh-CN" w:bidi="ar-SA"/>
            </w:rPr>
            <w:fldChar w:fldCharType="separate"/>
          </w:r>
          <w:r>
            <w:rPr>
              <w:rFonts w:hint="default" w:ascii="Times New Roman" w:hAnsi="Times New Roman" w:eastAsia="宋体" w:cs="Times New Roman"/>
              <w:snapToGrid w:val="0"/>
              <w:kern w:val="2"/>
              <w:sz w:val="24"/>
              <w:szCs w:val="24"/>
              <w:lang w:val="en-US" w:eastAsia="zh-CN" w:bidi="ar-SA"/>
            </w:rPr>
            <w:t>附件2 总量核定计算说明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_Toc20509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napToGrid w:val="0"/>
              <w:color w:val="auto"/>
              <w:kern w:val="2"/>
              <w:sz w:val="24"/>
              <w:szCs w:val="24"/>
              <w:lang w:val="zh-CN" w:eastAsia="zh-CN" w:bidi="ar-SA"/>
            </w:rPr>
            <w:fldChar w:fldCharType="end"/>
          </w:r>
        </w:p>
        <w:p>
          <w:pPr>
            <w:pStyle w:val="18"/>
            <w:tabs>
              <w:tab w:val="right" w:leader="dot" w:pos="8844"/>
            </w:tabs>
            <w:rPr>
              <w:rFonts w:hint="default" w:ascii="Times New Roman" w:hAnsi="Times New Roman" w:eastAsia="宋体" w:cs="Times New Roman"/>
              <w:sz w:val="24"/>
              <w:szCs w:val="24"/>
            </w:rPr>
          </w:pPr>
          <w:r>
            <w:rPr>
              <w:rFonts w:hint="default" w:ascii="Times New Roman" w:hAnsi="Times New Roman" w:eastAsia="宋体" w:cs="Times New Roman"/>
              <w:snapToGrid w:val="0"/>
              <w:color w:val="auto"/>
              <w:kern w:val="2"/>
              <w:sz w:val="24"/>
              <w:szCs w:val="24"/>
              <w:lang w:val="zh-CN" w:eastAsia="zh-CN" w:bidi="ar-SA"/>
            </w:rPr>
            <w:fldChar w:fldCharType="begin"/>
          </w:r>
          <w:r>
            <w:rPr>
              <w:rFonts w:hint="default" w:ascii="Times New Roman" w:hAnsi="Times New Roman" w:eastAsia="宋体" w:cs="Times New Roman"/>
              <w:snapToGrid w:val="0"/>
              <w:kern w:val="2"/>
              <w:sz w:val="24"/>
              <w:szCs w:val="24"/>
              <w:lang w:val="zh-CN" w:eastAsia="zh-CN" w:bidi="ar-SA"/>
            </w:rPr>
            <w:instrText xml:space="preserve"> HYPERLINK \l _Toc12558 </w:instrText>
          </w:r>
          <w:r>
            <w:rPr>
              <w:rFonts w:hint="default" w:ascii="Times New Roman" w:hAnsi="Times New Roman" w:eastAsia="宋体" w:cs="Times New Roman"/>
              <w:snapToGrid w:val="0"/>
              <w:kern w:val="2"/>
              <w:sz w:val="24"/>
              <w:szCs w:val="24"/>
              <w:lang w:val="zh-CN" w:eastAsia="zh-CN" w:bidi="ar-SA"/>
            </w:rPr>
            <w:fldChar w:fldCharType="separate"/>
          </w:r>
          <w:r>
            <w:rPr>
              <w:rFonts w:hint="default" w:ascii="Times New Roman" w:hAnsi="Times New Roman" w:eastAsia="宋体" w:cs="Times New Roman"/>
              <w:snapToGrid w:val="0"/>
              <w:kern w:val="2"/>
              <w:sz w:val="24"/>
              <w:szCs w:val="24"/>
              <w:lang w:val="en-US" w:eastAsia="zh-CN" w:bidi="ar-SA"/>
            </w:rPr>
            <w:t>附件3 生态环境分区管控分析报告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_Toc12558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napToGrid w:val="0"/>
              <w:color w:val="auto"/>
              <w:kern w:val="2"/>
              <w:sz w:val="24"/>
              <w:szCs w:val="24"/>
              <w:lang w:val="zh-CN" w:eastAsia="zh-CN" w:bidi="ar-SA"/>
            </w:rPr>
            <w:fldChar w:fldCharType="end"/>
          </w:r>
        </w:p>
        <w:p>
          <w:pPr>
            <w:pStyle w:val="18"/>
            <w:tabs>
              <w:tab w:val="right" w:leader="dot" w:pos="8844"/>
            </w:tabs>
            <w:rPr>
              <w:rFonts w:hint="default" w:ascii="Times New Roman" w:hAnsi="Times New Roman" w:eastAsia="宋体" w:cs="Times New Roman"/>
              <w:sz w:val="24"/>
              <w:szCs w:val="24"/>
            </w:rPr>
          </w:pPr>
          <w:r>
            <w:rPr>
              <w:rFonts w:hint="default" w:ascii="Times New Roman" w:hAnsi="Times New Roman" w:eastAsia="宋体" w:cs="Times New Roman"/>
              <w:snapToGrid w:val="0"/>
              <w:color w:val="auto"/>
              <w:kern w:val="2"/>
              <w:sz w:val="24"/>
              <w:szCs w:val="24"/>
              <w:lang w:val="zh-CN" w:eastAsia="zh-CN" w:bidi="ar-SA"/>
            </w:rPr>
            <w:fldChar w:fldCharType="begin"/>
          </w:r>
          <w:r>
            <w:rPr>
              <w:rFonts w:hint="default" w:ascii="Times New Roman" w:hAnsi="Times New Roman" w:eastAsia="宋体" w:cs="Times New Roman"/>
              <w:snapToGrid w:val="0"/>
              <w:kern w:val="2"/>
              <w:sz w:val="24"/>
              <w:szCs w:val="24"/>
              <w:lang w:val="zh-CN" w:eastAsia="zh-CN" w:bidi="ar-SA"/>
            </w:rPr>
            <w:instrText xml:space="preserve"> HYPERLINK \l _Toc18164 </w:instrText>
          </w:r>
          <w:r>
            <w:rPr>
              <w:rFonts w:hint="default" w:ascii="Times New Roman" w:hAnsi="Times New Roman" w:eastAsia="宋体" w:cs="Times New Roman"/>
              <w:snapToGrid w:val="0"/>
              <w:kern w:val="2"/>
              <w:sz w:val="24"/>
              <w:szCs w:val="24"/>
              <w:lang w:val="zh-CN" w:eastAsia="zh-CN" w:bidi="ar-SA"/>
            </w:rPr>
            <w:fldChar w:fldCharType="separate"/>
          </w:r>
          <w:r>
            <w:rPr>
              <w:rFonts w:hint="default" w:ascii="Times New Roman" w:hAnsi="Times New Roman" w:eastAsia="宋体" w:cs="Times New Roman"/>
              <w:snapToGrid w:val="0"/>
              <w:kern w:val="2"/>
              <w:sz w:val="24"/>
              <w:szCs w:val="24"/>
              <w:lang w:val="en-US" w:eastAsia="zh-CN" w:bidi="ar-SA"/>
            </w:rPr>
            <w:t>附件4 监测报告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_Toc18164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napToGrid w:val="0"/>
              <w:color w:val="auto"/>
              <w:kern w:val="2"/>
              <w:sz w:val="24"/>
              <w:szCs w:val="24"/>
              <w:lang w:val="zh-CN" w:eastAsia="zh-CN" w:bidi="ar-SA"/>
            </w:rPr>
            <w:fldChar w:fldCharType="end"/>
          </w:r>
        </w:p>
        <w:p>
          <w:pPr>
            <w:pStyle w:val="18"/>
            <w:keepNext w:val="0"/>
            <w:keepLines w:val="0"/>
            <w:pageBreakBefore w:val="0"/>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napToGrid w:val="0"/>
              <w:color w:val="auto"/>
              <w:kern w:val="2"/>
              <w:sz w:val="24"/>
              <w:szCs w:val="24"/>
              <w:lang w:val="en-US" w:eastAsia="zh-CN" w:bidi="ar-SA"/>
            </w:rPr>
          </w:pPr>
          <w:r>
            <w:rPr>
              <w:rFonts w:hint="default" w:ascii="Times New Roman" w:hAnsi="Times New Roman" w:eastAsia="宋体" w:cs="Times New Roman"/>
              <w:snapToGrid w:val="0"/>
              <w:color w:val="auto"/>
              <w:kern w:val="2"/>
              <w:sz w:val="24"/>
              <w:szCs w:val="24"/>
              <w:lang w:val="zh-CN" w:eastAsia="zh-CN" w:bidi="ar-SA"/>
            </w:rPr>
            <w:fldChar w:fldCharType="end"/>
          </w:r>
        </w:p>
      </w:sdtContent>
    </w:sdt>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4"/>
        <w:jc w:val="center"/>
        <w:outlineLvl w:val="0"/>
        <w:rPr>
          <w:rFonts w:ascii="Times New Roman" w:hAnsi="Times New Roman" w:eastAsia="黑体"/>
          <w:snapToGrid w:val="0"/>
          <w:color w:val="auto"/>
          <w:sz w:val="30"/>
          <w:szCs w:val="30"/>
        </w:rPr>
      </w:pPr>
      <w:bookmarkStart w:id="21" w:name="_Toc5433"/>
      <w:r>
        <w:rPr>
          <w:rFonts w:ascii="Times New Roman" w:hAnsi="Times New Roman" w:eastAsia="黑体"/>
          <w:snapToGrid w:val="0"/>
          <w:color w:val="auto"/>
          <w:sz w:val="30"/>
          <w:szCs w:val="30"/>
        </w:rPr>
        <w:t>一、建设项目基本情况</w:t>
      </w:r>
      <w:bookmarkEnd w:id="21"/>
    </w:p>
    <w:tbl>
      <w:tblPr>
        <w:tblStyle w:val="29"/>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81"/>
        <w:gridCol w:w="2723"/>
        <w:gridCol w:w="1823"/>
        <w:gridCol w:w="31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30" w:hRule="atLeast"/>
          <w:jc w:val="center"/>
        </w:trPr>
        <w:tc>
          <w:tcPr>
            <w:tcW w:w="1981" w:type="dxa"/>
            <w:tcMar>
              <w:top w:w="16" w:type="dxa"/>
              <w:left w:w="16" w:type="dxa"/>
              <w:right w:w="16" w:type="dxa"/>
            </w:tcMar>
            <w:vAlign w:val="center"/>
          </w:tcPr>
          <w:p>
            <w:pPr>
              <w:adjustRightInd w:val="0"/>
              <w:snapToGrid w:val="0"/>
              <w:spacing w:line="340" w:lineRule="exact"/>
              <w:jc w:val="center"/>
              <w:rPr>
                <w:color w:val="auto"/>
                <w:sz w:val="24"/>
              </w:rPr>
            </w:pPr>
            <w:r>
              <w:rPr>
                <w:color w:val="auto"/>
                <w:sz w:val="24"/>
              </w:rPr>
              <w:t>建设项目名称</w:t>
            </w:r>
          </w:p>
        </w:tc>
        <w:tc>
          <w:tcPr>
            <w:tcW w:w="7657" w:type="dxa"/>
            <w:gridSpan w:val="3"/>
            <w:vAlign w:val="center"/>
          </w:tcPr>
          <w:p>
            <w:pPr>
              <w:adjustRightInd w:val="0"/>
              <w:snapToGrid w:val="0"/>
              <w:spacing w:line="340" w:lineRule="exact"/>
              <w:jc w:val="center"/>
              <w:rPr>
                <w:color w:val="auto"/>
                <w:sz w:val="24"/>
              </w:rPr>
            </w:pPr>
            <w:r>
              <w:rPr>
                <w:rFonts w:hint="eastAsia"/>
                <w:color w:val="auto"/>
                <w:sz w:val="24"/>
                <w:lang w:eastAsia="zh-CN"/>
              </w:rPr>
              <w:t>黑龙江省伊春市嘉荫县保兴镇前岗村蜂蜜加工项目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22" w:hRule="atLeast"/>
          <w:jc w:val="center"/>
        </w:trPr>
        <w:tc>
          <w:tcPr>
            <w:tcW w:w="1981" w:type="dxa"/>
            <w:tcMar>
              <w:top w:w="16" w:type="dxa"/>
              <w:left w:w="16" w:type="dxa"/>
              <w:right w:w="16" w:type="dxa"/>
            </w:tcMar>
            <w:vAlign w:val="center"/>
          </w:tcPr>
          <w:p>
            <w:pPr>
              <w:adjustRightInd w:val="0"/>
              <w:snapToGrid w:val="0"/>
              <w:spacing w:line="340" w:lineRule="exact"/>
              <w:jc w:val="center"/>
              <w:rPr>
                <w:color w:val="auto"/>
                <w:sz w:val="24"/>
              </w:rPr>
            </w:pPr>
            <w:r>
              <w:rPr>
                <w:color w:val="auto"/>
                <w:sz w:val="24"/>
              </w:rPr>
              <w:t>项目代码</w:t>
            </w:r>
          </w:p>
        </w:tc>
        <w:tc>
          <w:tcPr>
            <w:tcW w:w="7657" w:type="dxa"/>
            <w:gridSpan w:val="3"/>
            <w:vAlign w:val="center"/>
          </w:tcPr>
          <w:p>
            <w:pPr>
              <w:pStyle w:val="7"/>
              <w:jc w:val="center"/>
              <w:rPr>
                <w:rFonts w:hint="eastAsia" w:eastAsia="宋体"/>
                <w:color w:val="auto"/>
                <w:szCs w:val="24"/>
                <w:lang w:eastAsia="zh-CN"/>
              </w:rPr>
            </w:pPr>
            <w:r>
              <w:rPr>
                <w:rFonts w:hint="eastAsia"/>
                <w:color w:val="auto"/>
                <w:szCs w:val="24"/>
                <w:lang w:val="en-US" w:eastAsia="zh-CN"/>
              </w:rPr>
              <w:t>2601-230722-04-01-327847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07" w:hRule="atLeast"/>
          <w:jc w:val="center"/>
        </w:trPr>
        <w:tc>
          <w:tcPr>
            <w:tcW w:w="1981" w:type="dxa"/>
            <w:tcMar>
              <w:top w:w="16" w:type="dxa"/>
              <w:left w:w="16" w:type="dxa"/>
              <w:right w:w="16" w:type="dxa"/>
            </w:tcMar>
            <w:vAlign w:val="center"/>
          </w:tcPr>
          <w:p>
            <w:pPr>
              <w:adjustRightInd w:val="0"/>
              <w:snapToGrid w:val="0"/>
              <w:spacing w:line="340" w:lineRule="exact"/>
              <w:jc w:val="center"/>
              <w:rPr>
                <w:color w:val="auto"/>
                <w:sz w:val="24"/>
              </w:rPr>
            </w:pPr>
            <w:r>
              <w:rPr>
                <w:color w:val="auto"/>
                <w:sz w:val="24"/>
              </w:rPr>
              <w:t>建设单位联系人</w:t>
            </w:r>
          </w:p>
        </w:tc>
        <w:tc>
          <w:tcPr>
            <w:tcW w:w="2723" w:type="dxa"/>
            <w:vAlign w:val="center"/>
          </w:tcPr>
          <w:p>
            <w:pPr>
              <w:adjustRightInd w:val="0"/>
              <w:snapToGrid w:val="0"/>
              <w:jc w:val="center"/>
              <w:rPr>
                <w:rFonts w:hint="eastAsia" w:eastAsia="宋体"/>
                <w:color w:val="auto"/>
                <w:sz w:val="24"/>
                <w:lang w:val="en-US" w:eastAsia="zh-CN"/>
              </w:rPr>
            </w:pPr>
          </w:p>
        </w:tc>
        <w:tc>
          <w:tcPr>
            <w:tcW w:w="1823" w:type="dxa"/>
            <w:vAlign w:val="center"/>
          </w:tcPr>
          <w:p>
            <w:pPr>
              <w:adjustRightInd w:val="0"/>
              <w:snapToGrid w:val="0"/>
              <w:jc w:val="center"/>
              <w:rPr>
                <w:color w:val="auto"/>
                <w:sz w:val="24"/>
              </w:rPr>
            </w:pPr>
            <w:r>
              <w:rPr>
                <w:color w:val="auto"/>
                <w:sz w:val="24"/>
                <w:szCs w:val="24"/>
              </w:rPr>
              <w:t>联系方式</w:t>
            </w:r>
          </w:p>
        </w:tc>
        <w:tc>
          <w:tcPr>
            <w:tcW w:w="3111" w:type="dxa"/>
            <w:vAlign w:val="center"/>
          </w:tcPr>
          <w:p>
            <w:pPr>
              <w:adjustRightInd w:val="0"/>
              <w:snapToGrid w:val="0"/>
              <w:jc w:val="center"/>
              <w:rPr>
                <w:rFonts w:hint="default"/>
                <w:color w:val="auto"/>
                <w:sz w:val="24"/>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49" w:hRule="atLeast"/>
          <w:jc w:val="center"/>
        </w:trPr>
        <w:tc>
          <w:tcPr>
            <w:tcW w:w="1981" w:type="dxa"/>
            <w:tcMar>
              <w:top w:w="16" w:type="dxa"/>
              <w:left w:w="16" w:type="dxa"/>
              <w:right w:w="16" w:type="dxa"/>
            </w:tcMar>
            <w:vAlign w:val="center"/>
          </w:tcPr>
          <w:p>
            <w:pPr>
              <w:adjustRightInd w:val="0"/>
              <w:snapToGrid w:val="0"/>
              <w:spacing w:line="340" w:lineRule="exact"/>
              <w:jc w:val="center"/>
              <w:rPr>
                <w:color w:val="auto"/>
                <w:sz w:val="24"/>
                <w:highlight w:val="none"/>
              </w:rPr>
            </w:pPr>
            <w:r>
              <w:rPr>
                <w:color w:val="auto"/>
                <w:sz w:val="24"/>
                <w:highlight w:val="none"/>
              </w:rPr>
              <w:t>建设地点</w:t>
            </w:r>
          </w:p>
        </w:tc>
        <w:tc>
          <w:tcPr>
            <w:tcW w:w="7657" w:type="dxa"/>
            <w:gridSpan w:val="3"/>
            <w:vAlign w:val="center"/>
          </w:tcPr>
          <w:p>
            <w:pPr>
              <w:adjustRightInd w:val="0"/>
              <w:snapToGrid w:val="0"/>
              <w:spacing w:line="340" w:lineRule="exact"/>
              <w:jc w:val="center"/>
              <w:rPr>
                <w:color w:val="auto"/>
                <w:sz w:val="24"/>
                <w:highlight w:val="none"/>
              </w:rPr>
            </w:pPr>
            <w:r>
              <w:rPr>
                <w:rFonts w:hint="eastAsia"/>
                <w:color w:val="auto"/>
                <w:sz w:val="24"/>
              </w:rPr>
              <w:t>黑龙江省伊春市</w:t>
            </w:r>
            <w:r>
              <w:rPr>
                <w:rFonts w:hint="eastAsia"/>
                <w:color w:val="auto"/>
                <w:sz w:val="24"/>
                <w:lang w:val="en-US" w:eastAsia="zh-CN"/>
              </w:rPr>
              <w:t>嘉荫县保兴镇前岗村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53" w:hRule="atLeast"/>
          <w:jc w:val="center"/>
        </w:trPr>
        <w:tc>
          <w:tcPr>
            <w:tcW w:w="1981" w:type="dxa"/>
            <w:tcMar>
              <w:top w:w="16" w:type="dxa"/>
              <w:left w:w="16" w:type="dxa"/>
              <w:right w:w="16" w:type="dxa"/>
            </w:tcMar>
            <w:vAlign w:val="center"/>
          </w:tcPr>
          <w:p>
            <w:pPr>
              <w:adjustRightInd w:val="0"/>
              <w:snapToGrid w:val="0"/>
              <w:spacing w:line="340" w:lineRule="exact"/>
              <w:jc w:val="center"/>
              <w:rPr>
                <w:color w:val="auto"/>
                <w:sz w:val="24"/>
                <w:highlight w:val="none"/>
              </w:rPr>
            </w:pPr>
            <w:r>
              <w:rPr>
                <w:color w:val="auto"/>
                <w:sz w:val="24"/>
                <w:highlight w:val="none"/>
              </w:rPr>
              <w:t>地理坐标</w:t>
            </w:r>
          </w:p>
        </w:tc>
        <w:tc>
          <w:tcPr>
            <w:tcW w:w="7657" w:type="dxa"/>
            <w:gridSpan w:val="3"/>
            <w:vAlign w:val="center"/>
          </w:tcPr>
          <w:p>
            <w:pPr>
              <w:spacing w:line="340" w:lineRule="exact"/>
              <w:jc w:val="center"/>
              <w:rPr>
                <w:color w:val="auto"/>
                <w:sz w:val="24"/>
                <w:highlight w:val="none"/>
              </w:rPr>
            </w:pPr>
            <w:r>
              <w:rPr>
                <w:color w:val="auto"/>
                <w:sz w:val="24"/>
                <w:highlight w:val="none"/>
              </w:rPr>
              <w:t>（</w:t>
            </w:r>
            <w:r>
              <w:rPr>
                <w:color w:val="auto"/>
                <w:sz w:val="24"/>
                <w:highlight w:val="none"/>
                <w:u w:val="single"/>
              </w:rPr>
              <w:t>1</w:t>
            </w:r>
            <w:r>
              <w:rPr>
                <w:rFonts w:hint="eastAsia"/>
                <w:color w:val="auto"/>
                <w:sz w:val="24"/>
                <w:highlight w:val="none"/>
                <w:u w:val="single"/>
                <w:lang w:val="en-US" w:eastAsia="zh-CN"/>
              </w:rPr>
              <w:t>30</w:t>
            </w:r>
            <w:r>
              <w:rPr>
                <w:color w:val="auto"/>
                <w:sz w:val="24"/>
                <w:highlight w:val="none"/>
              </w:rPr>
              <w:t>度</w:t>
            </w:r>
            <w:r>
              <w:rPr>
                <w:rFonts w:hint="eastAsia"/>
                <w:color w:val="auto"/>
                <w:sz w:val="24"/>
                <w:highlight w:val="none"/>
                <w:u w:val="single"/>
                <w:lang w:val="en-US" w:eastAsia="zh-CN"/>
              </w:rPr>
              <w:t>26</w:t>
            </w:r>
            <w:r>
              <w:rPr>
                <w:color w:val="auto"/>
                <w:sz w:val="24"/>
                <w:highlight w:val="none"/>
              </w:rPr>
              <w:t>分</w:t>
            </w:r>
            <w:r>
              <w:rPr>
                <w:rFonts w:hint="eastAsia"/>
                <w:color w:val="auto"/>
                <w:sz w:val="24"/>
                <w:highlight w:val="none"/>
                <w:u w:val="single"/>
                <w:lang w:val="en-US" w:eastAsia="zh-CN"/>
              </w:rPr>
              <w:t>56.050</w:t>
            </w:r>
            <w:r>
              <w:rPr>
                <w:color w:val="auto"/>
                <w:sz w:val="24"/>
                <w:highlight w:val="none"/>
              </w:rPr>
              <w:t>秒，</w:t>
            </w:r>
            <w:r>
              <w:rPr>
                <w:color w:val="auto"/>
                <w:sz w:val="24"/>
                <w:highlight w:val="none"/>
                <w:u w:val="single"/>
              </w:rPr>
              <w:t>4</w:t>
            </w:r>
            <w:r>
              <w:rPr>
                <w:rFonts w:hint="eastAsia"/>
                <w:color w:val="auto"/>
                <w:sz w:val="24"/>
                <w:highlight w:val="none"/>
                <w:u w:val="single"/>
                <w:lang w:val="en-US" w:eastAsia="zh-CN"/>
              </w:rPr>
              <w:t>8</w:t>
            </w:r>
            <w:r>
              <w:rPr>
                <w:color w:val="auto"/>
                <w:sz w:val="24"/>
                <w:highlight w:val="none"/>
              </w:rPr>
              <w:t>度</w:t>
            </w:r>
            <w:r>
              <w:rPr>
                <w:rFonts w:hint="eastAsia"/>
                <w:color w:val="auto"/>
                <w:sz w:val="24"/>
                <w:highlight w:val="none"/>
                <w:u w:val="single"/>
                <w:lang w:val="en-US" w:eastAsia="zh-CN"/>
              </w:rPr>
              <w:t>38</w:t>
            </w:r>
            <w:r>
              <w:rPr>
                <w:color w:val="auto"/>
                <w:sz w:val="24"/>
                <w:highlight w:val="none"/>
              </w:rPr>
              <w:t>分</w:t>
            </w:r>
            <w:r>
              <w:rPr>
                <w:rFonts w:hint="eastAsia"/>
                <w:color w:val="auto"/>
                <w:sz w:val="24"/>
                <w:highlight w:val="none"/>
                <w:u w:val="single"/>
                <w:lang w:val="en-US" w:eastAsia="zh-CN"/>
              </w:rPr>
              <w:t>19.771</w:t>
            </w:r>
            <w:r>
              <w:rPr>
                <w:color w:val="auto"/>
                <w:sz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1981" w:type="dxa"/>
            <w:tcMar>
              <w:top w:w="16" w:type="dxa"/>
              <w:left w:w="16" w:type="dxa"/>
              <w:right w:w="16" w:type="dxa"/>
            </w:tcMar>
            <w:vAlign w:val="center"/>
          </w:tcPr>
          <w:p>
            <w:pPr>
              <w:adjustRightInd w:val="0"/>
              <w:snapToGrid w:val="0"/>
              <w:spacing w:line="340" w:lineRule="exact"/>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国民经济</w:t>
            </w:r>
          </w:p>
          <w:p>
            <w:pPr>
              <w:adjustRightInd w:val="0"/>
              <w:snapToGrid w:val="0"/>
              <w:spacing w:line="340" w:lineRule="exact"/>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行业类别</w:t>
            </w:r>
          </w:p>
        </w:tc>
        <w:tc>
          <w:tcPr>
            <w:tcW w:w="2723" w:type="dxa"/>
            <w:vAlign w:val="center"/>
          </w:tcPr>
          <w:p>
            <w:pPr>
              <w:adjustRightInd w:val="0"/>
              <w:snapToGrid w:val="0"/>
              <w:spacing w:line="340" w:lineRule="exact"/>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C14</w:t>
            </w:r>
            <w:r>
              <w:rPr>
                <w:rFonts w:hint="eastAsia" w:cs="Times New Roman"/>
                <w:color w:val="auto"/>
                <w:sz w:val="24"/>
                <w:highlight w:val="none"/>
                <w:lang w:val="en-US" w:eastAsia="zh-CN"/>
              </w:rPr>
              <w:t>91</w:t>
            </w:r>
            <w:r>
              <w:rPr>
                <w:rFonts w:hint="eastAsia" w:ascii="Times New Roman" w:hAnsi="Times New Roman" w:eastAsia="宋体" w:cs="Times New Roman"/>
                <w:color w:val="auto"/>
                <w:sz w:val="24"/>
                <w:highlight w:val="none"/>
                <w:lang w:val="en-US" w:eastAsia="zh-CN"/>
              </w:rPr>
              <w:t xml:space="preserve"> </w:t>
            </w:r>
            <w:r>
              <w:rPr>
                <w:rFonts w:hint="eastAsia" w:cs="Times New Roman"/>
                <w:color w:val="auto"/>
                <w:sz w:val="24"/>
                <w:highlight w:val="none"/>
                <w:lang w:val="en-US" w:eastAsia="zh-CN"/>
              </w:rPr>
              <w:t>营养</w:t>
            </w:r>
            <w:r>
              <w:rPr>
                <w:rFonts w:hint="eastAsia" w:ascii="Times New Roman" w:hAnsi="Times New Roman" w:eastAsia="宋体" w:cs="Times New Roman"/>
                <w:color w:val="auto"/>
                <w:sz w:val="24"/>
                <w:highlight w:val="none"/>
                <w:lang w:val="en-US" w:eastAsia="zh-CN"/>
              </w:rPr>
              <w:t>食品制造</w:t>
            </w:r>
          </w:p>
        </w:tc>
        <w:tc>
          <w:tcPr>
            <w:tcW w:w="1823" w:type="dxa"/>
            <w:vAlign w:val="center"/>
          </w:tcPr>
          <w:p>
            <w:pPr>
              <w:adjustRightInd w:val="0"/>
              <w:snapToGrid w:val="0"/>
              <w:spacing w:line="340" w:lineRule="exact"/>
              <w:jc w:val="center"/>
              <w:rPr>
                <w:rFonts w:ascii="Times New Roman" w:hAnsi="Times New Roman" w:eastAsia="宋体" w:cs="Times New Roman"/>
                <w:color w:val="auto"/>
                <w:sz w:val="24"/>
                <w:highlight w:val="none"/>
              </w:rPr>
            </w:pPr>
            <w:bookmarkStart w:id="22" w:name="_Hlk49843745"/>
            <w:r>
              <w:rPr>
                <w:rFonts w:ascii="Times New Roman" w:hAnsi="Times New Roman" w:eastAsia="宋体" w:cs="Times New Roman"/>
                <w:color w:val="auto"/>
                <w:sz w:val="24"/>
                <w:highlight w:val="none"/>
              </w:rPr>
              <w:t>建设项目</w:t>
            </w:r>
          </w:p>
          <w:p>
            <w:pPr>
              <w:adjustRightInd w:val="0"/>
              <w:snapToGrid w:val="0"/>
              <w:spacing w:line="340" w:lineRule="exact"/>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行业类别</w:t>
            </w:r>
            <w:bookmarkEnd w:id="22"/>
          </w:p>
        </w:tc>
        <w:tc>
          <w:tcPr>
            <w:tcW w:w="3111" w:type="dxa"/>
            <w:vAlign w:val="center"/>
          </w:tcPr>
          <w:p>
            <w:pPr>
              <w:adjustRightInd w:val="0"/>
              <w:snapToGrid w:val="0"/>
              <w:spacing w:line="340" w:lineRule="exact"/>
              <w:jc w:val="center"/>
              <w:rPr>
                <w:rFonts w:ascii="Times New Roman" w:hAnsi="Times New Roman" w:eastAsia="宋体" w:cs="Times New Roman"/>
                <w:color w:val="auto"/>
                <w:sz w:val="24"/>
                <w:highlight w:val="none"/>
              </w:rPr>
            </w:pPr>
            <w:r>
              <w:rPr>
                <w:rFonts w:hint="eastAsia" w:cs="Times New Roman"/>
                <w:color w:val="auto"/>
                <w:sz w:val="24"/>
                <w:highlight w:val="none"/>
                <w:lang w:val="en-US" w:eastAsia="zh-CN"/>
              </w:rPr>
              <w:t>十一、</w:t>
            </w:r>
            <w:r>
              <w:rPr>
                <w:rFonts w:hint="eastAsia" w:ascii="Times New Roman" w:hAnsi="Times New Roman" w:eastAsia="宋体" w:cs="Times New Roman"/>
                <w:color w:val="auto"/>
                <w:sz w:val="24"/>
                <w:highlight w:val="none"/>
                <w:lang w:val="en-US" w:eastAsia="zh-CN"/>
              </w:rPr>
              <w:t>食品制造14；24：其他食品制造149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181" w:hRule="atLeast"/>
          <w:jc w:val="center"/>
        </w:trPr>
        <w:tc>
          <w:tcPr>
            <w:tcW w:w="1981" w:type="dxa"/>
            <w:tcMar>
              <w:top w:w="16" w:type="dxa"/>
              <w:left w:w="16" w:type="dxa"/>
              <w:right w:w="16" w:type="dxa"/>
            </w:tcMar>
            <w:vAlign w:val="center"/>
          </w:tcPr>
          <w:p>
            <w:pPr>
              <w:adjustRightInd w:val="0"/>
              <w:snapToGrid w:val="0"/>
              <w:spacing w:line="340" w:lineRule="exact"/>
              <w:jc w:val="center"/>
              <w:rPr>
                <w:color w:val="auto"/>
                <w:sz w:val="24"/>
              </w:rPr>
            </w:pPr>
            <w:r>
              <w:rPr>
                <w:color w:val="auto"/>
                <w:sz w:val="24"/>
              </w:rPr>
              <w:t>建设性质</w:t>
            </w:r>
          </w:p>
        </w:tc>
        <w:tc>
          <w:tcPr>
            <w:tcW w:w="2723" w:type="dxa"/>
            <w:vAlign w:val="center"/>
          </w:tcPr>
          <w:p>
            <w:pPr>
              <w:spacing w:line="340" w:lineRule="exact"/>
              <w:jc w:val="left"/>
              <w:rPr>
                <w:color w:val="auto"/>
                <w:sz w:val="24"/>
              </w:rPr>
            </w:pPr>
            <w:r>
              <w:rPr>
                <w:rFonts w:hint="eastAsia"/>
                <w:color w:val="auto"/>
                <w:sz w:val="24"/>
                <w:lang w:eastAsia="zh-CN"/>
              </w:rPr>
              <w:t>☑</w:t>
            </w:r>
            <w:r>
              <w:rPr>
                <w:color w:val="auto"/>
                <w:sz w:val="24"/>
              </w:rPr>
              <w:t>新建（迁建）</w:t>
            </w:r>
          </w:p>
          <w:p>
            <w:pPr>
              <w:spacing w:line="340" w:lineRule="exact"/>
              <w:jc w:val="left"/>
              <w:rPr>
                <w:color w:val="auto"/>
                <w:sz w:val="24"/>
              </w:rPr>
            </w:pPr>
            <w:r>
              <w:rPr>
                <w:color w:val="auto"/>
                <w:sz w:val="24"/>
              </w:rPr>
              <w:t>□改建</w:t>
            </w:r>
          </w:p>
          <w:p>
            <w:pPr>
              <w:spacing w:line="340" w:lineRule="exact"/>
              <w:jc w:val="left"/>
              <w:rPr>
                <w:color w:val="auto"/>
                <w:sz w:val="24"/>
              </w:rPr>
            </w:pPr>
            <w:r>
              <w:rPr>
                <w:color w:val="auto"/>
                <w:sz w:val="24"/>
              </w:rPr>
              <w:t>□扩建</w:t>
            </w:r>
          </w:p>
          <w:p>
            <w:pPr>
              <w:spacing w:line="340" w:lineRule="exact"/>
              <w:jc w:val="left"/>
              <w:rPr>
                <w:color w:val="auto"/>
                <w:sz w:val="24"/>
              </w:rPr>
            </w:pPr>
            <w:r>
              <w:rPr>
                <w:color w:val="auto"/>
                <w:sz w:val="24"/>
              </w:rPr>
              <w:t>□技术改造</w:t>
            </w:r>
          </w:p>
        </w:tc>
        <w:tc>
          <w:tcPr>
            <w:tcW w:w="1823" w:type="dxa"/>
            <w:vAlign w:val="center"/>
          </w:tcPr>
          <w:p>
            <w:pPr>
              <w:adjustRightInd w:val="0"/>
              <w:snapToGrid w:val="0"/>
              <w:spacing w:line="340" w:lineRule="exact"/>
              <w:jc w:val="center"/>
              <w:rPr>
                <w:color w:val="auto"/>
                <w:sz w:val="24"/>
              </w:rPr>
            </w:pPr>
            <w:r>
              <w:rPr>
                <w:color w:val="auto"/>
                <w:sz w:val="24"/>
              </w:rPr>
              <w:t>建设项目</w:t>
            </w:r>
          </w:p>
          <w:p>
            <w:pPr>
              <w:adjustRightInd w:val="0"/>
              <w:snapToGrid w:val="0"/>
              <w:spacing w:line="340" w:lineRule="exact"/>
              <w:jc w:val="center"/>
              <w:rPr>
                <w:color w:val="auto"/>
                <w:sz w:val="24"/>
              </w:rPr>
            </w:pPr>
            <w:r>
              <w:rPr>
                <w:color w:val="auto"/>
                <w:sz w:val="24"/>
              </w:rPr>
              <w:t>申报情形</w:t>
            </w:r>
          </w:p>
        </w:tc>
        <w:tc>
          <w:tcPr>
            <w:tcW w:w="3111" w:type="dxa"/>
            <w:vAlign w:val="center"/>
          </w:tcPr>
          <w:p>
            <w:pPr>
              <w:spacing w:line="340" w:lineRule="exact"/>
              <w:jc w:val="left"/>
              <w:rPr>
                <w:color w:val="auto"/>
                <w:sz w:val="24"/>
              </w:rPr>
            </w:pPr>
            <w:r>
              <w:rPr>
                <w:rFonts w:hint="eastAsia"/>
                <w:color w:val="auto"/>
                <w:sz w:val="24"/>
                <w:lang w:eastAsia="zh-CN"/>
              </w:rPr>
              <w:t>☑</w:t>
            </w:r>
            <w:r>
              <w:rPr>
                <w:color w:val="auto"/>
                <w:sz w:val="24"/>
              </w:rPr>
              <w:t xml:space="preserve">首次申报项目             </w:t>
            </w:r>
          </w:p>
          <w:p>
            <w:pPr>
              <w:spacing w:line="340" w:lineRule="exact"/>
              <w:jc w:val="left"/>
              <w:rPr>
                <w:color w:val="auto"/>
                <w:sz w:val="24"/>
              </w:rPr>
            </w:pPr>
            <w:r>
              <w:rPr>
                <w:color w:val="auto"/>
                <w:sz w:val="24"/>
              </w:rPr>
              <w:t>□不予批准后再次申报项目</w:t>
            </w:r>
          </w:p>
          <w:p>
            <w:pPr>
              <w:spacing w:line="340" w:lineRule="exact"/>
              <w:jc w:val="left"/>
              <w:rPr>
                <w:color w:val="auto"/>
                <w:sz w:val="24"/>
              </w:rPr>
            </w:pPr>
            <w:r>
              <w:rPr>
                <w:rFonts w:hint="eastAsia"/>
                <w:color w:val="auto"/>
                <w:sz w:val="24"/>
                <w:lang w:eastAsia="zh-CN"/>
              </w:rPr>
              <w:t>□</w:t>
            </w:r>
            <w:r>
              <w:rPr>
                <w:color w:val="auto"/>
                <w:sz w:val="24"/>
              </w:rPr>
              <w:t xml:space="preserve">超五年重新审核项目     </w:t>
            </w:r>
          </w:p>
          <w:p>
            <w:pPr>
              <w:spacing w:line="340" w:lineRule="exact"/>
              <w:jc w:val="left"/>
              <w:rPr>
                <w:color w:val="auto"/>
                <w:sz w:val="24"/>
              </w:rPr>
            </w:pPr>
            <w:r>
              <w:rPr>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49" w:hRule="atLeast"/>
          <w:jc w:val="center"/>
        </w:trPr>
        <w:tc>
          <w:tcPr>
            <w:tcW w:w="1981" w:type="dxa"/>
            <w:tcMar>
              <w:top w:w="16" w:type="dxa"/>
              <w:left w:w="16" w:type="dxa"/>
              <w:right w:w="16" w:type="dxa"/>
            </w:tcMar>
            <w:vAlign w:val="center"/>
          </w:tcPr>
          <w:p>
            <w:pPr>
              <w:adjustRightInd w:val="0"/>
              <w:snapToGrid w:val="0"/>
              <w:spacing w:line="340" w:lineRule="exact"/>
              <w:jc w:val="center"/>
              <w:rPr>
                <w:color w:val="auto"/>
                <w:sz w:val="24"/>
              </w:rPr>
            </w:pPr>
            <w:r>
              <w:rPr>
                <w:color w:val="auto"/>
                <w:sz w:val="24"/>
              </w:rPr>
              <w:t>项目审批（核准/</w:t>
            </w:r>
          </w:p>
          <w:p>
            <w:pPr>
              <w:adjustRightInd w:val="0"/>
              <w:snapToGrid w:val="0"/>
              <w:spacing w:line="340" w:lineRule="exact"/>
              <w:jc w:val="center"/>
              <w:rPr>
                <w:color w:val="auto"/>
                <w:sz w:val="24"/>
              </w:rPr>
            </w:pPr>
            <w:r>
              <w:rPr>
                <w:color w:val="auto"/>
                <w:sz w:val="24"/>
              </w:rPr>
              <w:t>备案）部门（选填）</w:t>
            </w:r>
          </w:p>
        </w:tc>
        <w:tc>
          <w:tcPr>
            <w:tcW w:w="2723" w:type="dxa"/>
            <w:vAlign w:val="center"/>
          </w:tcPr>
          <w:p>
            <w:pPr>
              <w:adjustRightInd w:val="0"/>
              <w:snapToGrid w:val="0"/>
              <w:spacing w:line="340" w:lineRule="exact"/>
              <w:jc w:val="center"/>
              <w:rPr>
                <w:color w:val="auto"/>
                <w:sz w:val="24"/>
              </w:rPr>
            </w:pPr>
            <w:r>
              <w:rPr>
                <w:rFonts w:hint="eastAsia"/>
                <w:color w:val="auto"/>
                <w:sz w:val="24"/>
              </w:rPr>
              <w:t>嘉荫县发展和改革局</w:t>
            </w:r>
          </w:p>
        </w:tc>
        <w:tc>
          <w:tcPr>
            <w:tcW w:w="1823" w:type="dxa"/>
            <w:vAlign w:val="center"/>
          </w:tcPr>
          <w:p>
            <w:pPr>
              <w:adjustRightInd w:val="0"/>
              <w:snapToGrid w:val="0"/>
              <w:spacing w:line="340" w:lineRule="exact"/>
              <w:jc w:val="center"/>
              <w:rPr>
                <w:color w:val="auto"/>
                <w:sz w:val="24"/>
              </w:rPr>
            </w:pPr>
            <w:r>
              <w:rPr>
                <w:color w:val="auto"/>
                <w:sz w:val="24"/>
              </w:rPr>
              <w:t>项目审批（核准/</w:t>
            </w:r>
          </w:p>
          <w:p>
            <w:pPr>
              <w:adjustRightInd w:val="0"/>
              <w:snapToGrid w:val="0"/>
              <w:spacing w:line="340" w:lineRule="exact"/>
              <w:jc w:val="center"/>
              <w:rPr>
                <w:color w:val="auto"/>
                <w:sz w:val="24"/>
              </w:rPr>
            </w:pPr>
            <w:r>
              <w:rPr>
                <w:color w:val="auto"/>
                <w:sz w:val="24"/>
              </w:rPr>
              <w:t>备案）文号（选填）</w:t>
            </w:r>
          </w:p>
        </w:tc>
        <w:tc>
          <w:tcPr>
            <w:tcW w:w="3111" w:type="dxa"/>
            <w:vAlign w:val="center"/>
          </w:tcPr>
          <w:p>
            <w:pPr>
              <w:keepNext w:val="0"/>
              <w:keepLines w:val="0"/>
              <w:widowControl/>
              <w:suppressLineNumbers w:val="0"/>
              <w:jc w:val="center"/>
              <w:rPr>
                <w:color w:val="auto"/>
                <w:sz w:val="24"/>
              </w:rPr>
            </w:pPr>
            <w:r>
              <w:rPr>
                <w:color w:val="auto"/>
                <w:sz w:val="24"/>
                <w:lang w:val="en-US" w:eastAsia="zh-CN"/>
              </w:rPr>
              <w:t>嘉发改发〔2026〕37号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31" w:hRule="atLeast"/>
          <w:jc w:val="center"/>
        </w:trPr>
        <w:tc>
          <w:tcPr>
            <w:tcW w:w="1981" w:type="dxa"/>
            <w:tcMar>
              <w:top w:w="16" w:type="dxa"/>
              <w:left w:w="16" w:type="dxa"/>
              <w:right w:w="16" w:type="dxa"/>
            </w:tcMar>
            <w:vAlign w:val="center"/>
          </w:tcPr>
          <w:p>
            <w:pPr>
              <w:adjustRightInd w:val="0"/>
              <w:snapToGrid w:val="0"/>
              <w:spacing w:line="340" w:lineRule="exact"/>
              <w:jc w:val="center"/>
              <w:rPr>
                <w:color w:val="auto"/>
                <w:sz w:val="24"/>
              </w:rPr>
            </w:pPr>
            <w:r>
              <w:rPr>
                <w:color w:val="auto"/>
                <w:sz w:val="24"/>
              </w:rPr>
              <w:t>总投资（万元）</w:t>
            </w:r>
          </w:p>
        </w:tc>
        <w:tc>
          <w:tcPr>
            <w:tcW w:w="2723" w:type="dxa"/>
            <w:vAlign w:val="center"/>
          </w:tcPr>
          <w:p>
            <w:pPr>
              <w:adjustRightInd w:val="0"/>
              <w:snapToGrid w:val="0"/>
              <w:spacing w:line="340" w:lineRule="exact"/>
              <w:jc w:val="center"/>
              <w:rPr>
                <w:rFonts w:hint="default" w:eastAsia="宋体"/>
                <w:color w:val="auto"/>
                <w:sz w:val="24"/>
                <w:highlight w:val="none"/>
                <w:lang w:val="en-US" w:eastAsia="zh-CN"/>
              </w:rPr>
            </w:pPr>
            <w:r>
              <w:rPr>
                <w:rFonts w:hint="eastAsia"/>
                <w:color w:val="auto"/>
                <w:sz w:val="24"/>
                <w:lang w:val="en-US" w:eastAsia="zh-CN"/>
              </w:rPr>
              <w:t>477.32</w:t>
            </w:r>
          </w:p>
        </w:tc>
        <w:tc>
          <w:tcPr>
            <w:tcW w:w="1823" w:type="dxa"/>
            <w:tcMar>
              <w:top w:w="16" w:type="dxa"/>
              <w:left w:w="16" w:type="dxa"/>
              <w:right w:w="16" w:type="dxa"/>
            </w:tcMar>
            <w:vAlign w:val="center"/>
          </w:tcPr>
          <w:p>
            <w:pPr>
              <w:adjustRightInd w:val="0"/>
              <w:snapToGrid w:val="0"/>
              <w:spacing w:line="340" w:lineRule="exact"/>
              <w:jc w:val="center"/>
              <w:rPr>
                <w:color w:val="auto"/>
                <w:sz w:val="24"/>
                <w:highlight w:val="none"/>
              </w:rPr>
            </w:pPr>
            <w:r>
              <w:rPr>
                <w:color w:val="auto"/>
                <w:sz w:val="24"/>
                <w:highlight w:val="none"/>
              </w:rPr>
              <w:t>环保投资（万元）</w:t>
            </w:r>
          </w:p>
        </w:tc>
        <w:tc>
          <w:tcPr>
            <w:tcW w:w="3111" w:type="dxa"/>
            <w:vAlign w:val="center"/>
          </w:tcPr>
          <w:p>
            <w:pPr>
              <w:adjustRightInd w:val="0"/>
              <w:snapToGrid w:val="0"/>
              <w:spacing w:line="340" w:lineRule="exact"/>
              <w:jc w:val="center"/>
              <w:rPr>
                <w:rFonts w:hint="default" w:eastAsia="宋体"/>
                <w:color w:val="auto"/>
                <w:sz w:val="24"/>
                <w:highlight w:val="none"/>
                <w:lang w:val="en-US" w:eastAsia="zh-CN"/>
              </w:rPr>
            </w:pPr>
            <w:r>
              <w:rPr>
                <w:rFonts w:hint="eastAsia"/>
                <w:color w:val="auto"/>
                <w:sz w:val="24"/>
                <w:highlight w:val="none"/>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237" w:hRule="atLeast"/>
          <w:jc w:val="center"/>
        </w:trPr>
        <w:tc>
          <w:tcPr>
            <w:tcW w:w="1981" w:type="dxa"/>
            <w:tcMar>
              <w:top w:w="16" w:type="dxa"/>
              <w:left w:w="16" w:type="dxa"/>
              <w:right w:w="16" w:type="dxa"/>
            </w:tcMar>
            <w:vAlign w:val="center"/>
          </w:tcPr>
          <w:p>
            <w:pPr>
              <w:adjustRightInd w:val="0"/>
              <w:snapToGrid w:val="0"/>
              <w:spacing w:line="340" w:lineRule="exact"/>
              <w:jc w:val="center"/>
              <w:rPr>
                <w:color w:val="auto"/>
                <w:sz w:val="24"/>
                <w:highlight w:val="none"/>
              </w:rPr>
            </w:pPr>
            <w:r>
              <w:rPr>
                <w:color w:val="auto"/>
                <w:sz w:val="24"/>
                <w:highlight w:val="none"/>
              </w:rPr>
              <w:t>环保投资占比（%）</w:t>
            </w:r>
          </w:p>
        </w:tc>
        <w:tc>
          <w:tcPr>
            <w:tcW w:w="2723" w:type="dxa"/>
            <w:vAlign w:val="center"/>
          </w:tcPr>
          <w:p>
            <w:pPr>
              <w:adjustRightInd w:val="0"/>
              <w:snapToGrid w:val="0"/>
              <w:spacing w:line="340" w:lineRule="exact"/>
              <w:jc w:val="center"/>
              <w:rPr>
                <w:rFonts w:hint="default" w:eastAsia="宋体"/>
                <w:color w:val="auto"/>
                <w:sz w:val="24"/>
                <w:highlight w:val="none"/>
                <w:lang w:val="en-US" w:eastAsia="zh-CN"/>
              </w:rPr>
            </w:pPr>
            <w:r>
              <w:rPr>
                <w:rFonts w:hint="eastAsia"/>
                <w:color w:val="auto"/>
                <w:sz w:val="24"/>
                <w:highlight w:val="none"/>
                <w:lang w:val="en-US" w:eastAsia="zh-CN"/>
              </w:rPr>
              <w:t>1.05</w:t>
            </w:r>
          </w:p>
        </w:tc>
        <w:tc>
          <w:tcPr>
            <w:tcW w:w="1823" w:type="dxa"/>
            <w:tcMar>
              <w:top w:w="16" w:type="dxa"/>
              <w:left w:w="16" w:type="dxa"/>
              <w:right w:w="16" w:type="dxa"/>
            </w:tcMar>
            <w:vAlign w:val="center"/>
          </w:tcPr>
          <w:p>
            <w:pPr>
              <w:adjustRightInd w:val="0"/>
              <w:snapToGrid w:val="0"/>
              <w:spacing w:line="340" w:lineRule="exact"/>
              <w:jc w:val="center"/>
              <w:rPr>
                <w:color w:val="auto"/>
                <w:sz w:val="24"/>
                <w:highlight w:val="none"/>
              </w:rPr>
            </w:pPr>
            <w:r>
              <w:rPr>
                <w:color w:val="auto"/>
                <w:sz w:val="24"/>
                <w:highlight w:val="none"/>
              </w:rPr>
              <w:t>施工工期</w:t>
            </w:r>
          </w:p>
        </w:tc>
        <w:tc>
          <w:tcPr>
            <w:tcW w:w="3111" w:type="dxa"/>
            <w:vAlign w:val="center"/>
          </w:tcPr>
          <w:p>
            <w:pPr>
              <w:adjustRightInd w:val="0"/>
              <w:snapToGrid w:val="0"/>
              <w:spacing w:line="340" w:lineRule="exact"/>
              <w:jc w:val="center"/>
              <w:rPr>
                <w:b/>
                <w:bCs/>
                <w:color w:val="auto"/>
                <w:sz w:val="24"/>
                <w:highlight w:val="none"/>
              </w:rPr>
            </w:pP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shd w:val="clear" w:color="auto" w:fill="auto"/>
                <w:lang w:val="en-US" w:eastAsia="zh-CN"/>
              </w:rPr>
              <w:t>02</w:t>
            </w:r>
            <w:r>
              <w:rPr>
                <w:rFonts w:hint="eastAsia" w:cs="Times New Roman"/>
                <w:color w:val="auto"/>
                <w:sz w:val="24"/>
                <w:szCs w:val="24"/>
                <w:highlight w:val="none"/>
                <w:shd w:val="clear" w:color="auto" w:fill="auto"/>
                <w:lang w:val="en-US" w:eastAsia="zh-CN"/>
              </w:rPr>
              <w:t>6</w:t>
            </w:r>
            <w:r>
              <w:rPr>
                <w:rFonts w:hint="eastAsia" w:ascii="Times New Roman" w:hAnsi="Times New Roman" w:cs="Times New Roman"/>
                <w:color w:val="auto"/>
                <w:sz w:val="24"/>
                <w:szCs w:val="24"/>
                <w:highlight w:val="none"/>
                <w:shd w:val="clear" w:color="auto" w:fill="auto"/>
                <w:lang w:val="en-US" w:eastAsia="zh-CN"/>
              </w:rPr>
              <w:t>年</w:t>
            </w:r>
            <w:r>
              <w:rPr>
                <w:rFonts w:hint="eastAsia" w:cs="Times New Roman"/>
                <w:color w:val="auto"/>
                <w:sz w:val="24"/>
                <w:szCs w:val="24"/>
                <w:highlight w:val="none"/>
                <w:shd w:val="clear" w:color="auto" w:fill="auto"/>
                <w:lang w:val="en-US" w:eastAsia="zh-CN"/>
              </w:rPr>
              <w:t>6</w:t>
            </w:r>
            <w:r>
              <w:rPr>
                <w:rFonts w:hint="eastAsia" w:ascii="Times New Roman" w:hAnsi="Times New Roman" w:cs="Times New Roman"/>
                <w:color w:val="auto"/>
                <w:sz w:val="24"/>
                <w:szCs w:val="24"/>
                <w:highlight w:val="none"/>
                <w:shd w:val="clear" w:color="auto" w:fill="auto"/>
                <w:lang w:val="en-US" w:eastAsia="zh-CN"/>
              </w:rPr>
              <w:t>月</w:t>
            </w:r>
            <w:r>
              <w:rPr>
                <w:rFonts w:hint="eastAsia" w:cs="Times New Roman"/>
                <w:color w:val="auto"/>
                <w:sz w:val="24"/>
                <w:szCs w:val="24"/>
                <w:highlight w:val="none"/>
                <w:shd w:val="clear" w:color="auto" w:fill="auto"/>
                <w:lang w:val="en-US" w:eastAsia="zh-CN"/>
              </w:rPr>
              <w:t>—12</w:t>
            </w:r>
            <w:r>
              <w:rPr>
                <w:rFonts w:hint="eastAsia" w:ascii="Times New Roman" w:hAnsi="Times New Roman" w:cs="Times New Roman"/>
                <w:color w:val="auto"/>
                <w:sz w:val="24"/>
                <w:szCs w:val="24"/>
                <w:highlight w:val="none"/>
                <w:shd w:val="clear" w:color="auto" w:fill="auto"/>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71" w:hRule="atLeast"/>
          <w:jc w:val="center"/>
        </w:trPr>
        <w:tc>
          <w:tcPr>
            <w:tcW w:w="1981" w:type="dxa"/>
            <w:tcMar>
              <w:top w:w="16" w:type="dxa"/>
              <w:left w:w="16" w:type="dxa"/>
              <w:right w:w="16" w:type="dxa"/>
            </w:tcMar>
            <w:vAlign w:val="center"/>
          </w:tcPr>
          <w:p>
            <w:pPr>
              <w:adjustRightInd w:val="0"/>
              <w:snapToGrid w:val="0"/>
              <w:spacing w:line="340" w:lineRule="exact"/>
              <w:jc w:val="center"/>
              <w:rPr>
                <w:color w:val="auto"/>
                <w:sz w:val="24"/>
              </w:rPr>
            </w:pPr>
            <w:r>
              <w:rPr>
                <w:color w:val="auto"/>
                <w:sz w:val="24"/>
              </w:rPr>
              <w:t>是否开工建设</w:t>
            </w:r>
          </w:p>
        </w:tc>
        <w:tc>
          <w:tcPr>
            <w:tcW w:w="2723" w:type="dxa"/>
            <w:vAlign w:val="center"/>
          </w:tcPr>
          <w:p>
            <w:pPr>
              <w:adjustRightInd w:val="0"/>
              <w:snapToGrid w:val="0"/>
              <w:spacing w:line="340" w:lineRule="exact"/>
              <w:rPr>
                <w:color w:val="auto"/>
                <w:sz w:val="24"/>
                <w:u w:val="single"/>
              </w:rPr>
            </w:pPr>
            <w:r>
              <w:rPr>
                <w:rFonts w:hint="eastAsia"/>
                <w:color w:val="auto"/>
                <w:sz w:val="24"/>
                <w:lang w:eastAsia="zh-CN"/>
              </w:rPr>
              <w:t>☑</w:t>
            </w:r>
            <w:r>
              <w:rPr>
                <w:color w:val="auto"/>
                <w:sz w:val="24"/>
              </w:rPr>
              <w:t>否：</w:t>
            </w:r>
            <w:r>
              <w:rPr>
                <w:color w:val="auto"/>
                <w:sz w:val="24"/>
                <w:u w:val="single"/>
              </w:rPr>
              <w:t xml:space="preserve">         </w:t>
            </w:r>
          </w:p>
          <w:p>
            <w:pPr>
              <w:adjustRightInd w:val="0"/>
              <w:snapToGrid w:val="0"/>
              <w:spacing w:line="340" w:lineRule="exact"/>
              <w:jc w:val="left"/>
              <w:rPr>
                <w:rFonts w:hint="default" w:eastAsia="宋体"/>
                <w:color w:val="auto"/>
                <w:sz w:val="24"/>
                <w:lang w:val="en-US" w:eastAsia="zh-CN"/>
              </w:rPr>
            </w:pPr>
            <w:r>
              <w:rPr>
                <w:rFonts w:hint="eastAsia"/>
                <w:color w:val="auto"/>
                <w:sz w:val="24"/>
                <w:highlight w:val="none"/>
                <w:lang w:eastAsia="zh-CN"/>
              </w:rPr>
              <w:t>□</w:t>
            </w:r>
            <w:r>
              <w:rPr>
                <w:color w:val="auto"/>
                <w:sz w:val="24"/>
                <w:highlight w:val="none"/>
              </w:rPr>
              <w:t>是：</w:t>
            </w:r>
            <w:r>
              <w:rPr>
                <w:rFonts w:hint="eastAsia"/>
                <w:color w:val="auto"/>
                <w:sz w:val="24"/>
                <w:highlight w:val="none"/>
                <w:u w:val="single"/>
                <w:lang w:val="en-US" w:eastAsia="zh-CN"/>
              </w:rPr>
              <w:t xml:space="preserve">         </w:t>
            </w:r>
          </w:p>
        </w:tc>
        <w:tc>
          <w:tcPr>
            <w:tcW w:w="1823" w:type="dxa"/>
            <w:tcMar>
              <w:top w:w="16" w:type="dxa"/>
              <w:left w:w="16" w:type="dxa"/>
              <w:right w:w="16" w:type="dxa"/>
            </w:tcMar>
            <w:vAlign w:val="center"/>
          </w:tcPr>
          <w:p>
            <w:pPr>
              <w:adjustRightInd w:val="0"/>
              <w:snapToGrid w:val="0"/>
              <w:spacing w:line="340" w:lineRule="exact"/>
              <w:jc w:val="center"/>
              <w:rPr>
                <w:color w:val="auto"/>
                <w:spacing w:val="-6"/>
                <w:sz w:val="24"/>
              </w:rPr>
            </w:pPr>
            <w:r>
              <w:rPr>
                <w:color w:val="auto"/>
                <w:spacing w:val="-6"/>
                <w:sz w:val="24"/>
              </w:rPr>
              <w:t>用地（用海）</w:t>
            </w:r>
          </w:p>
          <w:p>
            <w:pPr>
              <w:adjustRightInd w:val="0"/>
              <w:snapToGrid w:val="0"/>
              <w:spacing w:line="340" w:lineRule="exact"/>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3111" w:type="dxa"/>
            <w:vAlign w:val="center"/>
          </w:tcPr>
          <w:p>
            <w:pPr>
              <w:adjustRightInd w:val="0"/>
              <w:snapToGrid w:val="0"/>
              <w:spacing w:line="340" w:lineRule="exact"/>
              <w:jc w:val="center"/>
              <w:rPr>
                <w:rFonts w:hint="default" w:eastAsia="宋体"/>
                <w:color w:val="auto"/>
                <w:sz w:val="24"/>
                <w:lang w:val="en-US" w:eastAsia="zh-CN"/>
              </w:rPr>
            </w:pPr>
            <w:r>
              <w:rPr>
                <w:rFonts w:hint="eastAsia"/>
                <w:color w:val="auto"/>
                <w:sz w:val="24"/>
                <w:lang w:val="en-US" w:eastAsia="zh-CN"/>
              </w:rPr>
              <w:t>1916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jc w:val="center"/>
        </w:trPr>
        <w:tc>
          <w:tcPr>
            <w:tcW w:w="1981" w:type="dxa"/>
            <w:vAlign w:val="center"/>
          </w:tcPr>
          <w:p>
            <w:pPr>
              <w:autoSpaceDE w:val="0"/>
              <w:autoSpaceDN w:val="0"/>
              <w:adjustRightInd w:val="0"/>
              <w:snapToGrid w:val="0"/>
              <w:spacing w:line="340" w:lineRule="exact"/>
              <w:jc w:val="center"/>
              <w:rPr>
                <w:color w:val="auto"/>
                <w:kern w:val="0"/>
                <w:sz w:val="24"/>
              </w:rPr>
            </w:pPr>
            <w:r>
              <w:rPr>
                <w:color w:val="auto"/>
                <w:kern w:val="0"/>
                <w:sz w:val="24"/>
              </w:rPr>
              <w:t>专项评价设置情况</w:t>
            </w:r>
          </w:p>
        </w:tc>
        <w:tc>
          <w:tcPr>
            <w:tcW w:w="7657" w:type="dxa"/>
            <w:gridSpan w:val="3"/>
            <w:vAlign w:val="center"/>
          </w:tcPr>
          <w:p>
            <w:pPr>
              <w:autoSpaceDE w:val="0"/>
              <w:autoSpaceDN w:val="0"/>
              <w:adjustRightInd w:val="0"/>
              <w:snapToGrid w:val="0"/>
              <w:spacing w:line="340" w:lineRule="exact"/>
              <w:jc w:val="center"/>
              <w:rPr>
                <w:rFonts w:hint="default" w:eastAsia="宋体"/>
                <w:color w:val="auto"/>
                <w:kern w:val="0"/>
                <w:sz w:val="24"/>
                <w:lang w:val="en-US" w:eastAsia="zh-CN"/>
              </w:rPr>
            </w:pPr>
            <w:r>
              <w:rPr>
                <w:rFonts w:hint="eastAsia"/>
                <w:color w:val="auto"/>
                <w:kern w:val="0"/>
                <w:sz w:val="24"/>
                <w:lang w:val="en-US" w:eastAsia="zh-CN"/>
              </w:rPr>
              <w:t>表1-1 专项评价设置情况</w:t>
            </w:r>
          </w:p>
          <w:tbl>
            <w:tblPr>
              <w:tblStyle w:val="29"/>
              <w:tblW w:w="7441"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2706"/>
              <w:gridCol w:w="2876"/>
              <w:gridCol w:w="8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22" w:type="dxa"/>
                  <w:noWrap w:val="0"/>
                  <w:vAlign w:val="center"/>
                </w:tcPr>
                <w:p>
                  <w:pPr>
                    <w:pStyle w:val="142"/>
                    <w:adjustRightInd w:val="0"/>
                    <w:snapToGrid w:val="0"/>
                    <w:spacing w:line="240" w:lineRule="auto"/>
                    <w:rPr>
                      <w:color w:val="auto"/>
                      <w:sz w:val="24"/>
                      <w:szCs w:val="24"/>
                    </w:rPr>
                  </w:pPr>
                  <w:r>
                    <w:rPr>
                      <w:color w:val="auto"/>
                      <w:sz w:val="24"/>
                      <w:szCs w:val="24"/>
                    </w:rPr>
                    <w:t>专项评价的类别</w:t>
                  </w:r>
                </w:p>
              </w:tc>
              <w:tc>
                <w:tcPr>
                  <w:tcW w:w="2706" w:type="dxa"/>
                  <w:noWrap w:val="0"/>
                  <w:vAlign w:val="center"/>
                </w:tcPr>
                <w:p>
                  <w:pPr>
                    <w:pStyle w:val="142"/>
                    <w:adjustRightInd w:val="0"/>
                    <w:snapToGrid w:val="0"/>
                    <w:spacing w:line="240" w:lineRule="auto"/>
                    <w:rPr>
                      <w:color w:val="auto"/>
                      <w:sz w:val="24"/>
                      <w:szCs w:val="24"/>
                    </w:rPr>
                  </w:pPr>
                  <w:r>
                    <w:rPr>
                      <w:color w:val="auto"/>
                      <w:sz w:val="24"/>
                      <w:szCs w:val="24"/>
                    </w:rPr>
                    <w:t>设置原则</w:t>
                  </w:r>
                </w:p>
              </w:tc>
              <w:tc>
                <w:tcPr>
                  <w:tcW w:w="2876" w:type="dxa"/>
                  <w:noWrap w:val="0"/>
                  <w:vAlign w:val="center"/>
                </w:tcPr>
                <w:p>
                  <w:pPr>
                    <w:pStyle w:val="142"/>
                    <w:adjustRightInd w:val="0"/>
                    <w:snapToGrid w:val="0"/>
                    <w:spacing w:line="240" w:lineRule="auto"/>
                    <w:rPr>
                      <w:color w:val="auto"/>
                      <w:sz w:val="24"/>
                      <w:szCs w:val="24"/>
                    </w:rPr>
                  </w:pPr>
                  <w:r>
                    <w:rPr>
                      <w:color w:val="auto"/>
                      <w:sz w:val="24"/>
                      <w:szCs w:val="24"/>
                    </w:rPr>
                    <w:t>本项目执行情况</w:t>
                  </w:r>
                </w:p>
              </w:tc>
              <w:tc>
                <w:tcPr>
                  <w:tcW w:w="837" w:type="dxa"/>
                  <w:noWrap w:val="0"/>
                  <w:vAlign w:val="center"/>
                </w:tcPr>
                <w:p>
                  <w:pPr>
                    <w:pStyle w:val="142"/>
                    <w:adjustRightInd w:val="0"/>
                    <w:snapToGrid w:val="0"/>
                    <w:spacing w:line="240" w:lineRule="auto"/>
                    <w:rPr>
                      <w:color w:val="auto"/>
                      <w:sz w:val="24"/>
                      <w:szCs w:val="24"/>
                    </w:rPr>
                  </w:pPr>
                  <w:r>
                    <w:rPr>
                      <w:rFonts w:hint="eastAsia"/>
                      <w:color w:val="auto"/>
                      <w:sz w:val="24"/>
                      <w:szCs w:val="24"/>
                    </w:rPr>
                    <w:t>是否开展专项评价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22" w:type="dxa"/>
                  <w:noWrap w:val="0"/>
                  <w:vAlign w:val="center"/>
                </w:tcPr>
                <w:p>
                  <w:pPr>
                    <w:adjustRightInd w:val="0"/>
                    <w:snapToGrid w:val="0"/>
                    <w:jc w:val="center"/>
                    <w:rPr>
                      <w:color w:val="auto"/>
                      <w:sz w:val="24"/>
                      <w:szCs w:val="24"/>
                    </w:rPr>
                  </w:pPr>
                  <w:r>
                    <w:rPr>
                      <w:color w:val="auto"/>
                      <w:sz w:val="24"/>
                      <w:szCs w:val="24"/>
                    </w:rPr>
                    <w:t>大气</w:t>
                  </w:r>
                </w:p>
              </w:tc>
              <w:tc>
                <w:tcPr>
                  <w:tcW w:w="2706" w:type="dxa"/>
                  <w:noWrap w:val="0"/>
                  <w:vAlign w:val="center"/>
                </w:tcPr>
                <w:p>
                  <w:pPr>
                    <w:adjustRightInd w:val="0"/>
                    <w:snapToGrid w:val="0"/>
                    <w:rPr>
                      <w:color w:val="auto"/>
                      <w:sz w:val="24"/>
                      <w:szCs w:val="24"/>
                    </w:rPr>
                  </w:pPr>
                  <w:r>
                    <w:rPr>
                      <w:color w:val="auto"/>
                      <w:sz w:val="24"/>
                      <w:szCs w:val="24"/>
                    </w:rPr>
                    <w:t>排放废气含有毒有害污染物、二噁英、苯并[a]芘、氰化物、氯气且厂界外500米范围内有环境空气保护目标的建设项目</w:t>
                  </w:r>
                </w:p>
              </w:tc>
              <w:tc>
                <w:tcPr>
                  <w:tcW w:w="2876" w:type="dxa"/>
                  <w:noWrap w:val="0"/>
                  <w:vAlign w:val="center"/>
                </w:tcPr>
                <w:p>
                  <w:pPr>
                    <w:adjustRightInd w:val="0"/>
                    <w:snapToGrid w:val="0"/>
                    <w:jc w:val="center"/>
                    <w:rPr>
                      <w:color w:val="auto"/>
                      <w:sz w:val="24"/>
                      <w:szCs w:val="24"/>
                    </w:rPr>
                  </w:pPr>
                  <w:r>
                    <w:rPr>
                      <w:color w:val="auto"/>
                      <w:sz w:val="24"/>
                      <w:szCs w:val="24"/>
                    </w:rPr>
                    <w:t>根据《有毒有害大气污染物名录》内容，本项目排放废气污染物均不属于名录内选项，不开展专项评价</w:t>
                  </w:r>
                </w:p>
              </w:tc>
              <w:tc>
                <w:tcPr>
                  <w:tcW w:w="837" w:type="dxa"/>
                  <w:noWrap w:val="0"/>
                  <w:vAlign w:val="center"/>
                </w:tcPr>
                <w:p>
                  <w:pPr>
                    <w:adjustRightInd w:val="0"/>
                    <w:snapToGrid w:val="0"/>
                    <w:jc w:val="center"/>
                    <w:rPr>
                      <w:color w:val="auto"/>
                      <w:sz w:val="24"/>
                      <w:szCs w:val="24"/>
                    </w:rPr>
                  </w:pPr>
                  <w:r>
                    <w:rPr>
                      <w:rFonts w:hint="eastAsia"/>
                      <w:color w:val="auto"/>
                      <w:sz w:val="24"/>
                      <w:szCs w:val="24"/>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22" w:type="dxa"/>
                  <w:noWrap w:val="0"/>
                  <w:vAlign w:val="center"/>
                </w:tcPr>
                <w:p>
                  <w:pPr>
                    <w:adjustRightInd w:val="0"/>
                    <w:snapToGrid w:val="0"/>
                    <w:jc w:val="center"/>
                    <w:rPr>
                      <w:color w:val="auto"/>
                      <w:sz w:val="24"/>
                      <w:szCs w:val="24"/>
                    </w:rPr>
                  </w:pPr>
                  <w:r>
                    <w:rPr>
                      <w:color w:val="auto"/>
                      <w:sz w:val="24"/>
                      <w:szCs w:val="24"/>
                    </w:rPr>
                    <w:t>地表水</w:t>
                  </w:r>
                </w:p>
              </w:tc>
              <w:tc>
                <w:tcPr>
                  <w:tcW w:w="2706" w:type="dxa"/>
                  <w:noWrap w:val="0"/>
                  <w:vAlign w:val="center"/>
                </w:tcPr>
                <w:p>
                  <w:pPr>
                    <w:adjustRightInd w:val="0"/>
                    <w:snapToGrid w:val="0"/>
                    <w:rPr>
                      <w:color w:val="auto"/>
                      <w:sz w:val="24"/>
                      <w:szCs w:val="24"/>
                    </w:rPr>
                  </w:pPr>
                  <w:r>
                    <w:rPr>
                      <w:color w:val="auto"/>
                      <w:sz w:val="24"/>
                      <w:szCs w:val="24"/>
                    </w:rPr>
                    <w:t>新增工业废水直排建设项目（槽罐车外送污水处理厂的除外）；</w:t>
                  </w:r>
                </w:p>
                <w:p>
                  <w:pPr>
                    <w:adjustRightInd w:val="0"/>
                    <w:snapToGrid w:val="0"/>
                    <w:rPr>
                      <w:color w:val="auto"/>
                      <w:sz w:val="24"/>
                      <w:szCs w:val="24"/>
                    </w:rPr>
                  </w:pPr>
                  <w:r>
                    <w:rPr>
                      <w:color w:val="auto"/>
                      <w:sz w:val="24"/>
                      <w:szCs w:val="24"/>
                    </w:rPr>
                    <w:t>新增废水直排的污水集中处理厂</w:t>
                  </w:r>
                </w:p>
              </w:tc>
              <w:tc>
                <w:tcPr>
                  <w:tcW w:w="2876" w:type="dxa"/>
                  <w:noWrap w:val="0"/>
                  <w:vAlign w:val="center"/>
                </w:tcPr>
                <w:p>
                  <w:pPr>
                    <w:adjustRightInd w:val="0"/>
                    <w:snapToGrid w:val="0"/>
                    <w:jc w:val="center"/>
                    <w:rPr>
                      <w:color w:val="auto"/>
                      <w:sz w:val="24"/>
                      <w:szCs w:val="24"/>
                    </w:rPr>
                  </w:pPr>
                  <w:r>
                    <w:rPr>
                      <w:bCs/>
                      <w:color w:val="auto"/>
                      <w:sz w:val="24"/>
                      <w:szCs w:val="24"/>
                    </w:rPr>
                    <w:t>本项目</w:t>
                  </w:r>
                  <w:r>
                    <w:rPr>
                      <w:rFonts w:hint="eastAsia"/>
                      <w:bCs/>
                      <w:color w:val="auto"/>
                      <w:sz w:val="24"/>
                      <w:szCs w:val="24"/>
                      <w:lang w:val="en-US" w:eastAsia="zh-CN"/>
                    </w:rPr>
                    <w:t>废水不直接排放</w:t>
                  </w:r>
                  <w:r>
                    <w:rPr>
                      <w:color w:val="auto"/>
                      <w:sz w:val="24"/>
                      <w:szCs w:val="24"/>
                    </w:rPr>
                    <w:t>。不开展专项评价</w:t>
                  </w:r>
                </w:p>
              </w:tc>
              <w:tc>
                <w:tcPr>
                  <w:tcW w:w="837" w:type="dxa"/>
                  <w:noWrap w:val="0"/>
                  <w:vAlign w:val="center"/>
                </w:tcPr>
                <w:p>
                  <w:pPr>
                    <w:adjustRightInd w:val="0"/>
                    <w:snapToGrid w:val="0"/>
                    <w:jc w:val="center"/>
                    <w:rPr>
                      <w:color w:val="auto"/>
                      <w:sz w:val="24"/>
                      <w:szCs w:val="24"/>
                    </w:rPr>
                  </w:pPr>
                  <w:r>
                    <w:rPr>
                      <w:rFonts w:hint="eastAsia"/>
                      <w:color w:val="auto"/>
                      <w:sz w:val="24"/>
                      <w:szCs w:val="24"/>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28" w:hRule="atLeast"/>
                <w:jc w:val="center"/>
              </w:trPr>
              <w:tc>
                <w:tcPr>
                  <w:tcW w:w="1022" w:type="dxa"/>
                  <w:noWrap w:val="0"/>
                  <w:vAlign w:val="center"/>
                </w:tcPr>
                <w:p>
                  <w:pPr>
                    <w:adjustRightInd w:val="0"/>
                    <w:snapToGrid w:val="0"/>
                    <w:jc w:val="center"/>
                    <w:rPr>
                      <w:color w:val="auto"/>
                      <w:sz w:val="24"/>
                      <w:szCs w:val="24"/>
                    </w:rPr>
                  </w:pPr>
                  <w:r>
                    <w:rPr>
                      <w:color w:val="auto"/>
                      <w:sz w:val="24"/>
                      <w:szCs w:val="24"/>
                    </w:rPr>
                    <w:t>环境风险</w:t>
                  </w:r>
                </w:p>
              </w:tc>
              <w:tc>
                <w:tcPr>
                  <w:tcW w:w="2706" w:type="dxa"/>
                  <w:noWrap w:val="0"/>
                  <w:vAlign w:val="center"/>
                </w:tcPr>
                <w:p>
                  <w:pPr>
                    <w:adjustRightInd w:val="0"/>
                    <w:snapToGrid w:val="0"/>
                    <w:rPr>
                      <w:color w:val="auto"/>
                      <w:sz w:val="24"/>
                      <w:szCs w:val="24"/>
                    </w:rPr>
                  </w:pPr>
                  <w:r>
                    <w:rPr>
                      <w:color w:val="auto"/>
                      <w:sz w:val="24"/>
                      <w:szCs w:val="24"/>
                    </w:rPr>
                    <w:t>有毒有害和易燃易爆危险物质存储量超过临界量的建设项目</w:t>
                  </w:r>
                </w:p>
              </w:tc>
              <w:tc>
                <w:tcPr>
                  <w:tcW w:w="2876" w:type="dxa"/>
                  <w:noWrap w:val="0"/>
                  <w:vAlign w:val="center"/>
                </w:tcPr>
                <w:p>
                  <w:pPr>
                    <w:adjustRightInd w:val="0"/>
                    <w:snapToGrid w:val="0"/>
                    <w:jc w:val="center"/>
                    <w:rPr>
                      <w:color w:val="auto"/>
                      <w:sz w:val="24"/>
                      <w:szCs w:val="24"/>
                    </w:rPr>
                  </w:pPr>
                  <w:r>
                    <w:rPr>
                      <w:color w:val="auto"/>
                      <w:sz w:val="24"/>
                      <w:szCs w:val="24"/>
                    </w:rPr>
                    <w:t>本项目危险物质存储量</w:t>
                  </w:r>
                  <w:r>
                    <w:rPr>
                      <w:rFonts w:hint="eastAsia"/>
                      <w:color w:val="auto"/>
                      <w:sz w:val="24"/>
                      <w:szCs w:val="24"/>
                      <w:lang w:val="en-US" w:eastAsia="zh-CN"/>
                    </w:rPr>
                    <w:t>小于</w:t>
                  </w:r>
                  <w:r>
                    <w:rPr>
                      <w:color w:val="auto"/>
                      <w:sz w:val="24"/>
                      <w:szCs w:val="24"/>
                    </w:rPr>
                    <w:t>临界量</w:t>
                  </w:r>
                </w:p>
              </w:tc>
              <w:tc>
                <w:tcPr>
                  <w:tcW w:w="837" w:type="dxa"/>
                  <w:noWrap w:val="0"/>
                  <w:vAlign w:val="center"/>
                </w:tcPr>
                <w:p>
                  <w:pPr>
                    <w:adjustRightInd w:val="0"/>
                    <w:snapToGrid w:val="0"/>
                    <w:jc w:val="center"/>
                    <w:rPr>
                      <w:color w:val="auto"/>
                      <w:sz w:val="24"/>
                      <w:szCs w:val="24"/>
                    </w:rPr>
                  </w:pPr>
                  <w:r>
                    <w:rPr>
                      <w:rFonts w:hint="eastAsia"/>
                      <w:color w:val="auto"/>
                      <w:sz w:val="24"/>
                      <w:szCs w:val="24"/>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22" w:type="dxa"/>
                  <w:noWrap w:val="0"/>
                  <w:vAlign w:val="center"/>
                </w:tcPr>
                <w:p>
                  <w:pPr>
                    <w:adjustRightInd w:val="0"/>
                    <w:snapToGrid w:val="0"/>
                    <w:jc w:val="center"/>
                    <w:rPr>
                      <w:color w:val="auto"/>
                      <w:sz w:val="24"/>
                      <w:szCs w:val="24"/>
                    </w:rPr>
                  </w:pPr>
                  <w:r>
                    <w:rPr>
                      <w:color w:val="auto"/>
                      <w:sz w:val="24"/>
                      <w:szCs w:val="24"/>
                    </w:rPr>
                    <w:t>生态</w:t>
                  </w:r>
                </w:p>
              </w:tc>
              <w:tc>
                <w:tcPr>
                  <w:tcW w:w="2706" w:type="dxa"/>
                  <w:noWrap w:val="0"/>
                  <w:vAlign w:val="center"/>
                </w:tcPr>
                <w:p>
                  <w:pPr>
                    <w:adjustRightInd w:val="0"/>
                    <w:snapToGrid w:val="0"/>
                    <w:rPr>
                      <w:color w:val="auto"/>
                      <w:sz w:val="24"/>
                      <w:szCs w:val="24"/>
                    </w:rPr>
                  </w:pPr>
                  <w:r>
                    <w:rPr>
                      <w:color w:val="auto"/>
                      <w:sz w:val="24"/>
                      <w:szCs w:val="24"/>
                    </w:rPr>
                    <w:t>取水口下游500米范围内有重要水生生物的自然产卵场、索饵场、越冬场和洄游通道的新增河道取水的污染类建设项目</w:t>
                  </w:r>
                </w:p>
              </w:tc>
              <w:tc>
                <w:tcPr>
                  <w:tcW w:w="2876" w:type="dxa"/>
                  <w:noWrap w:val="0"/>
                  <w:vAlign w:val="center"/>
                </w:tcPr>
                <w:p>
                  <w:pPr>
                    <w:adjustRightInd w:val="0"/>
                    <w:snapToGrid w:val="0"/>
                    <w:jc w:val="center"/>
                    <w:rPr>
                      <w:color w:val="auto"/>
                      <w:sz w:val="24"/>
                      <w:szCs w:val="24"/>
                    </w:rPr>
                  </w:pPr>
                  <w:r>
                    <w:rPr>
                      <w:color w:val="auto"/>
                      <w:sz w:val="24"/>
                      <w:szCs w:val="24"/>
                    </w:rPr>
                    <w:t>本项目不涉及，不开展专项评价</w:t>
                  </w:r>
                </w:p>
              </w:tc>
              <w:tc>
                <w:tcPr>
                  <w:tcW w:w="837" w:type="dxa"/>
                  <w:noWrap w:val="0"/>
                  <w:vAlign w:val="center"/>
                </w:tcPr>
                <w:p>
                  <w:pPr>
                    <w:adjustRightInd w:val="0"/>
                    <w:snapToGrid w:val="0"/>
                    <w:jc w:val="center"/>
                    <w:rPr>
                      <w:color w:val="auto"/>
                      <w:sz w:val="24"/>
                      <w:szCs w:val="24"/>
                    </w:rPr>
                  </w:pPr>
                  <w:r>
                    <w:rPr>
                      <w:rFonts w:hint="eastAsia"/>
                      <w:color w:val="auto"/>
                      <w:sz w:val="24"/>
                      <w:szCs w:val="24"/>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022" w:type="dxa"/>
                  <w:noWrap w:val="0"/>
                  <w:vAlign w:val="center"/>
                </w:tcPr>
                <w:p>
                  <w:pPr>
                    <w:adjustRightInd w:val="0"/>
                    <w:snapToGrid w:val="0"/>
                    <w:jc w:val="center"/>
                    <w:rPr>
                      <w:color w:val="auto"/>
                      <w:sz w:val="24"/>
                      <w:szCs w:val="24"/>
                    </w:rPr>
                  </w:pPr>
                  <w:r>
                    <w:rPr>
                      <w:color w:val="auto"/>
                      <w:sz w:val="24"/>
                      <w:szCs w:val="24"/>
                    </w:rPr>
                    <w:t>海洋</w:t>
                  </w:r>
                </w:p>
              </w:tc>
              <w:tc>
                <w:tcPr>
                  <w:tcW w:w="2706" w:type="dxa"/>
                  <w:noWrap w:val="0"/>
                  <w:vAlign w:val="center"/>
                </w:tcPr>
                <w:p>
                  <w:pPr>
                    <w:adjustRightInd w:val="0"/>
                    <w:snapToGrid w:val="0"/>
                    <w:rPr>
                      <w:color w:val="auto"/>
                      <w:sz w:val="24"/>
                      <w:szCs w:val="24"/>
                    </w:rPr>
                  </w:pPr>
                  <w:r>
                    <w:rPr>
                      <w:color w:val="auto"/>
                      <w:sz w:val="24"/>
                      <w:szCs w:val="24"/>
                    </w:rPr>
                    <w:t>直接向海排放污染物的海洋工程建设项目</w:t>
                  </w:r>
                </w:p>
              </w:tc>
              <w:tc>
                <w:tcPr>
                  <w:tcW w:w="2876" w:type="dxa"/>
                  <w:noWrap w:val="0"/>
                  <w:vAlign w:val="center"/>
                </w:tcPr>
                <w:p>
                  <w:pPr>
                    <w:adjustRightInd w:val="0"/>
                    <w:snapToGrid w:val="0"/>
                    <w:jc w:val="center"/>
                    <w:rPr>
                      <w:color w:val="auto"/>
                      <w:sz w:val="24"/>
                      <w:szCs w:val="24"/>
                    </w:rPr>
                  </w:pPr>
                  <w:r>
                    <w:rPr>
                      <w:color w:val="auto"/>
                      <w:sz w:val="24"/>
                      <w:szCs w:val="24"/>
                    </w:rPr>
                    <w:t>本项目不涉及，不开展专项评价</w:t>
                  </w:r>
                </w:p>
              </w:tc>
              <w:tc>
                <w:tcPr>
                  <w:tcW w:w="837" w:type="dxa"/>
                  <w:noWrap w:val="0"/>
                  <w:vAlign w:val="center"/>
                </w:tcPr>
                <w:p>
                  <w:pPr>
                    <w:adjustRightInd w:val="0"/>
                    <w:snapToGrid w:val="0"/>
                    <w:jc w:val="center"/>
                    <w:rPr>
                      <w:color w:val="auto"/>
                      <w:sz w:val="24"/>
                      <w:szCs w:val="24"/>
                    </w:rPr>
                  </w:pPr>
                  <w:r>
                    <w:rPr>
                      <w:rFonts w:hint="eastAsia"/>
                      <w:color w:val="auto"/>
                      <w:sz w:val="24"/>
                      <w:szCs w:val="24"/>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22" w:type="dxa"/>
                  <w:noWrap w:val="0"/>
                  <w:vAlign w:val="center"/>
                </w:tcPr>
                <w:p>
                  <w:pPr>
                    <w:adjustRightInd w:val="0"/>
                    <w:snapToGrid w:val="0"/>
                    <w:jc w:val="center"/>
                    <w:rPr>
                      <w:color w:val="auto"/>
                      <w:sz w:val="24"/>
                      <w:szCs w:val="24"/>
                    </w:rPr>
                  </w:pPr>
                  <w:r>
                    <w:rPr>
                      <w:color w:val="auto"/>
                      <w:sz w:val="24"/>
                      <w:szCs w:val="24"/>
                    </w:rPr>
                    <w:t>地下水</w:t>
                  </w:r>
                </w:p>
              </w:tc>
              <w:tc>
                <w:tcPr>
                  <w:tcW w:w="2706" w:type="dxa"/>
                  <w:noWrap w:val="0"/>
                  <w:vAlign w:val="center"/>
                </w:tcPr>
                <w:p>
                  <w:pPr>
                    <w:adjustRightInd w:val="0"/>
                    <w:snapToGrid w:val="0"/>
                    <w:rPr>
                      <w:color w:val="auto"/>
                      <w:sz w:val="24"/>
                      <w:szCs w:val="24"/>
                    </w:rPr>
                  </w:pPr>
                  <w:r>
                    <w:rPr>
                      <w:color w:val="auto"/>
                      <w:sz w:val="24"/>
                      <w:szCs w:val="24"/>
                    </w:rPr>
                    <w:t>地下水原则上不开展专项评价，涉及集中式饮用水水源和热水、矿泉水、温泉等特殊地下水资源保护区的</w:t>
                  </w:r>
                  <w:r>
                    <w:rPr>
                      <w:rFonts w:hint="eastAsia"/>
                      <w:color w:val="auto"/>
                      <w:sz w:val="24"/>
                      <w:szCs w:val="24"/>
                      <w:lang w:eastAsia="zh-CN"/>
                    </w:rPr>
                    <w:t>，开</w:t>
                  </w:r>
                  <w:r>
                    <w:rPr>
                      <w:color w:val="auto"/>
                      <w:sz w:val="24"/>
                      <w:szCs w:val="24"/>
                    </w:rPr>
                    <w:t>展地下水专项评价工作</w:t>
                  </w:r>
                </w:p>
              </w:tc>
              <w:tc>
                <w:tcPr>
                  <w:tcW w:w="2876" w:type="dxa"/>
                  <w:noWrap w:val="0"/>
                  <w:vAlign w:val="center"/>
                </w:tcPr>
                <w:p>
                  <w:pPr>
                    <w:adjustRightInd w:val="0"/>
                    <w:snapToGrid w:val="0"/>
                    <w:jc w:val="center"/>
                    <w:rPr>
                      <w:color w:val="auto"/>
                      <w:sz w:val="24"/>
                      <w:szCs w:val="24"/>
                    </w:rPr>
                  </w:pPr>
                  <w:r>
                    <w:rPr>
                      <w:color w:val="auto"/>
                      <w:sz w:val="24"/>
                      <w:szCs w:val="24"/>
                    </w:rPr>
                    <w:t>本项目不涉及集中式饮用水水源和热水、矿泉水、温泉等特殊地下水资源保护区，不开展专项评价</w:t>
                  </w:r>
                </w:p>
              </w:tc>
              <w:tc>
                <w:tcPr>
                  <w:tcW w:w="837" w:type="dxa"/>
                  <w:noWrap w:val="0"/>
                  <w:vAlign w:val="center"/>
                </w:tcPr>
                <w:p>
                  <w:pPr>
                    <w:adjustRightInd w:val="0"/>
                    <w:snapToGrid w:val="0"/>
                    <w:jc w:val="center"/>
                    <w:rPr>
                      <w:color w:val="auto"/>
                      <w:sz w:val="24"/>
                      <w:szCs w:val="24"/>
                    </w:rPr>
                  </w:pPr>
                  <w:r>
                    <w:rPr>
                      <w:rFonts w:hint="eastAsia"/>
                      <w:color w:val="auto"/>
                      <w:sz w:val="24"/>
                      <w:szCs w:val="24"/>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022" w:type="dxa"/>
                  <w:noWrap w:val="0"/>
                  <w:vAlign w:val="center"/>
                </w:tcPr>
                <w:p>
                  <w:pPr>
                    <w:adjustRightInd w:val="0"/>
                    <w:snapToGrid w:val="0"/>
                    <w:jc w:val="center"/>
                    <w:rPr>
                      <w:color w:val="auto"/>
                      <w:sz w:val="24"/>
                      <w:szCs w:val="24"/>
                    </w:rPr>
                  </w:pPr>
                  <w:r>
                    <w:rPr>
                      <w:color w:val="auto"/>
                      <w:sz w:val="24"/>
                      <w:szCs w:val="24"/>
                    </w:rPr>
                    <w:t>土壤、噪声</w:t>
                  </w:r>
                </w:p>
              </w:tc>
              <w:tc>
                <w:tcPr>
                  <w:tcW w:w="2706" w:type="dxa"/>
                  <w:noWrap w:val="0"/>
                  <w:vAlign w:val="center"/>
                </w:tcPr>
                <w:p>
                  <w:pPr>
                    <w:adjustRightInd w:val="0"/>
                    <w:snapToGrid w:val="0"/>
                    <w:rPr>
                      <w:color w:val="auto"/>
                      <w:sz w:val="24"/>
                      <w:szCs w:val="24"/>
                    </w:rPr>
                  </w:pPr>
                  <w:r>
                    <w:rPr>
                      <w:color w:val="auto"/>
                      <w:sz w:val="24"/>
                      <w:szCs w:val="24"/>
                    </w:rPr>
                    <w:t>土壤、声环境不开展专项评价</w:t>
                  </w:r>
                </w:p>
              </w:tc>
              <w:tc>
                <w:tcPr>
                  <w:tcW w:w="2876" w:type="dxa"/>
                  <w:noWrap w:val="0"/>
                  <w:vAlign w:val="center"/>
                </w:tcPr>
                <w:p>
                  <w:pPr>
                    <w:adjustRightInd w:val="0"/>
                    <w:snapToGrid w:val="0"/>
                    <w:jc w:val="center"/>
                    <w:rPr>
                      <w:color w:val="auto"/>
                      <w:sz w:val="24"/>
                      <w:szCs w:val="24"/>
                    </w:rPr>
                  </w:pPr>
                  <w:r>
                    <w:rPr>
                      <w:color w:val="auto"/>
                      <w:sz w:val="24"/>
                      <w:szCs w:val="24"/>
                    </w:rPr>
                    <w:t>本项目土壤、声环境不开展专项评价</w:t>
                  </w:r>
                </w:p>
              </w:tc>
              <w:tc>
                <w:tcPr>
                  <w:tcW w:w="837" w:type="dxa"/>
                  <w:noWrap w:val="0"/>
                  <w:vAlign w:val="center"/>
                </w:tcPr>
                <w:p>
                  <w:pPr>
                    <w:adjustRightInd w:val="0"/>
                    <w:snapToGrid w:val="0"/>
                    <w:jc w:val="center"/>
                    <w:rPr>
                      <w:color w:val="auto"/>
                      <w:sz w:val="24"/>
                      <w:szCs w:val="24"/>
                    </w:rPr>
                  </w:pPr>
                  <w:r>
                    <w:rPr>
                      <w:rFonts w:hint="eastAsia"/>
                      <w:color w:val="auto"/>
                      <w:sz w:val="24"/>
                      <w:szCs w:val="24"/>
                    </w:rPr>
                    <w:t>否</w:t>
                  </w:r>
                </w:p>
              </w:tc>
            </w:tr>
          </w:tbl>
          <w:p>
            <w:pPr>
              <w:autoSpaceDE w:val="0"/>
              <w:autoSpaceDN w:val="0"/>
              <w:adjustRightInd w:val="0"/>
              <w:snapToGrid w:val="0"/>
              <w:spacing w:line="340" w:lineRule="exact"/>
              <w:jc w:val="center"/>
              <w:rPr>
                <w:rFonts w:hint="default" w:eastAsia="宋体"/>
                <w:color w:val="auto"/>
                <w:kern w:val="0"/>
                <w:sz w:val="24"/>
                <w:lang w:val="en-US" w:eastAsia="zh-CN"/>
              </w:rPr>
            </w:pPr>
            <w:r>
              <w:rPr>
                <w:color w:val="auto"/>
                <w:szCs w:val="21"/>
              </w:rPr>
              <w:t>注：1.废气中有毒有害污染物指纳入《有毒有害大气污染物名录》的污染物（不包括无排放标准的污染物）</w:t>
            </w:r>
            <w:r>
              <w:rPr>
                <w:rFonts w:hint="eastAsia"/>
                <w:color w:val="auto"/>
                <w:szCs w:val="21"/>
              </w:rPr>
              <w:t>；</w:t>
            </w:r>
            <w:r>
              <w:rPr>
                <w:color w:val="auto"/>
                <w:szCs w:val="21"/>
              </w:rPr>
              <w:t>2.环境空气保护目标指自然保护区、风景名胜区、居住区、文化区和农村地区中人群较集中的区域</w:t>
            </w:r>
            <w:r>
              <w:rPr>
                <w:rFonts w:hint="eastAsia"/>
                <w:color w:val="auto"/>
                <w:szCs w:val="21"/>
              </w:rPr>
              <w:t>；</w:t>
            </w:r>
            <w:r>
              <w:rPr>
                <w:color w:val="auto"/>
                <w:szCs w:val="21"/>
              </w:rPr>
              <w:t>3.临界量及其计算方法可参考《建设项目环境风险评价技术导则》（HJ 169）附录B、附录C。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jc w:val="center"/>
        </w:trPr>
        <w:tc>
          <w:tcPr>
            <w:tcW w:w="1981" w:type="dxa"/>
            <w:vAlign w:val="center"/>
          </w:tcPr>
          <w:p>
            <w:pPr>
              <w:autoSpaceDE w:val="0"/>
              <w:autoSpaceDN w:val="0"/>
              <w:adjustRightInd w:val="0"/>
              <w:snapToGrid w:val="0"/>
              <w:spacing w:line="340" w:lineRule="exact"/>
              <w:jc w:val="center"/>
              <w:rPr>
                <w:color w:val="auto"/>
                <w:kern w:val="0"/>
                <w:sz w:val="24"/>
                <w:highlight w:val="yellow"/>
              </w:rPr>
            </w:pPr>
            <w:r>
              <w:rPr>
                <w:color w:val="auto"/>
                <w:sz w:val="24"/>
                <w:highlight w:val="none"/>
              </w:rPr>
              <w:t>规划情况</w:t>
            </w:r>
          </w:p>
        </w:tc>
        <w:tc>
          <w:tcPr>
            <w:tcW w:w="7657" w:type="dxa"/>
            <w:gridSpan w:val="3"/>
            <w:vAlign w:val="center"/>
          </w:tcPr>
          <w:p>
            <w:pPr>
              <w:autoSpaceDE w:val="0"/>
              <w:autoSpaceDN w:val="0"/>
              <w:adjustRightInd w:val="0"/>
              <w:snapToGrid w:val="0"/>
              <w:spacing w:line="340" w:lineRule="exact"/>
              <w:jc w:val="center"/>
              <w:rPr>
                <w:rFonts w:hint="default" w:eastAsia="宋体"/>
                <w:color w:val="auto"/>
                <w:kern w:val="0"/>
                <w:sz w:val="24"/>
                <w:highlight w:val="none"/>
                <w:lang w:val="en-US" w:eastAsia="zh-CN"/>
              </w:rPr>
            </w:pPr>
            <w:r>
              <w:rPr>
                <w:rFonts w:hint="eastAsia" w:cs="Times New Roman"/>
                <w:color w:val="auto"/>
                <w:kern w:val="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981" w:type="dxa"/>
            <w:vAlign w:val="center"/>
          </w:tcPr>
          <w:p>
            <w:pPr>
              <w:adjustRightInd w:val="0"/>
              <w:snapToGrid w:val="0"/>
              <w:spacing w:line="340" w:lineRule="exact"/>
              <w:jc w:val="center"/>
              <w:rPr>
                <w:color w:val="auto"/>
                <w:sz w:val="24"/>
                <w:highlight w:val="none"/>
              </w:rPr>
            </w:pPr>
            <w:r>
              <w:rPr>
                <w:color w:val="auto"/>
                <w:sz w:val="24"/>
                <w:highlight w:val="none"/>
              </w:rPr>
              <w:t>规划环境影响</w:t>
            </w:r>
          </w:p>
          <w:p>
            <w:pPr>
              <w:adjustRightInd w:val="0"/>
              <w:snapToGrid w:val="0"/>
              <w:spacing w:line="340" w:lineRule="exact"/>
              <w:jc w:val="center"/>
              <w:rPr>
                <w:color w:val="auto"/>
                <w:kern w:val="0"/>
                <w:sz w:val="24"/>
                <w:highlight w:val="yellow"/>
              </w:rPr>
            </w:pPr>
            <w:r>
              <w:rPr>
                <w:color w:val="auto"/>
                <w:sz w:val="24"/>
                <w:highlight w:val="none"/>
              </w:rPr>
              <w:t>评价情况</w:t>
            </w:r>
          </w:p>
        </w:tc>
        <w:tc>
          <w:tcPr>
            <w:tcW w:w="7657" w:type="dxa"/>
            <w:gridSpan w:val="3"/>
            <w:vAlign w:val="center"/>
          </w:tcPr>
          <w:p>
            <w:pPr>
              <w:autoSpaceDE w:val="0"/>
              <w:autoSpaceDN w:val="0"/>
              <w:adjustRightInd w:val="0"/>
              <w:snapToGrid w:val="0"/>
              <w:spacing w:line="340" w:lineRule="exact"/>
              <w:jc w:val="center"/>
              <w:rPr>
                <w:rFonts w:hint="default"/>
                <w:color w:val="auto"/>
                <w:kern w:val="0"/>
                <w:sz w:val="24"/>
                <w:highlight w:val="none"/>
                <w:lang w:val="en-US"/>
              </w:rPr>
            </w:pPr>
            <w:r>
              <w:rPr>
                <w:rFonts w:hint="eastAsia" w:cs="Times New Roman"/>
                <w:color w:val="auto"/>
                <w:kern w:val="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1981" w:type="dxa"/>
            <w:vAlign w:val="center"/>
          </w:tcPr>
          <w:p>
            <w:pPr>
              <w:autoSpaceDE w:val="0"/>
              <w:autoSpaceDN w:val="0"/>
              <w:adjustRightInd w:val="0"/>
              <w:snapToGrid w:val="0"/>
              <w:spacing w:line="340" w:lineRule="exact"/>
              <w:jc w:val="center"/>
              <w:rPr>
                <w:color w:val="auto"/>
                <w:kern w:val="0"/>
                <w:sz w:val="24"/>
                <w:highlight w:val="none"/>
              </w:rPr>
            </w:pPr>
            <w:r>
              <w:rPr>
                <w:color w:val="auto"/>
                <w:kern w:val="0"/>
                <w:sz w:val="24"/>
                <w:highlight w:val="none"/>
              </w:rPr>
              <w:t>规划及规划环境</w:t>
            </w:r>
          </w:p>
          <w:p>
            <w:pPr>
              <w:autoSpaceDE w:val="0"/>
              <w:autoSpaceDN w:val="0"/>
              <w:adjustRightInd w:val="0"/>
              <w:snapToGrid w:val="0"/>
              <w:spacing w:line="340" w:lineRule="exact"/>
              <w:jc w:val="center"/>
              <w:rPr>
                <w:color w:val="auto"/>
                <w:kern w:val="0"/>
                <w:sz w:val="24"/>
                <w:highlight w:val="yellow"/>
              </w:rPr>
            </w:pPr>
            <w:r>
              <w:rPr>
                <w:color w:val="auto"/>
                <w:kern w:val="0"/>
                <w:sz w:val="24"/>
                <w:highlight w:val="none"/>
              </w:rPr>
              <w:t>影响评价符合性分析</w:t>
            </w:r>
          </w:p>
        </w:tc>
        <w:tc>
          <w:tcPr>
            <w:tcW w:w="7657" w:type="dxa"/>
            <w:gridSpan w:val="3"/>
            <w:vAlign w:val="center"/>
          </w:tcPr>
          <w:p>
            <w:pPr>
              <w:autoSpaceDE w:val="0"/>
              <w:autoSpaceDN w:val="0"/>
              <w:adjustRightInd w:val="0"/>
              <w:snapToGrid w:val="0"/>
              <w:spacing w:line="340" w:lineRule="exact"/>
              <w:jc w:val="center"/>
              <w:rPr>
                <w:rFonts w:hint="default" w:eastAsia="宋体"/>
                <w:color w:val="auto"/>
                <w:kern w:val="0"/>
                <w:sz w:val="24"/>
                <w:highlight w:val="none"/>
                <w:lang w:val="en-US" w:eastAsia="zh-CN"/>
              </w:rPr>
            </w:pPr>
            <w:r>
              <w:rPr>
                <w:rFonts w:hint="eastAsia"/>
                <w:color w:val="auto"/>
                <w:kern w:val="0"/>
                <w:sz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981" w:type="dxa"/>
            <w:vAlign w:val="center"/>
          </w:tcPr>
          <w:p>
            <w:pPr>
              <w:autoSpaceDE w:val="0"/>
              <w:autoSpaceDN w:val="0"/>
              <w:adjustRightInd w:val="0"/>
              <w:snapToGrid w:val="0"/>
              <w:jc w:val="center"/>
              <w:rPr>
                <w:color w:val="auto"/>
                <w:kern w:val="0"/>
                <w:szCs w:val="21"/>
              </w:rPr>
            </w:pPr>
            <w:r>
              <w:rPr>
                <w:color w:val="auto"/>
                <w:kern w:val="0"/>
                <w:sz w:val="24"/>
                <w:szCs w:val="24"/>
              </w:rPr>
              <w:t>其他符合性分析</w:t>
            </w:r>
          </w:p>
        </w:tc>
        <w:tc>
          <w:tcPr>
            <w:tcW w:w="7657" w:type="dxa"/>
            <w:gridSpan w:val="3"/>
            <w:vAlign w:val="center"/>
          </w:tcPr>
          <w:p>
            <w:pPr>
              <w:pStyle w:val="69"/>
              <w:spacing w:line="360" w:lineRule="auto"/>
              <w:jc w:val="both"/>
              <w:rPr>
                <w:rFonts w:ascii="Times New Roman" w:cs="Times New Roman"/>
                <w:b/>
                <w:color w:val="auto"/>
              </w:rPr>
            </w:pPr>
            <w:r>
              <w:rPr>
                <w:rFonts w:ascii="Times New Roman" w:cs="Times New Roman"/>
                <w:b/>
                <w:color w:val="auto"/>
              </w:rPr>
              <w:t>1、产业政策符合性分析</w:t>
            </w:r>
          </w:p>
          <w:p>
            <w:pPr>
              <w:widowControl/>
              <w:spacing w:line="360" w:lineRule="auto"/>
              <w:ind w:firstLine="480" w:firstLineChars="200"/>
              <w:jc w:val="left"/>
              <w:rPr>
                <w:rFonts w:hint="eastAsia" w:eastAsia="宋体"/>
                <w:color w:val="auto"/>
                <w:sz w:val="24"/>
                <w:highlight w:val="none"/>
                <w:lang w:eastAsia="zh-CN"/>
              </w:rPr>
            </w:pPr>
            <w:r>
              <w:rPr>
                <w:color w:val="auto"/>
                <w:sz w:val="24"/>
                <w:highlight w:val="none"/>
              </w:rPr>
              <w:t>本项目属于</w:t>
            </w:r>
            <w:r>
              <w:rPr>
                <w:rFonts w:hint="eastAsia"/>
                <w:color w:val="auto"/>
                <w:sz w:val="24"/>
                <w:highlight w:val="none"/>
                <w:lang w:val="en-US" w:eastAsia="zh-CN"/>
              </w:rPr>
              <w:t>营养</w:t>
            </w:r>
            <w:r>
              <w:rPr>
                <w:rFonts w:hint="eastAsia"/>
                <w:color w:val="auto"/>
                <w:sz w:val="24"/>
                <w:highlight w:val="none"/>
              </w:rPr>
              <w:t>食品制造项目</w:t>
            </w:r>
            <w:r>
              <w:rPr>
                <w:color w:val="auto"/>
                <w:sz w:val="24"/>
                <w:highlight w:val="none"/>
              </w:rPr>
              <w:t>，</w:t>
            </w:r>
            <w:r>
              <w:rPr>
                <w:rFonts w:hint="eastAsia"/>
                <w:color w:val="auto"/>
                <w:sz w:val="24"/>
                <w:highlight w:val="none"/>
                <w:lang w:val="en-US" w:eastAsia="zh-CN"/>
              </w:rPr>
              <w:t>本项目</w:t>
            </w:r>
            <w:r>
              <w:rPr>
                <w:rFonts w:hint="eastAsia"/>
                <w:color w:val="auto"/>
                <w:sz w:val="24"/>
                <w:highlight w:val="none"/>
                <w:lang w:eastAsia="zh-CN"/>
              </w:rPr>
              <w:t>不</w:t>
            </w:r>
            <w:r>
              <w:rPr>
                <w:color w:val="auto"/>
                <w:sz w:val="24"/>
                <w:highlight w:val="none"/>
              </w:rPr>
              <w:t>属于《产业结构调整指导目录（20</w:t>
            </w:r>
            <w:r>
              <w:rPr>
                <w:rFonts w:hint="eastAsia"/>
                <w:color w:val="auto"/>
                <w:sz w:val="24"/>
                <w:highlight w:val="none"/>
                <w:lang w:val="en-US" w:eastAsia="zh-CN"/>
              </w:rPr>
              <w:t>24</w:t>
            </w:r>
            <w:r>
              <w:rPr>
                <w:color w:val="auto"/>
                <w:sz w:val="24"/>
                <w:highlight w:val="none"/>
              </w:rPr>
              <w:t>年本）》中</w:t>
            </w:r>
            <w:r>
              <w:rPr>
                <w:color w:val="auto"/>
                <w:sz w:val="24"/>
                <w:szCs w:val="24"/>
                <w:highlight w:val="none"/>
                <w:lang w:val="en-US" w:eastAsia="zh-CN"/>
              </w:rPr>
              <w:t>鼓励类、淘汰类和限制类项目，属于允许项目，</w:t>
            </w:r>
            <w:r>
              <w:rPr>
                <w:color w:val="auto"/>
                <w:sz w:val="24"/>
                <w:highlight w:val="none"/>
              </w:rPr>
              <w:t>符合国家产业政策</w:t>
            </w:r>
            <w:r>
              <w:rPr>
                <w:rFonts w:hint="eastAsia"/>
                <w:color w:val="auto"/>
                <w:sz w:val="24"/>
                <w:highlight w:val="none"/>
                <w:lang w:eastAsia="zh-CN"/>
              </w:rPr>
              <w:t>。</w:t>
            </w:r>
          </w:p>
          <w:p>
            <w:pPr>
              <w:pStyle w:val="75"/>
              <w:spacing w:line="360" w:lineRule="auto"/>
              <w:ind w:left="0" w:leftChars="0" w:firstLine="0" w:firstLineChars="0"/>
              <w:rPr>
                <w:b/>
                <w:color w:val="auto"/>
              </w:rPr>
            </w:pPr>
            <w:r>
              <w:rPr>
                <w:b/>
                <w:color w:val="auto"/>
              </w:rPr>
              <w:t>2、选址合理性分析</w:t>
            </w:r>
          </w:p>
          <w:p>
            <w:pPr>
              <w:spacing w:line="360" w:lineRule="auto"/>
              <w:ind w:firstLine="480"/>
              <w:rPr>
                <w:color w:val="auto"/>
                <w:sz w:val="24"/>
                <w:highlight w:val="yellow"/>
              </w:rPr>
            </w:pPr>
            <w:r>
              <w:rPr>
                <w:rFonts w:hint="default" w:ascii="Times New Roman" w:hAnsi="Times New Roman" w:cs="Times New Roman"/>
                <w:color w:val="auto"/>
                <w:sz w:val="24"/>
                <w:szCs w:val="24"/>
                <w:highlight w:val="none"/>
                <w:lang w:val="en-US" w:eastAsia="zh-CN"/>
              </w:rPr>
              <w:t>本项目位于</w:t>
            </w:r>
            <w:r>
              <w:rPr>
                <w:rFonts w:hint="eastAsia"/>
                <w:color w:val="auto"/>
                <w:sz w:val="24"/>
                <w:highlight w:val="none"/>
                <w:lang w:eastAsia="zh-CN"/>
              </w:rPr>
              <w:t>黑龙江省伊春市嘉荫县保兴镇前岗村</w:t>
            </w:r>
            <w:r>
              <w:rPr>
                <w:rFonts w:hint="default"/>
                <w:color w:val="auto"/>
                <w:sz w:val="24"/>
                <w:highlight w:val="none"/>
                <w:lang w:val="en-US" w:eastAsia="zh-CN"/>
              </w:rPr>
              <w:t>，</w:t>
            </w:r>
            <w:r>
              <w:rPr>
                <w:rFonts w:hint="eastAsia"/>
                <w:color w:val="auto"/>
                <w:sz w:val="24"/>
                <w:highlight w:val="none"/>
                <w:lang w:val="en-US" w:eastAsia="zh-CN"/>
              </w:rPr>
              <w:t>本项目选址不在对食品有显著污染的区域，符合《食品生产通用卫生规范》（GB14881-2013）要求。</w:t>
            </w:r>
            <w:r>
              <w:rPr>
                <w:rFonts w:hint="eastAsia"/>
                <w:color w:val="auto"/>
                <w:sz w:val="24"/>
                <w:highlight w:val="none"/>
              </w:rPr>
              <w:t>项目东侧为</w:t>
            </w:r>
            <w:r>
              <w:rPr>
                <w:rFonts w:hint="eastAsia"/>
                <w:color w:val="auto"/>
                <w:sz w:val="24"/>
                <w:highlight w:val="none"/>
                <w:lang w:val="en-US" w:eastAsia="zh-CN"/>
              </w:rPr>
              <w:t>民房，</w:t>
            </w:r>
            <w:r>
              <w:rPr>
                <w:rFonts w:hint="eastAsia"/>
                <w:color w:val="auto"/>
                <w:sz w:val="24"/>
                <w:highlight w:val="none"/>
                <w:lang w:eastAsia="zh-CN"/>
              </w:rPr>
              <w:t>北侧为</w:t>
            </w:r>
            <w:r>
              <w:rPr>
                <w:rFonts w:hint="eastAsia"/>
                <w:color w:val="auto"/>
                <w:sz w:val="24"/>
                <w:highlight w:val="none"/>
                <w:lang w:val="en-US" w:eastAsia="zh-CN"/>
              </w:rPr>
              <w:t>村道，隔路为耕地</w:t>
            </w:r>
            <w:r>
              <w:rPr>
                <w:rFonts w:hint="eastAsia"/>
                <w:color w:val="auto"/>
                <w:sz w:val="24"/>
                <w:highlight w:val="none"/>
                <w:lang w:eastAsia="zh-CN"/>
              </w:rPr>
              <w:t>、西侧</w:t>
            </w:r>
            <w:r>
              <w:rPr>
                <w:rFonts w:hint="eastAsia"/>
                <w:color w:val="auto"/>
                <w:sz w:val="24"/>
                <w:highlight w:val="none"/>
                <w:lang w:val="en-US" w:eastAsia="zh-CN"/>
              </w:rPr>
              <w:t>为民房</w:t>
            </w:r>
            <w:r>
              <w:rPr>
                <w:rFonts w:hint="eastAsia"/>
                <w:color w:val="auto"/>
                <w:sz w:val="24"/>
                <w:highlight w:val="none"/>
              </w:rPr>
              <w:t>，南侧</w:t>
            </w:r>
            <w:r>
              <w:rPr>
                <w:rFonts w:hint="eastAsia"/>
                <w:color w:val="auto"/>
                <w:sz w:val="24"/>
                <w:highlight w:val="none"/>
                <w:lang w:eastAsia="zh-CN"/>
              </w:rPr>
              <w:t>为</w:t>
            </w:r>
            <w:r>
              <w:rPr>
                <w:rFonts w:hint="eastAsia"/>
                <w:color w:val="auto"/>
                <w:sz w:val="24"/>
                <w:highlight w:val="none"/>
                <w:lang w:val="en-US" w:eastAsia="zh-CN"/>
              </w:rPr>
              <w:t>村道，隔路为前岗村居民。</w:t>
            </w:r>
            <w:r>
              <w:rPr>
                <w:rFonts w:hint="eastAsia"/>
                <w:color w:val="auto"/>
                <w:sz w:val="24"/>
                <w:highlight w:val="none"/>
              </w:rPr>
              <w:t>项目所在区域不</w:t>
            </w:r>
            <w:r>
              <w:rPr>
                <w:color w:val="auto"/>
                <w:sz w:val="24"/>
                <w:szCs w:val="24"/>
                <w:highlight w:val="none"/>
                <w:shd w:val="clear" w:color="auto" w:fill="auto"/>
              </w:rPr>
              <w:t>在风景名胜区、自然保护区、饮用水水源保护区和其他需要特殊保护的区域内，环境质量现状良好，无重大环境制约因素。</w:t>
            </w:r>
            <w:r>
              <w:rPr>
                <w:rFonts w:hint="eastAsia"/>
                <w:color w:val="auto"/>
                <w:sz w:val="24"/>
                <w:szCs w:val="24"/>
                <w:highlight w:val="none"/>
                <w:shd w:val="clear" w:color="auto" w:fill="auto"/>
                <w:lang w:val="en-US" w:eastAsia="zh-CN"/>
              </w:rPr>
              <w:t>本</w:t>
            </w:r>
            <w:r>
              <w:rPr>
                <w:color w:val="auto"/>
                <w:sz w:val="24"/>
                <w:szCs w:val="24"/>
                <w:highlight w:val="none"/>
                <w:shd w:val="clear" w:color="auto" w:fill="auto"/>
              </w:rPr>
              <w:t>项目在通信、供电、供水等方面具备良好的条件。</w:t>
            </w:r>
            <w:r>
              <w:rPr>
                <w:rFonts w:hint="default" w:ascii="Times New Roman" w:hAnsi="Times New Roman" w:eastAsia="宋体" w:cs="Times New Roman"/>
                <w:color w:val="auto"/>
                <w:sz w:val="24"/>
                <w:highlight w:val="none"/>
              </w:rPr>
              <w:t>本项目在采取相应治理措施后，项目不会对周围</w:t>
            </w:r>
            <w:r>
              <w:rPr>
                <w:rFonts w:hint="eastAsia" w:ascii="Times New Roman" w:hAnsi="Times New Roman" w:eastAsia="宋体" w:cs="Times New Roman"/>
                <w:color w:val="auto"/>
                <w:sz w:val="24"/>
                <w:highlight w:val="none"/>
                <w:lang w:val="en-US" w:eastAsia="zh-CN"/>
              </w:rPr>
              <w:t>环境</w:t>
            </w:r>
            <w:r>
              <w:rPr>
                <w:rFonts w:hint="default" w:ascii="Times New Roman" w:hAnsi="Times New Roman" w:eastAsia="宋体" w:cs="Times New Roman"/>
                <w:color w:val="auto"/>
                <w:sz w:val="24"/>
                <w:highlight w:val="none"/>
              </w:rPr>
              <w:t>产生较明显影响，可被接受，因此，项目选址合理。</w:t>
            </w:r>
          </w:p>
          <w:p>
            <w:pPr>
              <w:spacing w:line="360" w:lineRule="auto"/>
              <w:jc w:val="left"/>
              <w:rPr>
                <w:b/>
                <w:color w:val="auto"/>
                <w:sz w:val="24"/>
                <w:highlight w:val="none"/>
              </w:rPr>
            </w:pPr>
            <w:r>
              <w:rPr>
                <w:b/>
                <w:color w:val="auto"/>
                <w:sz w:val="24"/>
                <w:highlight w:val="none"/>
              </w:rPr>
              <w:t>3、</w:t>
            </w:r>
            <w:r>
              <w:rPr>
                <w:rFonts w:hint="eastAsia"/>
                <w:b/>
                <w:color w:val="auto"/>
                <w:sz w:val="24"/>
                <w:highlight w:val="none"/>
                <w:lang w:val="en-US" w:eastAsia="zh-CN"/>
              </w:rPr>
              <w:t>与生态环境分区管控</w:t>
            </w:r>
            <w:r>
              <w:rPr>
                <w:b/>
                <w:color w:val="auto"/>
                <w:sz w:val="24"/>
                <w:highlight w:val="none"/>
              </w:rPr>
              <w:t>符合性</w:t>
            </w:r>
          </w:p>
          <w:p>
            <w:pPr>
              <w:keepNext w:val="0"/>
              <w:keepLines w:val="0"/>
              <w:pageBreakBefore w:val="0"/>
              <w:widowControl/>
              <w:kinsoku/>
              <w:wordWrap/>
              <w:overflowPunct/>
              <w:topLinePunct w:val="0"/>
              <w:autoSpaceDE/>
              <w:autoSpaceDN/>
              <w:bidi w:val="0"/>
              <w:adjustRightInd w:val="0"/>
              <w:snapToGrid w:val="0"/>
              <w:spacing w:after="0" w:line="360" w:lineRule="auto"/>
              <w:ind w:leftChars="0" w:firstLine="480" w:firstLineChars="200"/>
              <w:jc w:val="left"/>
              <w:textAlignment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本项目位于</w:t>
            </w:r>
            <w:r>
              <w:rPr>
                <w:rFonts w:hint="eastAsia"/>
                <w:color w:val="auto"/>
                <w:sz w:val="24"/>
                <w:highlight w:val="none"/>
                <w:lang w:eastAsia="zh-CN"/>
              </w:rPr>
              <w:t>黑龙江省伊春市嘉荫县保兴镇前岗村</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根据</w:t>
            </w:r>
            <w:r>
              <w:rPr>
                <w:rFonts w:hint="eastAsia" w:ascii="Times New Roman" w:hAnsi="Times New Roman" w:eastAsia="宋体" w:cs="Times New Roman"/>
                <w:color w:val="auto"/>
                <w:sz w:val="24"/>
                <w:szCs w:val="24"/>
                <w:highlight w:val="none"/>
                <w:shd w:val="clear" w:color="auto" w:fill="auto"/>
                <w:lang w:eastAsia="zh-CN"/>
              </w:rPr>
              <w:t>《伊春市人民政府关于实施“三线一单”生态环境分区管控的意见》（伊政规</w:t>
            </w:r>
            <w:r>
              <w:rPr>
                <w:rFonts w:hint="eastAsia" w:cs="Times New Roman"/>
                <w:color w:val="auto"/>
                <w:sz w:val="24"/>
                <w:szCs w:val="24"/>
                <w:highlight w:val="none"/>
                <w:shd w:val="clear" w:color="auto" w:fill="auto"/>
                <w:lang w:eastAsia="zh-CN"/>
              </w:rPr>
              <w:t>〔2022〕5号</w:t>
            </w:r>
            <w:r>
              <w:rPr>
                <w:rFonts w:hint="eastAsia" w:ascii="Times New Roman" w:hAnsi="Times New Roman" w:eastAsia="宋体" w:cs="Times New Roman"/>
                <w:color w:val="auto"/>
                <w:sz w:val="24"/>
                <w:szCs w:val="24"/>
                <w:highlight w:val="none"/>
                <w:shd w:val="clear" w:color="auto" w:fill="auto"/>
                <w:lang w:eastAsia="zh-CN"/>
              </w:rPr>
              <w:t>）</w:t>
            </w:r>
            <w:r>
              <w:rPr>
                <w:rFonts w:hint="eastAsia" w:cs="Times New Roman"/>
                <w:b w:val="0"/>
                <w:bCs w:val="0"/>
                <w:color w:val="auto"/>
                <w:kern w:val="2"/>
                <w:sz w:val="24"/>
                <w:szCs w:val="24"/>
                <w:highlight w:val="none"/>
                <w:lang w:eastAsia="zh-CN"/>
              </w:rPr>
              <w:t>、</w:t>
            </w:r>
            <w:r>
              <w:rPr>
                <w:rFonts w:hint="eastAsia"/>
                <w:color w:val="auto"/>
                <w:sz w:val="24"/>
                <w:szCs w:val="24"/>
                <w:highlight w:val="none"/>
                <w:lang w:eastAsia="zh-CN"/>
              </w:rPr>
              <w:t>《伊春市生态环境准入清单（202</w:t>
            </w:r>
            <w:r>
              <w:rPr>
                <w:rFonts w:hint="eastAsia"/>
                <w:color w:val="auto"/>
                <w:sz w:val="24"/>
                <w:szCs w:val="24"/>
                <w:highlight w:val="none"/>
                <w:lang w:val="en-US" w:eastAsia="zh-CN"/>
              </w:rPr>
              <w:t>3</w:t>
            </w:r>
            <w:r>
              <w:rPr>
                <w:rFonts w:hint="eastAsia"/>
                <w:color w:val="auto"/>
                <w:sz w:val="24"/>
                <w:szCs w:val="24"/>
                <w:highlight w:val="none"/>
                <w:lang w:eastAsia="zh-CN"/>
              </w:rPr>
              <w:t>年版）》</w:t>
            </w:r>
            <w:r>
              <w:rPr>
                <w:rFonts w:hint="eastAsia"/>
                <w:color w:val="auto"/>
                <w:sz w:val="24"/>
                <w:szCs w:val="24"/>
                <w:highlight w:val="none"/>
                <w:lang w:val="en-US" w:eastAsia="zh-CN"/>
              </w:rPr>
              <w:t>以及生态环境分区管控平台查询</w:t>
            </w:r>
            <w:r>
              <w:rPr>
                <w:rFonts w:hint="default" w:ascii="Times New Roman" w:hAnsi="Times New Roman" w:eastAsia="宋体" w:cs="Times New Roman"/>
                <w:b w:val="0"/>
                <w:bCs w:val="0"/>
                <w:color w:val="auto"/>
                <w:kern w:val="2"/>
                <w:sz w:val="24"/>
                <w:szCs w:val="24"/>
                <w:highlight w:val="none"/>
              </w:rPr>
              <w:t>，结合本项目生产工艺、排污状况和区域环境及环境质量现状进行调查的基础上，本工程与</w:t>
            </w:r>
            <w:r>
              <w:rPr>
                <w:rFonts w:hint="eastAsia" w:cs="Times New Roman"/>
                <w:b w:val="0"/>
                <w:bCs w:val="0"/>
                <w:color w:val="auto"/>
                <w:kern w:val="2"/>
                <w:sz w:val="24"/>
                <w:szCs w:val="24"/>
                <w:highlight w:val="none"/>
                <w:lang w:val="en-US" w:eastAsia="zh-CN"/>
              </w:rPr>
              <w:t>生态环境分区管控</w:t>
            </w:r>
            <w:r>
              <w:rPr>
                <w:rFonts w:hint="default" w:ascii="Times New Roman" w:hAnsi="Times New Roman" w:eastAsia="宋体" w:cs="Times New Roman"/>
                <w:b w:val="0"/>
                <w:bCs w:val="0"/>
                <w:color w:val="auto"/>
                <w:kern w:val="2"/>
                <w:sz w:val="24"/>
                <w:szCs w:val="24"/>
                <w:highlight w:val="none"/>
              </w:rPr>
              <w:t>符合性情况</w:t>
            </w:r>
            <w:r>
              <w:rPr>
                <w:rFonts w:hint="eastAsia" w:ascii="Times New Roman" w:hAnsi="Times New Roman" w:eastAsia="宋体" w:cs="Times New Roman"/>
                <w:b w:val="0"/>
                <w:bCs w:val="0"/>
                <w:color w:val="auto"/>
                <w:kern w:val="2"/>
                <w:sz w:val="24"/>
                <w:szCs w:val="24"/>
                <w:highlight w:val="none"/>
                <w:lang w:eastAsia="zh-CN"/>
              </w:rPr>
              <w:t>如下</w:t>
            </w:r>
            <w:r>
              <w:rPr>
                <w:rFonts w:hint="eastAsia" w:cs="Times New Roman"/>
                <w:b w:val="0"/>
                <w:bCs w:val="0"/>
                <w:color w:val="auto"/>
                <w:kern w:val="2"/>
                <w:sz w:val="24"/>
                <w:szCs w:val="24"/>
                <w:highlight w:val="none"/>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生态保护红线</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80" w:firstLineChars="200"/>
              <w:jc w:val="both"/>
              <w:textAlignment w:val="auto"/>
              <w:rPr>
                <w:rFonts w:hint="eastAsia" w:ascii="宋体" w:hAnsi="宋体" w:cs="宋体"/>
                <w:color w:val="auto"/>
                <w:kern w:val="2"/>
                <w:sz w:val="24"/>
                <w:szCs w:val="24"/>
                <w:highlight w:val="none"/>
                <w:lang w:val="en-US" w:eastAsia="zh-CN" w:bidi="ar"/>
              </w:rPr>
            </w:pPr>
            <w:r>
              <w:rPr>
                <w:rFonts w:hint="eastAsia" w:ascii="Times New Roman" w:hAnsi="Times New Roman" w:eastAsia="宋体"/>
                <w:color w:val="auto"/>
                <w:spacing w:val="0"/>
                <w:sz w:val="24"/>
                <w:szCs w:val="24"/>
                <w:highlight w:val="none"/>
                <w:lang w:eastAsia="zh-CN"/>
              </w:rPr>
              <w:t>本项目位于</w:t>
            </w:r>
            <w:r>
              <w:rPr>
                <w:rFonts w:hint="eastAsia"/>
                <w:color w:val="auto"/>
                <w:spacing w:val="0"/>
                <w:sz w:val="24"/>
                <w:szCs w:val="24"/>
                <w:highlight w:val="none"/>
                <w:lang w:eastAsia="zh-CN"/>
              </w:rPr>
              <w:t>黑龙江省伊春市嘉荫县保兴镇前岗村</w:t>
            </w:r>
            <w:r>
              <w:rPr>
                <w:rFonts w:hint="eastAsia" w:ascii="宋体"/>
                <w:color w:val="auto"/>
                <w:sz w:val="24"/>
                <w:szCs w:val="24"/>
                <w:highlight w:val="none"/>
                <w:lang w:val="en-US" w:eastAsia="zh-CN"/>
              </w:rPr>
              <w:t>，</w:t>
            </w:r>
            <w:r>
              <w:rPr>
                <w:rFonts w:hint="eastAsia" w:ascii="Times New Roman" w:hAnsi="Times New Roman" w:eastAsia="宋体"/>
                <w:color w:val="auto"/>
                <w:spacing w:val="0"/>
                <w:sz w:val="24"/>
                <w:szCs w:val="24"/>
                <w:highlight w:val="none"/>
                <w:lang w:eastAsia="zh-CN"/>
              </w:rPr>
              <w:t>不占用生态保护红线。</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jc w:val="both"/>
              <w:textAlignment w:val="auto"/>
              <w:rPr>
                <w:rFonts w:hint="default" w:ascii="宋体" w:hAnsi="宋体" w:eastAsia="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环境质量底线</w:t>
            </w:r>
          </w:p>
          <w:p>
            <w:pPr>
              <w:keepNext w:val="0"/>
              <w:keepLines w:val="0"/>
              <w:widowControl/>
              <w:suppressLineNumbers w:val="0"/>
              <w:spacing w:line="360" w:lineRule="auto"/>
              <w:ind w:firstLine="480" w:firstLineChars="200"/>
              <w:jc w:val="left"/>
              <w:rPr>
                <w:rFonts w:hint="default" w:ascii="Times New Roman" w:hAnsi="Times New Roman" w:eastAsia="宋体"/>
                <w:bCs/>
                <w:snapToGrid w:val="0"/>
                <w:color w:val="auto"/>
                <w:kern w:val="0"/>
                <w:sz w:val="24"/>
                <w:szCs w:val="24"/>
                <w:highlight w:val="none"/>
              </w:rPr>
            </w:pPr>
            <w:r>
              <w:rPr>
                <w:rFonts w:hint="eastAsia" w:ascii="Times New Roman" w:hAnsi="Times New Roman" w:eastAsia="宋体"/>
                <w:bCs/>
                <w:snapToGrid w:val="0"/>
                <w:color w:val="auto"/>
                <w:kern w:val="0"/>
                <w:sz w:val="24"/>
                <w:szCs w:val="24"/>
                <w:highlight w:val="none"/>
                <w:lang w:eastAsia="zh-CN"/>
              </w:rPr>
              <w:t>本</w:t>
            </w:r>
            <w:r>
              <w:rPr>
                <w:rFonts w:hint="default" w:ascii="Times New Roman" w:hAnsi="Times New Roman" w:eastAsia="宋体"/>
                <w:bCs/>
                <w:snapToGrid w:val="0"/>
                <w:color w:val="auto"/>
                <w:kern w:val="0"/>
                <w:sz w:val="24"/>
                <w:szCs w:val="24"/>
                <w:highlight w:val="none"/>
              </w:rPr>
              <w:t>项目所在地的区域大气环境</w:t>
            </w:r>
            <w:r>
              <w:rPr>
                <w:rFonts w:hint="eastAsia" w:ascii="Times New Roman" w:hAnsi="Times New Roman" w:eastAsia="宋体"/>
                <w:bCs/>
                <w:snapToGrid w:val="0"/>
                <w:color w:val="auto"/>
                <w:kern w:val="0"/>
                <w:sz w:val="24"/>
                <w:szCs w:val="24"/>
                <w:highlight w:val="none"/>
                <w:lang w:eastAsia="zh-CN"/>
              </w:rPr>
              <w:t>为达标区，地表水环境、</w:t>
            </w:r>
            <w:r>
              <w:rPr>
                <w:rFonts w:hint="default" w:ascii="Times New Roman" w:hAnsi="Times New Roman" w:eastAsia="宋体"/>
                <w:bCs/>
                <w:snapToGrid w:val="0"/>
                <w:color w:val="auto"/>
                <w:kern w:val="0"/>
                <w:sz w:val="24"/>
                <w:szCs w:val="24"/>
                <w:highlight w:val="none"/>
              </w:rPr>
              <w:t>声环境质量现状能够满足相应的标准要求。项目投产后</w:t>
            </w:r>
            <w:r>
              <w:rPr>
                <w:rFonts w:hint="eastAsia" w:ascii="Times New Roman" w:hAnsi="Times New Roman" w:eastAsia="宋体"/>
                <w:bCs/>
                <w:snapToGrid w:val="0"/>
                <w:color w:val="auto"/>
                <w:kern w:val="0"/>
                <w:sz w:val="24"/>
                <w:szCs w:val="24"/>
                <w:highlight w:val="none"/>
                <w:lang w:eastAsia="zh-CN"/>
              </w:rPr>
              <w:t>污水处理站污水处理过程中产生的恶臭气体通过</w:t>
            </w:r>
            <w:r>
              <w:rPr>
                <w:rFonts w:hint="eastAsia" w:ascii="Times New Roman" w:hAnsi="Times New Roman" w:eastAsia="宋体"/>
                <w:bCs/>
                <w:snapToGrid w:val="0"/>
                <w:color w:val="auto"/>
                <w:kern w:val="0"/>
                <w:sz w:val="24"/>
                <w:szCs w:val="24"/>
                <w:highlight w:val="none"/>
                <w:lang w:val="en-US" w:eastAsia="zh-CN"/>
              </w:rPr>
              <w:t>密闭处理+吸风管道进行收集后经</w:t>
            </w:r>
            <w:r>
              <w:rPr>
                <w:rFonts w:hint="eastAsia"/>
                <w:bCs/>
                <w:snapToGrid w:val="0"/>
                <w:color w:val="auto"/>
                <w:kern w:val="0"/>
                <w:sz w:val="24"/>
                <w:szCs w:val="24"/>
                <w:highlight w:val="none"/>
                <w:lang w:val="en-US" w:eastAsia="zh-CN"/>
              </w:rPr>
              <w:t>活性炭吸附</w:t>
            </w:r>
            <w:r>
              <w:rPr>
                <w:rFonts w:hint="eastAsia" w:ascii="Times New Roman" w:hAnsi="Times New Roman" w:eastAsia="宋体"/>
                <w:bCs/>
                <w:snapToGrid w:val="0"/>
                <w:color w:val="auto"/>
                <w:kern w:val="0"/>
                <w:sz w:val="24"/>
                <w:szCs w:val="24"/>
                <w:highlight w:val="none"/>
                <w:lang w:val="en-US" w:eastAsia="zh-CN"/>
              </w:rPr>
              <w:t>除臭后通过15m高空排放，恶臭气体有组织排放满足《恶臭污染物排放标准》（GB14554-93）中的表2标准，无组织排放满足《恶臭污染物排放标准》（GB14554-93）表1中二级新扩改建标准值</w:t>
            </w:r>
            <w:r>
              <w:rPr>
                <w:rFonts w:hint="eastAsia"/>
                <w:bCs/>
                <w:snapToGrid w:val="0"/>
                <w:color w:val="auto"/>
                <w:kern w:val="0"/>
                <w:sz w:val="24"/>
                <w:szCs w:val="24"/>
                <w:highlight w:val="none"/>
                <w:lang w:val="en-US" w:eastAsia="zh-CN"/>
              </w:rPr>
              <w:t>，</w:t>
            </w:r>
            <w:r>
              <w:rPr>
                <w:rFonts w:hint="eastAsia" w:ascii="Times New Roman" w:hAnsi="Times New Roman" w:eastAsia="宋体" w:cs="Times New Roman"/>
                <w:bCs/>
                <w:snapToGrid w:val="0"/>
                <w:color w:val="auto"/>
                <w:kern w:val="0"/>
                <w:sz w:val="24"/>
                <w:szCs w:val="24"/>
                <w:highlight w:val="none"/>
                <w:lang w:eastAsia="zh-CN"/>
              </w:rPr>
              <w:t>对大</w:t>
            </w:r>
            <w:r>
              <w:rPr>
                <w:rFonts w:hint="eastAsia" w:ascii="Times New Roman" w:hAnsi="Times New Roman" w:eastAsia="宋体"/>
                <w:bCs/>
                <w:snapToGrid w:val="0"/>
                <w:color w:val="auto"/>
                <w:kern w:val="0"/>
                <w:sz w:val="24"/>
                <w:szCs w:val="24"/>
                <w:highlight w:val="none"/>
                <w:lang w:eastAsia="zh-CN"/>
              </w:rPr>
              <w:t>气环境影响较小</w:t>
            </w:r>
            <w:r>
              <w:rPr>
                <w:rFonts w:hint="default" w:ascii="Times New Roman" w:hAnsi="Times New Roman" w:eastAsia="宋体"/>
                <w:bCs/>
                <w:snapToGrid w:val="0"/>
                <w:color w:val="auto"/>
                <w:kern w:val="0"/>
                <w:sz w:val="24"/>
                <w:szCs w:val="24"/>
                <w:highlight w:val="none"/>
              </w:rPr>
              <w:t>。</w:t>
            </w:r>
            <w:r>
              <w:rPr>
                <w:rFonts w:hint="eastAsia"/>
                <w:bCs/>
                <w:snapToGrid w:val="0"/>
                <w:color w:val="auto"/>
                <w:kern w:val="0"/>
                <w:sz w:val="24"/>
                <w:szCs w:val="24"/>
                <w:highlight w:val="none"/>
                <w:lang w:eastAsia="zh-CN"/>
              </w:rPr>
              <w:t>项目</w:t>
            </w:r>
            <w:r>
              <w:rPr>
                <w:rFonts w:hint="eastAsia"/>
                <w:bCs/>
                <w:snapToGrid w:val="0"/>
                <w:color w:val="auto"/>
                <w:kern w:val="0"/>
                <w:sz w:val="24"/>
                <w:szCs w:val="24"/>
                <w:highlight w:val="none"/>
                <w:lang w:val="en-US" w:eastAsia="zh-CN"/>
              </w:rPr>
              <w:t>生产</w:t>
            </w:r>
            <w:r>
              <w:rPr>
                <w:rFonts w:hint="eastAsia"/>
                <w:color w:val="auto"/>
                <w:sz w:val="24"/>
                <w:szCs w:val="24"/>
                <w:highlight w:val="none"/>
                <w:lang w:val="en-US" w:eastAsia="zh-CN"/>
              </w:rPr>
              <w:t>废水排入企业自建污水处理站与生活污水经化粪池沉淀后，满足《食品加工制造业水污染物排放标准》（GB46817—2025）间接排放标准，定期拉运至嘉荫县污水处理厂。</w:t>
            </w:r>
            <w:r>
              <w:rPr>
                <w:rFonts w:hint="default" w:ascii="Times New Roman" w:hAnsi="Times New Roman" w:eastAsia="宋体"/>
                <w:bCs/>
                <w:snapToGrid w:val="0"/>
                <w:color w:val="auto"/>
                <w:kern w:val="0"/>
                <w:sz w:val="24"/>
                <w:szCs w:val="24"/>
                <w:highlight w:val="none"/>
              </w:rPr>
              <w:t>投产后厂界噪声满足《工业企业厂界环境噪声排放标准》（GB12348-2008）中</w:t>
            </w:r>
            <w:r>
              <w:rPr>
                <w:rFonts w:hint="eastAsia"/>
                <w:bCs/>
                <w:snapToGrid w:val="0"/>
                <w:color w:val="auto"/>
                <w:kern w:val="0"/>
                <w:sz w:val="24"/>
                <w:szCs w:val="24"/>
                <w:highlight w:val="none"/>
                <w:lang w:val="en-US" w:eastAsia="zh-CN"/>
              </w:rPr>
              <w:t>2类</w:t>
            </w:r>
            <w:r>
              <w:rPr>
                <w:rFonts w:hint="default" w:ascii="Times New Roman" w:hAnsi="Times New Roman" w:eastAsia="宋体"/>
                <w:bCs/>
                <w:snapToGrid w:val="0"/>
                <w:color w:val="auto"/>
                <w:kern w:val="0"/>
                <w:sz w:val="24"/>
                <w:szCs w:val="24"/>
                <w:highlight w:val="none"/>
              </w:rPr>
              <w:t>标准</w:t>
            </w:r>
            <w:r>
              <w:rPr>
                <w:rFonts w:hint="eastAsia" w:ascii="Times New Roman" w:hAnsi="Times New Roman" w:eastAsia="宋体"/>
                <w:bCs/>
                <w:snapToGrid w:val="0"/>
                <w:color w:val="auto"/>
                <w:kern w:val="0"/>
                <w:sz w:val="24"/>
                <w:szCs w:val="24"/>
                <w:highlight w:val="none"/>
              </w:rPr>
              <w:t>限值要求</w:t>
            </w:r>
            <w:r>
              <w:rPr>
                <w:rFonts w:hint="default" w:ascii="Times New Roman" w:hAnsi="Times New Roman" w:eastAsia="宋体"/>
                <w:bCs/>
                <w:snapToGrid w:val="0"/>
                <w:color w:val="auto"/>
                <w:kern w:val="0"/>
                <w:sz w:val="24"/>
                <w:szCs w:val="24"/>
                <w:highlight w:val="none"/>
              </w:rPr>
              <w:t>；本项目产生的固体废物通过相应的处理措施后，处理效率可达到100%，实现了固体废物处理的无害化，减量化及资源化的目标。本项目运营期所排放的污染物经各类污染防治措施处理后，均能达标排放，对区域环境造成的不利影响较小，符合环境质量底线要求。</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jc w:val="both"/>
              <w:textAlignment w:val="auto"/>
              <w:rPr>
                <w:rFonts w:hint="default" w:ascii="宋体" w:hAnsi="宋体" w:eastAsia="宋体" w:cs="宋体"/>
                <w:color w:val="auto"/>
                <w:kern w:val="2"/>
                <w:sz w:val="24"/>
                <w:szCs w:val="24"/>
                <w:highlight w:val="none"/>
                <w:lang w:val="en-US" w:eastAsia="zh-CN" w:bidi="ar"/>
              </w:rPr>
            </w:pPr>
            <w:r>
              <w:rPr>
                <w:rFonts w:hint="eastAsia" w:cs="Times New Roman"/>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资源利用上线</w:t>
            </w:r>
          </w:p>
          <w:p>
            <w:pPr>
              <w:keepNext w:val="0"/>
              <w:keepLines w:val="0"/>
              <w:widowControl/>
              <w:suppressLineNumbers w:val="0"/>
              <w:spacing w:line="360" w:lineRule="auto"/>
              <w:ind w:firstLine="480" w:firstLineChars="200"/>
              <w:jc w:val="left"/>
              <w:rPr>
                <w:rFonts w:hint="eastAsia" w:ascii="Times New Roman" w:hAnsi="Times New Roman" w:eastAsia="宋体"/>
                <w:bCs/>
                <w:snapToGrid w:val="0"/>
                <w:color w:val="auto"/>
                <w:kern w:val="0"/>
                <w:sz w:val="24"/>
                <w:szCs w:val="24"/>
                <w:highlight w:val="none"/>
              </w:rPr>
            </w:pPr>
            <w:r>
              <w:rPr>
                <w:rFonts w:hint="eastAsia" w:ascii="Times New Roman" w:hAnsi="Times New Roman" w:eastAsia="宋体"/>
                <w:bCs/>
                <w:snapToGrid w:val="0"/>
                <w:color w:val="auto"/>
                <w:kern w:val="0"/>
                <w:sz w:val="24"/>
                <w:szCs w:val="24"/>
                <w:highlight w:val="none"/>
                <w:lang w:eastAsia="zh-CN"/>
              </w:rPr>
              <w:t>本项目为</w:t>
            </w:r>
            <w:r>
              <w:rPr>
                <w:rFonts w:hint="eastAsia"/>
                <w:bCs/>
                <w:snapToGrid w:val="0"/>
                <w:color w:val="auto"/>
                <w:kern w:val="0"/>
                <w:sz w:val="24"/>
                <w:szCs w:val="24"/>
                <w:highlight w:val="none"/>
                <w:lang w:eastAsia="zh-CN"/>
              </w:rPr>
              <w:t>新建</w:t>
            </w:r>
            <w:r>
              <w:rPr>
                <w:rFonts w:hint="eastAsia" w:ascii="Times New Roman" w:hAnsi="Times New Roman" w:eastAsia="宋体"/>
                <w:bCs/>
                <w:snapToGrid w:val="0"/>
                <w:color w:val="auto"/>
                <w:kern w:val="0"/>
                <w:sz w:val="24"/>
                <w:szCs w:val="24"/>
                <w:highlight w:val="none"/>
                <w:lang w:eastAsia="zh-CN"/>
              </w:rPr>
              <w:t>项目，供水由</w:t>
            </w:r>
            <w:r>
              <w:rPr>
                <w:rFonts w:hint="eastAsia"/>
                <w:bCs/>
                <w:snapToGrid w:val="0"/>
                <w:color w:val="auto"/>
                <w:kern w:val="0"/>
                <w:sz w:val="24"/>
                <w:szCs w:val="24"/>
                <w:highlight w:val="none"/>
                <w:lang w:val="en-US" w:eastAsia="zh-CN"/>
              </w:rPr>
              <w:t>市政</w:t>
            </w:r>
            <w:r>
              <w:rPr>
                <w:rFonts w:hint="eastAsia" w:ascii="Times New Roman" w:hAnsi="Times New Roman" w:eastAsia="宋体"/>
                <w:bCs/>
                <w:snapToGrid w:val="0"/>
                <w:color w:val="auto"/>
                <w:kern w:val="0"/>
                <w:sz w:val="24"/>
                <w:szCs w:val="24"/>
                <w:highlight w:val="none"/>
                <w:lang w:val="en-US" w:eastAsia="zh-CN"/>
              </w:rPr>
              <w:t>供给。</w:t>
            </w:r>
            <w:r>
              <w:rPr>
                <w:rFonts w:hint="eastAsia" w:ascii="Times New Roman" w:hAnsi="Times New Roman" w:eastAsia="宋体"/>
                <w:bCs/>
                <w:snapToGrid w:val="0"/>
                <w:color w:val="auto"/>
                <w:kern w:val="0"/>
                <w:sz w:val="24"/>
                <w:szCs w:val="24"/>
                <w:highlight w:val="none"/>
                <w:lang w:eastAsia="zh-CN"/>
              </w:rPr>
              <w:t>供电电源由市政供电电网提供，用水水源及供电电源可靠，</w:t>
            </w:r>
            <w:r>
              <w:rPr>
                <w:rFonts w:hint="eastAsia"/>
                <w:bCs/>
                <w:snapToGrid w:val="0"/>
                <w:color w:val="auto"/>
                <w:kern w:val="0"/>
                <w:sz w:val="24"/>
                <w:szCs w:val="24"/>
                <w:highlight w:val="none"/>
                <w:lang w:val="en-US" w:eastAsia="zh-CN"/>
              </w:rPr>
              <w:t>本项目用地为工业用地，不占用农用地，</w:t>
            </w:r>
            <w:r>
              <w:rPr>
                <w:rFonts w:hint="eastAsia" w:ascii="Times New Roman" w:hAnsi="Times New Roman" w:eastAsia="宋体"/>
                <w:bCs/>
                <w:snapToGrid w:val="0"/>
                <w:color w:val="auto"/>
                <w:kern w:val="0"/>
                <w:sz w:val="24"/>
                <w:szCs w:val="24"/>
                <w:highlight w:val="none"/>
              </w:rPr>
              <w:t>本项目资源消耗量相对于区域资源利用总量较小，符合资源利用上线要求。</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eastAsia" w:cs="Times New Roman"/>
                <w:color w:val="auto"/>
                <w:kern w:val="2"/>
                <w:sz w:val="24"/>
                <w:szCs w:val="24"/>
                <w:highlight w:val="none"/>
                <w:lang w:val="en-US" w:eastAsia="zh-CN" w:bidi="ar"/>
              </w:rPr>
              <w:t>（4）</w:t>
            </w:r>
            <w:r>
              <w:rPr>
                <w:rFonts w:hint="default" w:ascii="Times New Roman" w:hAnsi="Times New Roman" w:eastAsia="宋体" w:cs="Times New Roman"/>
                <w:color w:val="auto"/>
                <w:kern w:val="2"/>
                <w:sz w:val="24"/>
                <w:szCs w:val="24"/>
                <w:highlight w:val="none"/>
                <w:lang w:val="en-US" w:eastAsia="zh-CN" w:bidi="ar"/>
              </w:rPr>
              <w:t>生态环境准入清单</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根据《黑龙江省生态环境分区管控应用技术指南环境影响评价》中相关规定：“环评文件涉及“三线一单”生态环境分区管控符合性分析采取“一图一表一说明”的表达方式</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本项目具体分析如下：</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①一图</w:t>
            </w:r>
          </w:p>
          <w:p>
            <w:pPr>
              <w:adjustRightInd w:val="0"/>
              <w:snapToGrid w:val="0"/>
              <w:spacing w:line="360" w:lineRule="auto"/>
              <w:ind w:firstLine="480" w:firstLineChars="200"/>
              <w:jc w:val="left"/>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根据本项目“生态环境分区管控分析报告”，本项目与环境管控单元叠加图如下：</w:t>
            </w:r>
          </w:p>
          <w:p>
            <w:pPr>
              <w:adjustRightInd w:val="0"/>
              <w:snapToGrid w:val="0"/>
              <w:spacing w:line="360" w:lineRule="auto"/>
              <w:jc w:val="left"/>
              <w:rPr>
                <w:rFonts w:hint="eastAsia" w:ascii="Times New Roman" w:hAnsi="Times New Roman" w:eastAsia="宋体" w:cs="Times New Roman"/>
                <w:color w:val="000000" w:themeColor="text1"/>
                <w:sz w:val="24"/>
                <w14:textFill>
                  <w14:solidFill>
                    <w14:schemeClr w14:val="tx1"/>
                  </w14:solidFill>
                </w14:textFill>
              </w:rPr>
            </w:pPr>
            <w:r>
              <w:drawing>
                <wp:inline distT="0" distB="0" distL="114300" distR="114300">
                  <wp:extent cx="4719955" cy="2451735"/>
                  <wp:effectExtent l="0" t="0" r="4445" b="571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2"/>
                          <a:stretch>
                            <a:fillRect/>
                          </a:stretch>
                        </pic:blipFill>
                        <pic:spPr>
                          <a:xfrm>
                            <a:off x="0" y="0"/>
                            <a:ext cx="4719955" cy="2451735"/>
                          </a:xfrm>
                          <a:prstGeom prst="rect">
                            <a:avLst/>
                          </a:prstGeom>
                          <a:noFill/>
                          <a:ln>
                            <a:noFill/>
                          </a:ln>
                        </pic:spPr>
                      </pic:pic>
                    </a:graphicData>
                  </a:graphic>
                </wp:inline>
              </w:drawing>
            </w:r>
          </w:p>
          <w:p>
            <w:pPr>
              <w:adjustRightInd w:val="0"/>
              <w:snapToGrid w:val="0"/>
              <w:spacing w:line="360" w:lineRule="auto"/>
              <w:jc w:val="center"/>
              <w:rPr>
                <w:rFonts w:hint="eastAsia" w:ascii="Times New Roman" w:hAnsi="Times New Roman" w:eastAsia="宋体" w:cs="Times New Roman"/>
                <w:color w:val="000000" w:themeColor="text1"/>
                <w:sz w:val="24"/>
                <w14:textFill>
                  <w14:solidFill>
                    <w14:schemeClr w14:val="tx1"/>
                  </w14:solidFill>
                </w14:textFill>
              </w:rPr>
            </w:pPr>
            <w:r>
              <w:rPr>
                <w:rFonts w:hint="eastAsia"/>
                <w:b/>
                <w:bCs/>
                <w:color w:val="000000" w:themeColor="text1"/>
                <w:sz w:val="24"/>
                <w:szCs w:val="32"/>
                <w:lang w:val="en-US" w:eastAsia="zh-CN"/>
                <w14:textFill>
                  <w14:solidFill>
                    <w14:schemeClr w14:val="tx1"/>
                  </w14:solidFill>
                </w14:textFill>
              </w:rPr>
              <w:t>图1-1 与环境管控单元位置叠加图</w:t>
            </w:r>
          </w:p>
          <w:p>
            <w:pPr>
              <w:autoSpaceDE w:val="0"/>
              <w:autoSpaceDN w:val="0"/>
              <w:adjustRightInd w:val="0"/>
              <w:snapToGrid w:val="0"/>
              <w:spacing w:line="240" w:lineRule="auto"/>
              <w:ind w:firstLine="480" w:firstLineChars="200"/>
              <w:jc w:val="left"/>
              <w:rPr>
                <w:rFonts w:hint="default" w:ascii="Times New Roman" w:hAnsi="Times New Roman" w:cs="Times New Roman"/>
                <w:b/>
                <w:bCs/>
                <w:color w:val="auto"/>
                <w:highlight w:val="none"/>
              </w:rPr>
            </w:pPr>
            <w:r>
              <w:rPr>
                <w:rFonts w:hint="eastAsia" w:ascii="Times New Roman" w:hAnsi="Times New Roman" w:eastAsia="宋体" w:cs="Times New Roman"/>
                <w:color w:val="000000" w:themeColor="text1"/>
                <w:sz w:val="24"/>
                <w:lang w:val="en-US" w:eastAsia="zh-CN"/>
                <w14:textFill>
                  <w14:solidFill>
                    <w14:schemeClr w14:val="tx1"/>
                  </w14:solidFill>
                </w14:textFill>
              </w:rPr>
              <w:t>②</w:t>
            </w:r>
            <w:r>
              <w:rPr>
                <w:rFonts w:hint="eastAsia" w:ascii="Times New Roman" w:hAnsi="Times New Roman" w:eastAsia="宋体" w:cs="Times New Roman"/>
                <w:color w:val="000000" w:themeColor="text1"/>
                <w:sz w:val="24"/>
                <w14:textFill>
                  <w14:solidFill>
                    <w14:schemeClr w14:val="tx1"/>
                  </w14:solidFill>
                </w14:textFill>
              </w:rPr>
              <w:t>一</w:t>
            </w:r>
            <w:r>
              <w:rPr>
                <w:rFonts w:hint="eastAsia" w:ascii="Times New Roman" w:hAnsi="Times New Roman" w:eastAsia="宋体" w:cs="Times New Roman"/>
                <w:color w:val="000000" w:themeColor="text1"/>
                <w:sz w:val="24"/>
                <w:lang w:val="en-US" w:eastAsia="zh-CN"/>
                <w14:textFill>
                  <w14:solidFill>
                    <w14:schemeClr w14:val="tx1"/>
                  </w14:solidFill>
                </w14:textFill>
              </w:rPr>
              <w:t>表</w:t>
            </w:r>
          </w:p>
          <w:p>
            <w:pPr>
              <w:autoSpaceDE w:val="0"/>
              <w:autoSpaceDN w:val="0"/>
              <w:adjustRightInd w:val="0"/>
              <w:snapToGrid w:val="0"/>
              <w:spacing w:line="240" w:lineRule="auto"/>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表1-</w:t>
            </w:r>
            <w:r>
              <w:rPr>
                <w:rFonts w:hint="eastAsia" w:cs="Times New Roman"/>
                <w:b/>
                <w:bCs/>
                <w:color w:val="auto"/>
                <w:highlight w:val="none"/>
                <w:lang w:val="en-US" w:eastAsia="zh-CN"/>
              </w:rPr>
              <w:t>1</w:t>
            </w:r>
            <w:r>
              <w:rPr>
                <w:rFonts w:hint="default" w:ascii="Times New Roman" w:hAnsi="Times New Roman" w:cs="Times New Roman"/>
                <w:b/>
                <w:bCs/>
                <w:color w:val="auto"/>
                <w:highlight w:val="none"/>
              </w:rPr>
              <w:t xml:space="preserve">   </w:t>
            </w:r>
            <w:r>
              <w:rPr>
                <w:rFonts w:hint="eastAsia" w:cs="Times New Roman"/>
                <w:b/>
                <w:bCs/>
                <w:color w:val="auto"/>
                <w:highlight w:val="none"/>
                <w:lang w:eastAsia="zh-CN"/>
              </w:rPr>
              <w:t>伊春市</w:t>
            </w:r>
            <w:r>
              <w:rPr>
                <w:rFonts w:hint="eastAsia" w:cs="Times New Roman"/>
                <w:b/>
                <w:bCs/>
                <w:color w:val="auto"/>
                <w:highlight w:val="none"/>
                <w:lang w:val="en-US" w:eastAsia="zh-CN"/>
              </w:rPr>
              <w:t>嘉荫县</w:t>
            </w:r>
            <w:r>
              <w:rPr>
                <w:rFonts w:hint="default" w:ascii="Times New Roman" w:hAnsi="Times New Roman" w:cs="Times New Roman"/>
                <w:b/>
                <w:bCs/>
                <w:color w:val="auto"/>
                <w:highlight w:val="none"/>
              </w:rPr>
              <w:t>生态环境准入清单符合性分析</w:t>
            </w:r>
          </w:p>
          <w:tbl>
            <w:tblPr>
              <w:tblStyle w:val="29"/>
              <w:tblW w:w="73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1"/>
              <w:gridCol w:w="679"/>
              <w:gridCol w:w="365"/>
              <w:gridCol w:w="341"/>
              <w:gridCol w:w="3431"/>
              <w:gridCol w:w="18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noWrap w:val="0"/>
                  <w:vAlign w:val="center"/>
                </w:tcPr>
                <w:p>
                  <w:pPr>
                    <w:adjustRightInd w:val="0"/>
                    <w:snapToGrid w:val="0"/>
                    <w:spacing w:line="240" w:lineRule="auto"/>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管控单元编码</w:t>
                  </w:r>
                </w:p>
              </w:tc>
              <w:tc>
                <w:tcPr>
                  <w:tcW w:w="679" w:type="dxa"/>
                  <w:noWrap w:val="0"/>
                  <w:vAlign w:val="center"/>
                </w:tcPr>
                <w:p>
                  <w:pPr>
                    <w:adjustRightInd w:val="0"/>
                    <w:snapToGrid w:val="0"/>
                    <w:spacing w:line="240" w:lineRule="auto"/>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环境管控单元名称</w:t>
                  </w:r>
                </w:p>
              </w:tc>
              <w:tc>
                <w:tcPr>
                  <w:tcW w:w="365" w:type="dxa"/>
                  <w:noWrap w:val="0"/>
                  <w:vAlign w:val="center"/>
                </w:tcPr>
                <w:p>
                  <w:pPr>
                    <w:adjustRightInd w:val="0"/>
                    <w:snapToGrid w:val="0"/>
                    <w:spacing w:line="240" w:lineRule="auto"/>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管控单元类别</w:t>
                  </w:r>
                </w:p>
              </w:tc>
              <w:tc>
                <w:tcPr>
                  <w:tcW w:w="3772" w:type="dxa"/>
                  <w:gridSpan w:val="2"/>
                  <w:noWrap w:val="0"/>
                  <w:vAlign w:val="center"/>
                </w:tcPr>
                <w:p>
                  <w:pPr>
                    <w:adjustRightInd w:val="0"/>
                    <w:snapToGrid w:val="0"/>
                    <w:spacing w:line="240" w:lineRule="auto"/>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管控要求</w:t>
                  </w:r>
                </w:p>
              </w:tc>
              <w:tc>
                <w:tcPr>
                  <w:tcW w:w="1843" w:type="dxa"/>
                  <w:noWrap w:val="0"/>
                  <w:vAlign w:val="center"/>
                </w:tcPr>
                <w:p>
                  <w:pPr>
                    <w:adjustRightInd w:val="0"/>
                    <w:snapToGrid w:val="0"/>
                    <w:spacing w:line="240" w:lineRule="auto"/>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shd w:val="clear" w:color="auto" w:fill="auto"/>
                  <w:noWrap w:val="0"/>
                  <w:vAlign w:val="center"/>
                </w:tcPr>
                <w:p>
                  <w:pPr>
                    <w:pStyle w:val="110"/>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ZH23072230002</w:t>
                  </w:r>
                </w:p>
              </w:tc>
              <w:tc>
                <w:tcPr>
                  <w:tcW w:w="679" w:type="dxa"/>
                  <w:shd w:val="clear" w:color="auto" w:fill="auto"/>
                  <w:noWrap w:val="0"/>
                  <w:vAlign w:val="center"/>
                </w:tcPr>
                <w:p>
                  <w:pPr>
                    <w:pStyle w:val="110"/>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嘉荫县其他区域</w:t>
                  </w:r>
                </w:p>
              </w:tc>
              <w:tc>
                <w:tcPr>
                  <w:tcW w:w="365" w:type="dxa"/>
                  <w:shd w:val="clear" w:color="auto" w:fill="auto"/>
                  <w:noWrap w:val="0"/>
                  <w:vAlign w:val="center"/>
                </w:tcPr>
                <w:p>
                  <w:pPr>
                    <w:pStyle w:val="110"/>
                    <w:adjustRightInd w:val="0"/>
                    <w:snapToGrid w:val="0"/>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一般管控单元</w:t>
                  </w:r>
                </w:p>
              </w:tc>
              <w:tc>
                <w:tcPr>
                  <w:tcW w:w="341" w:type="dxa"/>
                  <w:shd w:val="clear" w:color="auto" w:fill="auto"/>
                  <w:noWrap w:val="0"/>
                  <w:vAlign w:val="center"/>
                </w:tcPr>
                <w:p>
                  <w:pPr>
                    <w:pStyle w:val="110"/>
                    <w:adjustRightInd w:val="0"/>
                    <w:snapToGrid w:val="0"/>
                    <w:jc w:val="both"/>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空间布局约束</w:t>
                  </w:r>
                </w:p>
              </w:tc>
              <w:tc>
                <w:tcPr>
                  <w:tcW w:w="3431" w:type="dxa"/>
                  <w:shd w:val="clear" w:color="auto" w:fill="auto"/>
                  <w:noWrap w:val="0"/>
                  <w:vAlign w:val="center"/>
                </w:tcPr>
                <w:p>
                  <w:pP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1.引导工业项目向开发区集中，促进产业集聚、资源集约、绿色发展。</w:t>
                  </w:r>
                </w:p>
                <w:p>
                  <w:pP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2</w:t>
                  </w:r>
                  <w:r>
                    <w:rPr>
                      <w:rFonts w:hint="default" w:ascii="Times New Roman" w:hAnsi="Times New Roman" w:eastAsia="宋体" w:cs="Times New Roman"/>
                      <w:snapToGrid w:val="0"/>
                      <w:color w:val="auto"/>
                      <w:kern w:val="0"/>
                      <w:sz w:val="21"/>
                      <w:szCs w:val="21"/>
                      <w:highlight w:val="none"/>
                      <w:lang w:val="en-US" w:eastAsia="zh-CN" w:bidi="ar-SA"/>
                    </w:rPr>
                    <w:t>.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1843" w:type="dxa"/>
                  <w:noWrap w:val="0"/>
                  <w:vAlign w:val="center"/>
                </w:tcPr>
                <w:p>
                  <w:pPr>
                    <w:adjustRightInd w:val="0"/>
                    <w:snapToGrid w:val="0"/>
                    <w:spacing w:line="240" w:lineRule="auto"/>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cs="Times New Roman"/>
                      <w:snapToGrid w:val="0"/>
                      <w:color w:val="auto"/>
                      <w:kern w:val="0"/>
                      <w:sz w:val="21"/>
                      <w:szCs w:val="21"/>
                      <w:highlight w:val="none"/>
                      <w:lang w:val="en-US" w:eastAsia="zh-CN" w:bidi="ar-SA"/>
                    </w:rPr>
                    <w:t>本项目占地类型为工业用地，且不属于</w:t>
                  </w:r>
                  <w:r>
                    <w:rPr>
                      <w:rFonts w:hint="default" w:ascii="Times New Roman" w:hAnsi="Times New Roman" w:eastAsia="宋体" w:cs="Times New Roman"/>
                      <w:snapToGrid w:val="0"/>
                      <w:color w:val="auto"/>
                      <w:kern w:val="0"/>
                      <w:sz w:val="21"/>
                      <w:szCs w:val="21"/>
                      <w:highlight w:val="none"/>
                      <w:lang w:val="en-US" w:eastAsia="zh-CN" w:bidi="ar-SA"/>
                    </w:rPr>
                    <w:t>电力、钢铁、建材、有色、化工、石油石化、船舶、煤炭、印染、造纸、制革、染料、焦化、电镀等行业</w:t>
                  </w:r>
                  <w:r>
                    <w:rPr>
                      <w:rFonts w:hint="eastAsia" w:ascii="Times New Roman" w:hAnsi="Times New Roman" w:cs="Times New Roman"/>
                      <w:snapToGrid w:val="0"/>
                      <w:color w:val="auto"/>
                      <w:kern w:val="0"/>
                      <w:sz w:val="21"/>
                      <w:szCs w:val="21"/>
                      <w:highlight w:val="none"/>
                      <w:lang w:val="en-US" w:eastAsia="zh-CN" w:bidi="ar-SA"/>
                    </w:rPr>
                    <w:t>，符合空间布局约束要求</w:t>
                  </w:r>
                </w:p>
              </w:tc>
            </w:tr>
          </w:tbl>
          <w:p>
            <w:pPr>
              <w:pStyle w:val="90"/>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snapToGrid w:val="0"/>
                <w:color w:val="000000" w:themeColor="text1"/>
                <w:kern w:val="0"/>
                <w:sz w:val="24"/>
                <w:lang w:val="en-US" w:eastAsia="zh-CN"/>
                <w14:textFill>
                  <w14:solidFill>
                    <w14:schemeClr w14:val="tx1"/>
                  </w14:solidFill>
                </w14:textFill>
              </w:rPr>
            </w:pPr>
            <w:r>
              <w:rPr>
                <w:rFonts w:hint="eastAsia"/>
                <w:snapToGrid w:val="0"/>
                <w:color w:val="000000" w:themeColor="text1"/>
                <w:kern w:val="0"/>
                <w:sz w:val="24"/>
                <w:lang w:val="en-US" w:eastAsia="zh-CN"/>
                <w14:textFill>
                  <w14:solidFill>
                    <w14:schemeClr w14:val="tx1"/>
                  </w14:solidFill>
                </w14:textFill>
              </w:rPr>
              <w:t>③一说明</w:t>
            </w:r>
          </w:p>
          <w:p>
            <w:pPr>
              <w:pStyle w:val="90"/>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default" w:ascii="Times New Roman" w:hAnsi="Times New Roman" w:cs="Times New Roman"/>
                <w:snapToGrid w:val="0"/>
                <w:color w:val="000000" w:themeColor="text1"/>
                <w:kern w:val="0"/>
                <w:sz w:val="24"/>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4"/>
                <w:lang w:val="en-US" w:eastAsia="zh-CN"/>
                <w14:textFill>
                  <w14:solidFill>
                    <w14:schemeClr w14:val="tx1"/>
                  </w14:solidFill>
                </w14:textFill>
              </w:rPr>
              <w:t>黑龙江省伊春市嘉荫县保兴镇前岗村蜂蜜加工项目</w:t>
            </w:r>
            <w:r>
              <w:rPr>
                <w:rFonts w:hint="default" w:ascii="Times New Roman" w:hAnsi="Times New Roman" w:cs="Times New Roman"/>
                <w:snapToGrid w:val="0"/>
                <w:color w:val="000000" w:themeColor="text1"/>
                <w:kern w:val="0"/>
                <w:sz w:val="24"/>
                <w:lang w:val="en-US" w:eastAsia="zh-CN"/>
                <w14:textFill>
                  <w14:solidFill>
                    <w14:schemeClr w14:val="tx1"/>
                  </w14:solidFill>
                </w14:textFill>
              </w:rPr>
              <w:t>位置涉及伊春市嘉荫县；项目占地总面积小于0.01平方公里。与生态保护红线交集面积为0.00平方公里，占项目占地面积的0.00%。与自然保护地整合优化方案数据交集面积为0.00平方公里，占项目占地面积的0.00%。与自然保护地（现状管理数据）交集面积为0.00平方公里，占项目占地面积的0.00%。保护地涉及等类型。与饮用水水源保护区交集面积为0.00平方公里，占项目占地面积的0.00%。与国家级水产种质资源保护区交集面积为0.00平方公里，占项目占地面积的0.00%。与环境管控单元优先保护单元交集面积为0.00平方公里，占项目占地面积的0.00%；与重点管控单元交集面积为0.00平方公里，占项目占地面积的0.00%；一般管控单元交集面积为小于0.01平方公里，占项目占地面积的100.00%。与地下水环境优先保护区交集面积为0.00平方公里，占项目占地面积的0.00%；与地下水环境重点管控区交集面积为0.00平方公里，占项目占地面积的0.00%，与地下水环境一般管控区交集面积为小于0.01平方公里，占项目占地面积的100.00%。</w:t>
            </w:r>
          </w:p>
          <w:p>
            <w:pPr>
              <w:pStyle w:val="90"/>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default" w:ascii="Times New Roman" w:hAnsi="Times New Roman" w:cs="Times New Roman"/>
                <w:snapToGrid w:val="0"/>
                <w:color w:val="auto"/>
                <w:kern w:val="0"/>
                <w:sz w:val="24"/>
                <w:szCs w:val="21"/>
                <w:highlight w:val="yellow"/>
              </w:rPr>
            </w:pPr>
            <w:r>
              <w:rPr>
                <w:rFonts w:hint="default" w:ascii="Times New Roman" w:hAnsi="Times New Roman" w:cs="Times New Roman"/>
                <w:color w:val="auto"/>
                <w:sz w:val="24"/>
                <w:szCs w:val="24"/>
                <w:highlight w:val="none"/>
                <w:lang w:val="en-US" w:eastAsia="zh-CN"/>
              </w:rPr>
              <w:t>综上，</w:t>
            </w:r>
            <w:r>
              <w:rPr>
                <w:rFonts w:hint="default" w:ascii="Times New Roman" w:hAnsi="Times New Roman" w:eastAsia="宋体" w:cs="Times New Roman"/>
                <w:color w:val="auto"/>
                <w:sz w:val="24"/>
                <w:szCs w:val="24"/>
                <w:highlight w:val="none"/>
                <w:lang w:val="en-US" w:eastAsia="zh-CN"/>
              </w:rPr>
              <w:t>本项目选址占地性质为</w:t>
            </w:r>
            <w:r>
              <w:rPr>
                <w:rFonts w:hint="default" w:ascii="Times New Roman" w:hAnsi="Times New Roman" w:cs="Times New Roman"/>
                <w:color w:val="auto"/>
                <w:sz w:val="24"/>
                <w:szCs w:val="24"/>
                <w:highlight w:val="none"/>
                <w:lang w:val="en-US" w:eastAsia="zh-CN"/>
              </w:rPr>
              <w:t>工业</w:t>
            </w:r>
            <w:r>
              <w:rPr>
                <w:rFonts w:hint="default" w:ascii="Times New Roman" w:hAnsi="Times New Roman" w:eastAsia="宋体" w:cs="Times New Roman"/>
                <w:color w:val="auto"/>
                <w:sz w:val="24"/>
                <w:szCs w:val="24"/>
                <w:highlight w:val="none"/>
                <w:lang w:val="en-US" w:eastAsia="zh-CN"/>
              </w:rPr>
              <w:t>用地，并采取</w:t>
            </w:r>
            <w:r>
              <w:rPr>
                <w:rFonts w:hint="eastAsia" w:ascii="Times New Roman" w:hAnsi="Times New Roman" w:eastAsia="宋体" w:cs="Times New Roman"/>
                <w:color w:val="auto"/>
                <w:sz w:val="24"/>
                <w:szCs w:val="24"/>
                <w:highlight w:val="none"/>
                <w:lang w:val="en-US" w:eastAsia="zh-CN"/>
              </w:rPr>
              <w:t>了有效、可行的污染治理措施，各项污染物均可达标排放，本项目建设对周围环境影响较小，因此本项目符合</w:t>
            </w:r>
            <w:r>
              <w:rPr>
                <w:rFonts w:hint="eastAsia"/>
                <w:color w:val="auto"/>
                <w:sz w:val="24"/>
                <w:szCs w:val="24"/>
                <w:lang w:eastAsia="zh-CN"/>
              </w:rPr>
              <w:t>《伊春市生态环境准入清</w:t>
            </w:r>
            <w:r>
              <w:rPr>
                <w:rFonts w:hint="default" w:ascii="Times New Roman" w:hAnsi="Times New Roman" w:cs="Times New Roman"/>
                <w:color w:val="auto"/>
                <w:sz w:val="24"/>
                <w:szCs w:val="24"/>
                <w:lang w:eastAsia="zh-CN"/>
              </w:rPr>
              <w:t>单（202</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eastAsia="zh-CN"/>
              </w:rPr>
              <w:t>年版</w:t>
            </w:r>
            <w:r>
              <w:rPr>
                <w:rFonts w:hint="eastAsia"/>
                <w:color w:val="auto"/>
                <w:sz w:val="24"/>
                <w:szCs w:val="24"/>
                <w:lang w:eastAsia="zh-CN"/>
              </w:rPr>
              <w:t>）》</w:t>
            </w:r>
            <w:r>
              <w:rPr>
                <w:rFonts w:hint="eastAsia" w:ascii="Times New Roman" w:hAnsi="Times New Roman" w:eastAsia="宋体" w:cs="Times New Roman"/>
                <w:color w:val="auto"/>
                <w:sz w:val="24"/>
                <w:szCs w:val="24"/>
                <w:highlight w:val="none"/>
                <w:lang w:val="en-US" w:eastAsia="zh-CN"/>
              </w:rPr>
              <w:t>要求。</w:t>
            </w:r>
          </w:p>
          <w:p>
            <w:pPr>
              <w:pStyle w:val="69"/>
              <w:spacing w:line="360" w:lineRule="auto"/>
              <w:jc w:val="both"/>
              <w:rPr>
                <w:rFonts w:hint="eastAsia" w:eastAsia="宋体"/>
                <w:color w:val="auto"/>
                <w:kern w:val="0"/>
                <w:sz w:val="24"/>
                <w:lang w:val="en-US" w:eastAsia="zh-CN"/>
              </w:rPr>
            </w:pPr>
            <w:r>
              <w:rPr>
                <w:rFonts w:hint="eastAsia" w:ascii="Times New Roman" w:cs="Times New Roman"/>
                <w:b/>
                <w:color w:val="auto"/>
                <w:lang w:val="en-US" w:eastAsia="zh-CN"/>
              </w:rPr>
              <w:t>4</w:t>
            </w:r>
            <w:r>
              <w:rPr>
                <w:rFonts w:ascii="Times New Roman" w:cs="Times New Roman"/>
                <w:b/>
                <w:color w:val="auto"/>
              </w:rPr>
              <w:t>、</w:t>
            </w:r>
            <w:r>
              <w:rPr>
                <w:rFonts w:hint="eastAsia" w:eastAsia="宋体"/>
                <w:b/>
                <w:bCs/>
                <w:color w:val="auto"/>
                <w:kern w:val="0"/>
                <w:sz w:val="24"/>
                <w:lang w:val="en-US" w:eastAsia="zh-CN"/>
              </w:rPr>
              <w:t>《伊春市人民政府办公室关于印发伊春市水污染防治工作方案的通知》相符性分析</w:t>
            </w:r>
          </w:p>
          <w:p>
            <w:pPr>
              <w:pStyle w:val="2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color w:val="auto"/>
                <w:kern w:val="0"/>
                <w:sz w:val="24"/>
                <w:szCs w:val="24"/>
              </w:rPr>
            </w:pPr>
            <w:r>
              <w:rPr>
                <w:rFonts w:hint="eastAsia"/>
                <w:color w:val="auto"/>
                <w:kern w:val="0"/>
                <w:sz w:val="24"/>
                <w:szCs w:val="24"/>
              </w:rPr>
              <w:t>《伊春市人民政府办公室关于印发伊春市水污染防治工作方案的通知》指出</w:t>
            </w:r>
            <w:r>
              <w:rPr>
                <w:rFonts w:hint="eastAsia"/>
                <w:color w:val="auto"/>
                <w:kern w:val="0"/>
                <w:sz w:val="24"/>
                <w:szCs w:val="24"/>
                <w:lang w:eastAsia="zh-CN"/>
              </w:rPr>
              <w:t>：</w:t>
            </w:r>
            <w:r>
              <w:rPr>
                <w:rFonts w:hint="eastAsia"/>
                <w:color w:val="auto"/>
                <w:kern w:val="0"/>
                <w:sz w:val="24"/>
                <w:szCs w:val="24"/>
              </w:rPr>
              <w:t>取缔“十小”企业。全面排查装备水平低、环保设施差的小型工业企业。2016年底前，各级政府要按照水污染防治法律法规要求，全部取缔不符合国家产业政策的造纸等严重污染水环境的生产项目。取缔结果向社会公开并报工业和环境保护行政主管部门备案。加强重点行业源头控制。进一步加大造纸、农副食品加工、原料药制造等重点行业的清洁生产审核力度。新、改、扩建上述行业建设项目应实行主要污染物排放等量或减量置换。制定重点行业专项治理方案，积极争取中央财政资金实施企业清洁化改造，造纸、钢铁、制药等行业于 2017年底前达到国家规定的技术</w:t>
            </w:r>
            <w:r>
              <w:rPr>
                <w:rFonts w:hint="eastAsia"/>
                <w:color w:val="auto"/>
                <w:kern w:val="0"/>
                <w:sz w:val="24"/>
                <w:szCs w:val="24"/>
                <w:lang w:eastAsia="zh-CN"/>
              </w:rPr>
              <w:t>（</w:t>
            </w:r>
            <w:r>
              <w:rPr>
                <w:rFonts w:hint="eastAsia"/>
                <w:color w:val="auto"/>
                <w:kern w:val="0"/>
                <w:sz w:val="24"/>
                <w:szCs w:val="24"/>
              </w:rPr>
              <w:t>工艺</w:t>
            </w:r>
            <w:r>
              <w:rPr>
                <w:rFonts w:hint="eastAsia"/>
                <w:color w:val="auto"/>
                <w:kern w:val="0"/>
                <w:sz w:val="24"/>
                <w:szCs w:val="24"/>
                <w:lang w:eastAsia="zh-CN"/>
              </w:rPr>
              <w:t>）</w:t>
            </w:r>
            <w:r>
              <w:rPr>
                <w:rFonts w:hint="eastAsia"/>
                <w:color w:val="auto"/>
                <w:kern w:val="0"/>
                <w:sz w:val="24"/>
                <w:szCs w:val="24"/>
              </w:rPr>
              <w:t>改造要求。</w:t>
            </w:r>
          </w:p>
          <w:p>
            <w:pPr>
              <w:pStyle w:val="2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color w:val="auto"/>
                <w:kern w:val="0"/>
                <w:sz w:val="24"/>
                <w:szCs w:val="24"/>
              </w:rPr>
            </w:pPr>
            <w:r>
              <w:rPr>
                <w:rFonts w:hint="eastAsia"/>
                <w:color w:val="auto"/>
                <w:kern w:val="0"/>
                <w:sz w:val="24"/>
                <w:szCs w:val="24"/>
              </w:rPr>
              <w:t>本项目不属于严重污染水环境的生产项目，</w:t>
            </w:r>
            <w:r>
              <w:rPr>
                <w:rFonts w:hint="eastAsia"/>
                <w:color w:val="auto"/>
                <w:kern w:val="0"/>
                <w:sz w:val="24"/>
                <w:szCs w:val="24"/>
                <w:lang w:eastAsia="zh-CN"/>
              </w:rPr>
              <w:t>项目</w:t>
            </w:r>
            <w:r>
              <w:rPr>
                <w:rFonts w:hint="eastAsia"/>
                <w:color w:val="auto"/>
                <w:kern w:val="0"/>
                <w:sz w:val="24"/>
                <w:szCs w:val="24"/>
                <w:lang w:val="en-US" w:eastAsia="zh-CN"/>
              </w:rPr>
              <w:t>生产</w:t>
            </w:r>
            <w:r>
              <w:rPr>
                <w:rFonts w:hint="eastAsia"/>
                <w:color w:val="auto"/>
                <w:kern w:val="0"/>
                <w:sz w:val="24"/>
                <w:szCs w:val="24"/>
                <w:lang w:eastAsia="zh-CN"/>
              </w:rPr>
              <w:t>废水经污水处理站处理</w:t>
            </w:r>
            <w:r>
              <w:rPr>
                <w:rFonts w:hint="eastAsia"/>
                <w:color w:val="auto"/>
                <w:kern w:val="0"/>
                <w:sz w:val="24"/>
                <w:szCs w:val="24"/>
                <w:lang w:val="en-US" w:eastAsia="zh-CN"/>
              </w:rPr>
              <w:t>与生活污水经化粪池沉淀后定期拉运至嘉荫县</w:t>
            </w:r>
            <w:r>
              <w:rPr>
                <w:rFonts w:hint="eastAsia"/>
                <w:bCs/>
                <w:color w:val="auto"/>
                <w:sz w:val="24"/>
                <w:szCs w:val="24"/>
                <w:highlight w:val="none"/>
                <w:lang w:eastAsia="zh-CN"/>
              </w:rPr>
              <w:t>污水处理厂</w:t>
            </w:r>
            <w:r>
              <w:rPr>
                <w:rFonts w:hint="eastAsia"/>
                <w:color w:val="auto"/>
                <w:kern w:val="0"/>
                <w:sz w:val="24"/>
                <w:szCs w:val="24"/>
              </w:rPr>
              <w:t>。本项目符合《伊春市人民政府办公室关于印发伊春市水污染防治工作方案的通知》相关要求。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auto"/>
                <w:kern w:val="0"/>
                <w:sz w:val="24"/>
              </w:rPr>
            </w:pPr>
            <w:r>
              <w:rPr>
                <w:rFonts w:hint="eastAsia"/>
                <w:b/>
                <w:bCs/>
                <w:color w:val="auto"/>
                <w:kern w:val="0"/>
                <w:sz w:val="24"/>
                <w:lang w:val="en-US" w:eastAsia="zh-CN"/>
              </w:rPr>
              <w:t>5、</w:t>
            </w:r>
            <w:r>
              <w:rPr>
                <w:rFonts w:hint="eastAsia"/>
                <w:b/>
                <w:bCs/>
                <w:color w:val="auto"/>
                <w:kern w:val="0"/>
                <w:sz w:val="24"/>
              </w:rPr>
              <w:t>与《伊春市国土空间总体规划（2021-2035）》符合性分析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kern w:val="0"/>
                <w:sz w:val="24"/>
              </w:rPr>
            </w:pPr>
            <w:r>
              <w:rPr>
                <w:rFonts w:hint="eastAsia"/>
                <w:color w:val="auto"/>
                <w:kern w:val="0"/>
                <w:sz w:val="24"/>
              </w:rPr>
              <w:t>根据《伊春市国土空间总体规划（2021-2035）》要求严守生态底线，优先将自然保护地、重要水源涵养/生物多样性保护、水土保持等生态系统服务</w:t>
            </w:r>
            <w:r>
              <w:rPr>
                <w:rFonts w:hint="eastAsia"/>
                <w:color w:val="auto"/>
                <w:kern w:val="0"/>
                <w:sz w:val="24"/>
                <w:lang w:eastAsia="zh-CN"/>
              </w:rPr>
              <w:t>功能</w:t>
            </w:r>
            <w:r>
              <w:rPr>
                <w:rFonts w:hint="eastAsia"/>
                <w:color w:val="auto"/>
                <w:kern w:val="0"/>
                <w:sz w:val="24"/>
              </w:rPr>
              <w:t>重要区域和水土流失等生态环境敏感区域划入生态保护红线。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kern w:val="0"/>
                <w:sz w:val="24"/>
              </w:rPr>
            </w:pPr>
            <w:r>
              <w:rPr>
                <w:rFonts w:hint="eastAsia"/>
                <w:color w:val="auto"/>
                <w:kern w:val="0"/>
                <w:sz w:val="24"/>
              </w:rPr>
              <w:t>本项目</w:t>
            </w:r>
            <w:r>
              <w:rPr>
                <w:rFonts w:hint="eastAsia"/>
                <w:color w:val="auto"/>
                <w:kern w:val="0"/>
                <w:sz w:val="24"/>
                <w:lang w:eastAsia="zh-CN"/>
              </w:rPr>
              <w:t>位于黑龙江省伊春市嘉荫县保兴镇前岗村</w:t>
            </w:r>
            <w:r>
              <w:rPr>
                <w:rFonts w:hint="eastAsia"/>
                <w:color w:val="auto"/>
                <w:kern w:val="0"/>
                <w:sz w:val="24"/>
              </w:rPr>
              <w:t>，</w:t>
            </w:r>
            <w:r>
              <w:rPr>
                <w:rFonts w:hint="eastAsia"/>
                <w:color w:val="auto"/>
                <w:kern w:val="0"/>
                <w:sz w:val="24"/>
                <w:lang w:val="en-US" w:eastAsia="zh-CN"/>
              </w:rPr>
              <w:t>本项目占地类型为工业用地，</w:t>
            </w:r>
            <w:r>
              <w:rPr>
                <w:rFonts w:hint="eastAsia" w:ascii="Times New Roman" w:hAnsi="Times New Roman" w:eastAsia="宋体"/>
                <w:color w:val="auto"/>
                <w:spacing w:val="0"/>
                <w:sz w:val="24"/>
                <w:szCs w:val="24"/>
                <w:highlight w:val="none"/>
                <w:lang w:eastAsia="zh-CN"/>
              </w:rPr>
              <w:t>不占用生态保护红线</w:t>
            </w:r>
            <w:r>
              <w:rPr>
                <w:rFonts w:hint="eastAsia"/>
                <w:color w:val="auto"/>
                <w:spacing w:val="0"/>
                <w:sz w:val="24"/>
                <w:szCs w:val="24"/>
                <w:highlight w:val="none"/>
                <w:lang w:eastAsia="zh-CN"/>
              </w:rPr>
              <w:t>。</w:t>
            </w:r>
            <w:r>
              <w:rPr>
                <w:rFonts w:hint="eastAsia"/>
                <w:color w:val="auto"/>
                <w:kern w:val="0"/>
                <w:sz w:val="24"/>
              </w:rPr>
              <w:t>因此项目建设符合《伊春市国土空间总体规划（2021-2035）》要求</w:t>
            </w:r>
          </w:p>
          <w:p>
            <w:pPr>
              <w:rPr>
                <w:rFonts w:hint="eastAsia"/>
                <w:color w:val="auto"/>
                <w:kern w:val="0"/>
                <w:sz w:val="24"/>
              </w:rPr>
            </w:pPr>
          </w:p>
          <w:p>
            <w:pPr>
              <w:pStyle w:val="27"/>
              <w:rPr>
                <w:rFonts w:hint="eastAsia"/>
                <w:color w:val="auto"/>
                <w:kern w:val="0"/>
                <w:sz w:val="24"/>
              </w:rPr>
            </w:pPr>
          </w:p>
          <w:p>
            <w:pPr>
              <w:rPr>
                <w:rFonts w:hint="eastAsia"/>
                <w:color w:val="auto"/>
                <w:kern w:val="0"/>
                <w:sz w:val="24"/>
              </w:rPr>
            </w:pPr>
          </w:p>
          <w:p>
            <w:pPr>
              <w:pStyle w:val="27"/>
              <w:rPr>
                <w:rFonts w:hint="eastAsia"/>
                <w:color w:val="auto"/>
                <w:kern w:val="0"/>
                <w:sz w:val="24"/>
              </w:rPr>
            </w:pPr>
          </w:p>
          <w:p>
            <w:pPr>
              <w:rPr>
                <w:rFonts w:hint="eastAsia"/>
                <w:color w:val="auto"/>
                <w:kern w:val="0"/>
                <w:sz w:val="24"/>
              </w:rPr>
            </w:pPr>
          </w:p>
          <w:p>
            <w:pPr>
              <w:pStyle w:val="27"/>
              <w:rPr>
                <w:rFonts w:hint="eastAsia"/>
                <w:color w:val="auto"/>
                <w:kern w:val="0"/>
                <w:sz w:val="24"/>
              </w:rPr>
            </w:pPr>
          </w:p>
          <w:p>
            <w:pPr>
              <w:rPr>
                <w:rFonts w:hint="eastAsia"/>
                <w:color w:val="auto"/>
                <w:kern w:val="0"/>
                <w:sz w:val="24"/>
              </w:rPr>
            </w:pPr>
          </w:p>
          <w:p>
            <w:pPr>
              <w:pStyle w:val="27"/>
              <w:rPr>
                <w:rFonts w:hint="eastAsia"/>
                <w:color w:val="auto"/>
                <w:kern w:val="0"/>
                <w:sz w:val="24"/>
              </w:rPr>
            </w:pPr>
          </w:p>
          <w:p>
            <w:pPr>
              <w:autoSpaceDE w:val="0"/>
              <w:autoSpaceDN w:val="0"/>
              <w:adjustRightInd w:val="0"/>
              <w:snapToGrid w:val="0"/>
              <w:rPr>
                <w:color w:val="auto"/>
                <w:kern w:val="0"/>
                <w:szCs w:val="21"/>
              </w:rPr>
            </w:pPr>
          </w:p>
        </w:tc>
      </w:tr>
    </w:tbl>
    <w:p>
      <w:pPr>
        <w:spacing w:line="360" w:lineRule="auto"/>
        <w:outlineLvl w:val="0"/>
        <w:rPr>
          <w:rFonts w:eastAsia="黑体"/>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4"/>
        <w:jc w:val="center"/>
        <w:outlineLvl w:val="0"/>
        <w:rPr>
          <w:rFonts w:ascii="Times New Roman" w:hAnsi="Times New Roman" w:eastAsia="黑体"/>
          <w:snapToGrid w:val="0"/>
          <w:color w:val="auto"/>
          <w:sz w:val="30"/>
          <w:szCs w:val="30"/>
        </w:rPr>
      </w:pPr>
      <w:bookmarkStart w:id="23" w:name="_Toc19142"/>
      <w:r>
        <w:rPr>
          <w:rFonts w:ascii="Times New Roman" w:hAnsi="Times New Roman" w:eastAsia="黑体"/>
          <w:snapToGrid w:val="0"/>
          <w:color w:val="auto"/>
          <w:sz w:val="30"/>
          <w:szCs w:val="30"/>
        </w:rPr>
        <w:t>二、建设项目工程分析</w:t>
      </w:r>
      <w:bookmarkEnd w:id="23"/>
    </w:p>
    <w:tbl>
      <w:tblPr>
        <w:tblStyle w:val="29"/>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731"/>
        <w:gridCol w:w="89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3125" w:hRule="atLeast"/>
          <w:jc w:val="center"/>
        </w:trPr>
        <w:tc>
          <w:tcPr>
            <w:tcW w:w="731" w:type="dxa"/>
            <w:vAlign w:val="center"/>
          </w:tcPr>
          <w:p>
            <w:pPr>
              <w:pStyle w:val="24"/>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8907" w:type="dxa"/>
            <w:vAlign w:val="top"/>
          </w:tcPr>
          <w:p>
            <w:pPr>
              <w:pStyle w:val="6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firstLine="0" w:firstLineChars="0"/>
              <w:textAlignment w:val="baseline"/>
              <w:rPr>
                <w:b/>
                <w:bCs/>
                <w:color w:val="auto"/>
              </w:rPr>
            </w:pPr>
            <w:r>
              <w:rPr>
                <w:rFonts w:hint="eastAsia"/>
                <w:b/>
                <w:bCs/>
                <w:color w:val="auto"/>
                <w:lang w:val="en-US" w:eastAsia="zh-CN"/>
              </w:rPr>
              <w:t>1、</w:t>
            </w:r>
            <w:r>
              <w:rPr>
                <w:b/>
                <w:bCs/>
                <w:color w:val="auto"/>
              </w:rPr>
              <w:t>工程组成</w:t>
            </w:r>
          </w:p>
          <w:p>
            <w:pPr>
              <w:pStyle w:val="6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textAlignment w:val="baseline"/>
              <w:rPr>
                <w:bCs/>
                <w:color w:val="auto"/>
              </w:rPr>
            </w:pPr>
            <w:r>
              <w:rPr>
                <w:rFonts w:hint="eastAsia"/>
                <w:bCs/>
                <w:color w:val="auto"/>
              </w:rPr>
              <w:t>项目名称：</w:t>
            </w:r>
            <w:r>
              <w:rPr>
                <w:rFonts w:hint="eastAsia"/>
                <w:bCs/>
                <w:color w:val="auto"/>
                <w:lang w:eastAsia="zh-CN"/>
              </w:rPr>
              <w:t>黑龙江省伊春市嘉荫县保兴镇前岗村蜂蜜加工项目</w:t>
            </w:r>
          </w:p>
          <w:p>
            <w:pPr>
              <w:pStyle w:val="6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textAlignment w:val="baseline"/>
              <w:rPr>
                <w:bCs/>
                <w:color w:val="auto"/>
                <w:highlight w:val="yellow"/>
              </w:rPr>
            </w:pPr>
            <w:r>
              <w:rPr>
                <w:rFonts w:hint="eastAsia"/>
                <w:bCs/>
                <w:color w:val="auto"/>
              </w:rPr>
              <w:t>建设地点：</w:t>
            </w:r>
            <w:r>
              <w:rPr>
                <w:rFonts w:hint="eastAsia" w:cs="Times New Roman"/>
                <w:b w:val="0"/>
                <w:bCs w:val="0"/>
                <w:color w:val="auto"/>
                <w:kern w:val="44"/>
                <w:sz w:val="24"/>
                <w:szCs w:val="24"/>
                <w:highlight w:val="none"/>
                <w:lang w:val="en-US" w:eastAsia="zh-CN" w:bidi="ar-SA"/>
              </w:rPr>
              <w:t>黑龙江省伊春市嘉荫县保兴镇前岗村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color w:val="auto"/>
                <w:sz w:val="24"/>
              </w:rPr>
            </w:pPr>
            <w:r>
              <w:rPr>
                <w:color w:val="auto"/>
                <w:sz w:val="24"/>
              </w:rPr>
              <w:t>投资规模：</w:t>
            </w:r>
            <w:r>
              <w:rPr>
                <w:rFonts w:hint="eastAsia"/>
                <w:color w:val="auto"/>
                <w:sz w:val="24"/>
                <w:lang w:val="en-US" w:eastAsia="zh-CN"/>
              </w:rPr>
              <w:t>477.32</w:t>
            </w:r>
            <w:r>
              <w:rPr>
                <w:color w:val="auto"/>
                <w:sz w:val="24"/>
              </w:rPr>
              <w:t>万元</w:t>
            </w:r>
          </w:p>
          <w:p>
            <w:pPr>
              <w:pStyle w:val="6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textAlignment w:val="baseline"/>
              <w:rPr>
                <w:rFonts w:hint="default" w:ascii="Times New Roman" w:hAnsi="Times New Roman" w:eastAsia="宋体" w:cs="Times New Roman"/>
                <w:color w:val="auto"/>
                <w:sz w:val="24"/>
                <w:szCs w:val="24"/>
                <w:lang w:val="en-US" w:eastAsia="zh-CN"/>
              </w:rPr>
            </w:pPr>
            <w:bookmarkStart w:id="24" w:name="_Hlk113032400"/>
            <w:r>
              <w:rPr>
                <w:rFonts w:hint="eastAsia" w:ascii="Times New Roman" w:hAnsi="Times New Roman" w:eastAsia="宋体" w:cs="Times New Roman"/>
                <w:color w:val="auto"/>
                <w:sz w:val="24"/>
                <w:szCs w:val="24"/>
                <w:lang w:val="en-US" w:eastAsia="zh-CN"/>
              </w:rPr>
              <w:t>建设内容：</w:t>
            </w:r>
            <w:r>
              <w:rPr>
                <w:rFonts w:hint="default" w:ascii="Times New Roman" w:hAnsi="Times New Roman" w:eastAsia="宋体" w:cs="Times New Roman"/>
                <w:color w:val="auto"/>
                <w:sz w:val="24"/>
                <w:szCs w:val="24"/>
              </w:rPr>
              <w:t>项目位于</w:t>
            </w:r>
            <w:r>
              <w:rPr>
                <w:rFonts w:hint="eastAsia" w:cs="Times New Roman"/>
                <w:b w:val="0"/>
                <w:bCs w:val="0"/>
                <w:color w:val="auto"/>
                <w:kern w:val="44"/>
                <w:sz w:val="24"/>
                <w:szCs w:val="24"/>
                <w:highlight w:val="none"/>
                <w:lang w:val="en-US" w:eastAsia="zh-CN" w:bidi="ar-SA"/>
              </w:rPr>
              <w:t>黑龙江省伊春市嘉荫县保兴镇前岗村</w:t>
            </w:r>
            <w:r>
              <w:rPr>
                <w:rFonts w:hint="default" w:ascii="Times New Roman" w:hAnsi="Times New Roman" w:eastAsia="宋体" w:cs="Times New Roman"/>
                <w:color w:val="auto"/>
                <w:sz w:val="24"/>
                <w:szCs w:val="24"/>
              </w:rPr>
              <w:t>，</w:t>
            </w:r>
            <w:bookmarkEnd w:id="24"/>
            <w:r>
              <w:rPr>
                <w:rFonts w:hint="eastAsia" w:cs="Times New Roman"/>
                <w:color w:val="auto"/>
                <w:sz w:val="24"/>
                <w:szCs w:val="24"/>
                <w:lang w:val="en-US" w:eastAsia="zh-CN"/>
              </w:rPr>
              <w:t>本项目新建蜂蜜加工厂1座，其中总占地面积1916平方米，建筑面积1519平方米；道路硬化面积260.41平方米、场地硬化面积173.33平方米及相应配套设施工程等，本项目建成后年加工200吨蜂蜜。</w:t>
            </w:r>
          </w:p>
          <w:p>
            <w:pPr>
              <w:pStyle w:val="6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0"/>
              <w:textAlignment w:val="baseline"/>
              <w:rPr>
                <w:color w:val="auto"/>
              </w:rPr>
            </w:pPr>
            <w:r>
              <w:rPr>
                <w:color w:val="auto"/>
              </w:rPr>
              <w:t>工程组成一览表见表2-1。</w:t>
            </w:r>
          </w:p>
          <w:p>
            <w:pPr>
              <w:spacing w:line="240" w:lineRule="auto"/>
              <w:jc w:val="center"/>
              <w:rPr>
                <w:b/>
                <w:bCs/>
                <w:color w:val="auto"/>
                <w:sz w:val="21"/>
                <w:szCs w:val="21"/>
              </w:rPr>
            </w:pPr>
            <w:r>
              <w:rPr>
                <w:b/>
                <w:bCs/>
                <w:color w:val="auto"/>
                <w:sz w:val="21"/>
                <w:szCs w:val="21"/>
              </w:rPr>
              <w:t>表2-1  主要建设内容一览表</w:t>
            </w:r>
          </w:p>
          <w:tbl>
            <w:tblPr>
              <w:tblStyle w:val="29"/>
              <w:tblW w:w="87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054"/>
              <w:gridCol w:w="6312"/>
              <w:gridCol w:w="7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tcBorders>
                    <w:tl2br w:val="nil"/>
                    <w:tr2bl w:val="nil"/>
                  </w:tcBorders>
                  <w:vAlign w:val="center"/>
                </w:tcPr>
                <w:p>
                  <w:pPr>
                    <w:pStyle w:val="63"/>
                    <w:rPr>
                      <w:color w:val="auto"/>
                    </w:rPr>
                  </w:pPr>
                  <w:r>
                    <w:rPr>
                      <w:color w:val="auto"/>
                    </w:rPr>
                    <w:t>工程</w:t>
                  </w:r>
                </w:p>
                <w:p>
                  <w:pPr>
                    <w:pStyle w:val="63"/>
                    <w:rPr>
                      <w:color w:val="auto"/>
                    </w:rPr>
                  </w:pPr>
                  <w:r>
                    <w:rPr>
                      <w:color w:val="auto"/>
                    </w:rPr>
                    <w:t>类型</w:t>
                  </w:r>
                </w:p>
              </w:tc>
              <w:tc>
                <w:tcPr>
                  <w:tcW w:w="1054" w:type="dxa"/>
                  <w:tcBorders>
                    <w:tl2br w:val="nil"/>
                    <w:tr2bl w:val="nil"/>
                  </w:tcBorders>
                  <w:vAlign w:val="center"/>
                </w:tcPr>
                <w:p>
                  <w:pPr>
                    <w:pStyle w:val="63"/>
                    <w:rPr>
                      <w:color w:val="auto"/>
                    </w:rPr>
                  </w:pPr>
                  <w:r>
                    <w:rPr>
                      <w:color w:val="auto"/>
                    </w:rPr>
                    <w:t>工程名称</w:t>
                  </w:r>
                </w:p>
              </w:tc>
              <w:tc>
                <w:tcPr>
                  <w:tcW w:w="6312" w:type="dxa"/>
                  <w:tcBorders>
                    <w:tl2br w:val="nil"/>
                    <w:tr2bl w:val="nil"/>
                  </w:tcBorders>
                  <w:vAlign w:val="center"/>
                </w:tcPr>
                <w:p>
                  <w:pPr>
                    <w:pStyle w:val="63"/>
                    <w:rPr>
                      <w:color w:val="auto"/>
                    </w:rPr>
                  </w:pPr>
                  <w:r>
                    <w:rPr>
                      <w:color w:val="auto"/>
                    </w:rPr>
                    <w:t>工程建设内容</w:t>
                  </w:r>
                </w:p>
              </w:tc>
              <w:tc>
                <w:tcPr>
                  <w:tcW w:w="703" w:type="dxa"/>
                  <w:tcBorders>
                    <w:tl2br w:val="nil"/>
                    <w:tr2bl w:val="nil"/>
                  </w:tcBorders>
                  <w:vAlign w:val="center"/>
                </w:tcPr>
                <w:p>
                  <w:pPr>
                    <w:pStyle w:val="63"/>
                    <w:rPr>
                      <w:color w:val="auto"/>
                    </w:rPr>
                  </w:pPr>
                  <w:r>
                    <w:rPr>
                      <w:color w:val="auto"/>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668" w:type="dxa"/>
                  <w:tcBorders>
                    <w:tl2br w:val="nil"/>
                    <w:tr2bl w:val="nil"/>
                  </w:tcBorders>
                  <w:vAlign w:val="center"/>
                </w:tcPr>
                <w:p>
                  <w:pPr>
                    <w:pStyle w:val="63"/>
                    <w:rPr>
                      <w:color w:val="auto"/>
                    </w:rPr>
                  </w:pPr>
                  <w:r>
                    <w:rPr>
                      <w:color w:val="auto"/>
                    </w:rPr>
                    <w:t>主体</w:t>
                  </w:r>
                </w:p>
                <w:p>
                  <w:pPr>
                    <w:pStyle w:val="63"/>
                    <w:rPr>
                      <w:color w:val="auto"/>
                    </w:rPr>
                  </w:pPr>
                  <w:r>
                    <w:rPr>
                      <w:color w:val="auto"/>
                    </w:rPr>
                    <w:t>工程</w:t>
                  </w:r>
                </w:p>
              </w:tc>
              <w:tc>
                <w:tcPr>
                  <w:tcW w:w="1054" w:type="dxa"/>
                  <w:tcBorders>
                    <w:tl2br w:val="nil"/>
                    <w:tr2bl w:val="nil"/>
                  </w:tcBorders>
                  <w:vAlign w:val="center"/>
                </w:tcPr>
                <w:p>
                  <w:pPr>
                    <w:pStyle w:val="63"/>
                    <w:rPr>
                      <w:color w:val="auto"/>
                    </w:rPr>
                  </w:pPr>
                  <w:r>
                    <w:rPr>
                      <w:rFonts w:hint="eastAsia"/>
                      <w:color w:val="auto"/>
                      <w:lang w:val="en-US" w:eastAsia="zh-CN"/>
                    </w:rPr>
                    <w:t>综合加工</w:t>
                  </w:r>
                  <w:r>
                    <w:rPr>
                      <w:rFonts w:hint="eastAsia"/>
                      <w:color w:val="auto"/>
                    </w:rPr>
                    <w:t>车间</w:t>
                  </w:r>
                </w:p>
              </w:tc>
              <w:tc>
                <w:tcPr>
                  <w:tcW w:w="6312" w:type="dxa"/>
                  <w:tcBorders>
                    <w:tl2br w:val="nil"/>
                    <w:tr2bl w:val="nil"/>
                  </w:tcBorders>
                  <w:vAlign w:val="center"/>
                </w:tcPr>
                <w:p>
                  <w:pPr>
                    <w:pStyle w:val="63"/>
                    <w:jc w:val="left"/>
                    <w:rPr>
                      <w:rFonts w:hint="default" w:ascii="Times New Roman" w:hAnsi="Times New Roman" w:eastAsia="宋体" w:cs="Times New Roman"/>
                      <w:color w:val="auto"/>
                      <w:kern w:val="2"/>
                      <w:sz w:val="21"/>
                      <w:szCs w:val="22"/>
                      <w:lang w:val="en-US" w:eastAsia="zh-CN" w:bidi="ar-SA"/>
                    </w:rPr>
                  </w:pPr>
                  <w:r>
                    <w:rPr>
                      <w:rFonts w:hint="eastAsia"/>
                      <w:lang w:val="en-US" w:eastAsia="zh-CN"/>
                    </w:rPr>
                    <w:t>地上三层，地下一层建筑，</w:t>
                  </w:r>
                  <w:r>
                    <w:rPr>
                      <w:rFonts w:hint="eastAsia"/>
                    </w:rPr>
                    <w:t>占地面积</w:t>
                  </w:r>
                  <w:r>
                    <w:rPr>
                      <w:rFonts w:hint="eastAsia"/>
                      <w:lang w:val="en-US" w:eastAsia="zh-CN"/>
                    </w:rPr>
                    <w:t>715</w:t>
                  </w:r>
                  <w:r>
                    <w:rPr>
                      <w:rFonts w:hint="eastAsia"/>
                    </w:rPr>
                    <w:t>m</w:t>
                  </w:r>
                  <w:r>
                    <w:rPr>
                      <w:rFonts w:hint="eastAsia"/>
                      <w:vertAlign w:val="superscript"/>
                      <w:lang w:val="en-US" w:eastAsia="zh-CN"/>
                    </w:rPr>
                    <w:t>2</w:t>
                  </w:r>
                  <w:r>
                    <w:rPr>
                      <w:rFonts w:hint="eastAsia"/>
                      <w:lang w:eastAsia="zh-CN"/>
                    </w:rPr>
                    <w:t>，</w:t>
                  </w:r>
                  <w:r>
                    <w:rPr>
                      <w:rFonts w:hint="eastAsia"/>
                    </w:rPr>
                    <w:t>建筑面积</w:t>
                  </w:r>
                  <w:r>
                    <w:rPr>
                      <w:rFonts w:hint="eastAsia"/>
                      <w:lang w:val="en-US" w:eastAsia="zh-CN"/>
                    </w:rPr>
                    <w:t>1607.42</w:t>
                  </w:r>
                  <w:r>
                    <w:rPr>
                      <w:rFonts w:hint="eastAsia"/>
                    </w:rPr>
                    <w:t>m</w:t>
                  </w:r>
                  <w:r>
                    <w:rPr>
                      <w:rFonts w:hint="eastAsia"/>
                      <w:vertAlign w:val="superscript"/>
                      <w:lang w:val="en-US" w:eastAsia="zh-CN"/>
                    </w:rPr>
                    <w:t>2</w:t>
                  </w:r>
                  <w:r>
                    <w:rPr>
                      <w:rFonts w:hint="eastAsia"/>
                    </w:rPr>
                    <w:t>。</w:t>
                  </w:r>
                  <w:r>
                    <w:rPr>
                      <w:rFonts w:hint="eastAsia"/>
                      <w:lang w:val="en-US" w:eastAsia="zh-CN"/>
                    </w:rPr>
                    <w:t>一层设置生产车间一座、库房一座及配套设施，建筑面积715</w:t>
                  </w:r>
                  <w:r>
                    <w:rPr>
                      <w:rFonts w:hint="eastAsia"/>
                    </w:rPr>
                    <w:t>m</w:t>
                  </w:r>
                  <w:r>
                    <w:rPr>
                      <w:rFonts w:hint="eastAsia"/>
                      <w:vertAlign w:val="superscript"/>
                      <w:lang w:val="en-US" w:eastAsia="zh-CN"/>
                    </w:rPr>
                    <w:t>2</w:t>
                  </w:r>
                  <w:r>
                    <w:rPr>
                      <w:rFonts w:hint="eastAsia"/>
                      <w:lang w:eastAsia="zh-CN"/>
                    </w:rPr>
                    <w:t>；</w:t>
                  </w:r>
                  <w:r>
                    <w:rPr>
                      <w:rFonts w:hint="eastAsia"/>
                      <w:lang w:val="en-US" w:eastAsia="zh-CN"/>
                    </w:rPr>
                    <w:t>二层主要为办公区及展示区，建筑面积420.76</w:t>
                  </w:r>
                  <w:r>
                    <w:rPr>
                      <w:rFonts w:hint="eastAsia"/>
                    </w:rPr>
                    <w:t>m</w:t>
                  </w:r>
                  <w:r>
                    <w:rPr>
                      <w:rFonts w:hint="eastAsia"/>
                      <w:vertAlign w:val="superscript"/>
                      <w:lang w:val="en-US" w:eastAsia="zh-CN"/>
                    </w:rPr>
                    <w:t>2</w:t>
                  </w:r>
                  <w:r>
                    <w:rPr>
                      <w:rFonts w:hint="eastAsia"/>
                      <w:lang w:eastAsia="zh-CN"/>
                    </w:rPr>
                    <w:t>；</w:t>
                  </w:r>
                  <w:r>
                    <w:rPr>
                      <w:rFonts w:hint="eastAsia"/>
                      <w:lang w:val="en-US" w:eastAsia="zh-CN"/>
                    </w:rPr>
                    <w:t>地下包括消防泵房，建筑面积394.89</w:t>
                  </w:r>
                  <w:r>
                    <w:rPr>
                      <w:rFonts w:hint="eastAsia"/>
                    </w:rPr>
                    <w:t>m</w:t>
                  </w:r>
                  <w:r>
                    <w:rPr>
                      <w:rFonts w:hint="eastAsia"/>
                      <w:vertAlign w:val="superscript"/>
                      <w:lang w:val="en-US" w:eastAsia="zh-CN"/>
                    </w:rPr>
                    <w:t>2</w:t>
                  </w:r>
                  <w:r>
                    <w:rPr>
                      <w:rFonts w:hint="eastAsia"/>
                      <w:lang w:eastAsia="zh-CN"/>
                    </w:rPr>
                    <w:t>；</w:t>
                  </w:r>
                  <w:r>
                    <w:rPr>
                      <w:rFonts w:hint="eastAsia"/>
                      <w:lang w:val="en-US" w:eastAsia="zh-CN"/>
                    </w:rPr>
                    <w:t>三层设置高位水箱，楼梯间等，建筑面积76.77</w:t>
                  </w:r>
                  <w:r>
                    <w:rPr>
                      <w:rFonts w:hint="eastAsia"/>
                    </w:rPr>
                    <w:t>m</w:t>
                  </w:r>
                  <w:r>
                    <w:rPr>
                      <w:rFonts w:hint="eastAsia"/>
                      <w:vertAlign w:val="superscript"/>
                      <w:lang w:val="en-US" w:eastAsia="zh-CN"/>
                    </w:rPr>
                    <w:t>2</w:t>
                  </w:r>
                  <w:r>
                    <w:rPr>
                      <w:rFonts w:hint="eastAsia"/>
                      <w:lang w:eastAsia="zh-CN"/>
                    </w:rPr>
                    <w:t>；</w:t>
                  </w:r>
                </w:p>
              </w:tc>
              <w:tc>
                <w:tcPr>
                  <w:tcW w:w="703" w:type="dxa"/>
                  <w:tcBorders>
                    <w:tl2br w:val="nil"/>
                    <w:tr2bl w:val="nil"/>
                  </w:tcBorders>
                  <w:vAlign w:val="center"/>
                </w:tcPr>
                <w:p>
                  <w:pPr>
                    <w:jc w:val="center"/>
                    <w:rPr>
                      <w:rFonts w:hint="eastAsia"/>
                      <w:color w:val="auto"/>
                      <w:szCs w:val="21"/>
                      <w:lang w:eastAsia="zh-CN"/>
                    </w:rPr>
                  </w:pPr>
                  <w:r>
                    <w:rPr>
                      <w:rFonts w:hint="eastAsia"/>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restart"/>
                  <w:tcBorders>
                    <w:tl2br w:val="nil"/>
                    <w:tr2bl w:val="nil"/>
                  </w:tcBorders>
                  <w:vAlign w:val="center"/>
                </w:tcPr>
                <w:p>
                  <w:pPr>
                    <w:pStyle w:val="63"/>
                    <w:rPr>
                      <w:color w:val="auto"/>
                      <w:highlight w:val="none"/>
                    </w:rPr>
                  </w:pPr>
                  <w:r>
                    <w:rPr>
                      <w:color w:val="auto"/>
                      <w:highlight w:val="none"/>
                    </w:rPr>
                    <w:t>储运</w:t>
                  </w:r>
                </w:p>
                <w:p>
                  <w:pPr>
                    <w:pStyle w:val="63"/>
                    <w:rPr>
                      <w:color w:val="auto"/>
                      <w:highlight w:val="none"/>
                    </w:rPr>
                  </w:pPr>
                  <w:r>
                    <w:rPr>
                      <w:color w:val="auto"/>
                      <w:highlight w:val="none"/>
                    </w:rPr>
                    <w:t>工程</w:t>
                  </w:r>
                </w:p>
              </w:tc>
              <w:tc>
                <w:tcPr>
                  <w:tcW w:w="1054" w:type="dxa"/>
                  <w:tcBorders>
                    <w:tl2br w:val="nil"/>
                    <w:tr2bl w:val="nil"/>
                  </w:tcBorders>
                  <w:vAlign w:val="center"/>
                </w:tcPr>
                <w:p>
                  <w:pPr>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原料库</w:t>
                  </w:r>
                </w:p>
              </w:tc>
              <w:tc>
                <w:tcPr>
                  <w:tcW w:w="6312" w:type="dxa"/>
                  <w:tcBorders>
                    <w:tl2br w:val="nil"/>
                    <w:tr2bl w:val="nil"/>
                  </w:tcBorders>
                  <w:vAlign w:val="center"/>
                </w:tcPr>
                <w:p>
                  <w:pPr>
                    <w:pStyle w:val="63"/>
                    <w:jc w:val="left"/>
                    <w:rPr>
                      <w:rFonts w:hint="default" w:eastAsia="宋体"/>
                      <w:color w:val="auto"/>
                      <w:highlight w:val="none"/>
                      <w:lang w:val="en-US" w:eastAsia="zh-CN"/>
                    </w:rPr>
                  </w:pPr>
                  <w:r>
                    <w:rPr>
                      <w:rFonts w:hint="eastAsia"/>
                    </w:rPr>
                    <w:t>原料库位于车间</w:t>
                  </w:r>
                  <w:r>
                    <w:rPr>
                      <w:rFonts w:hint="eastAsia"/>
                      <w:lang w:val="en-US" w:eastAsia="zh-CN"/>
                    </w:rPr>
                    <w:t>地上一层</w:t>
                  </w:r>
                  <w:r>
                    <w:rPr>
                      <w:rFonts w:hint="eastAsia"/>
                    </w:rPr>
                    <w:t>的</w:t>
                  </w:r>
                  <w:r>
                    <w:rPr>
                      <w:rFonts w:hint="eastAsia"/>
                      <w:lang w:val="en-US" w:eastAsia="zh-CN"/>
                    </w:rPr>
                    <w:t>南</w:t>
                  </w:r>
                  <w:r>
                    <w:rPr>
                      <w:rFonts w:hint="eastAsia"/>
                    </w:rPr>
                    <w:t>侧</w:t>
                  </w:r>
                  <w:r>
                    <w:rPr>
                      <w:rFonts w:hint="eastAsia"/>
                      <w:lang w:eastAsia="zh-CN"/>
                    </w:rPr>
                    <w:t>，</w:t>
                  </w:r>
                  <w:r>
                    <w:rPr>
                      <w:rFonts w:hint="eastAsia"/>
                    </w:rPr>
                    <w:t>建筑面积</w:t>
                  </w:r>
                  <w:r>
                    <w:rPr>
                      <w:rFonts w:hint="eastAsia"/>
                      <w:lang w:val="en-US" w:eastAsia="zh-CN"/>
                    </w:rPr>
                    <w:t>125.28</w:t>
                  </w:r>
                  <w:r>
                    <w:rPr>
                      <w:rFonts w:hint="eastAsia"/>
                    </w:rPr>
                    <w:t>m</w:t>
                  </w:r>
                  <w:r>
                    <w:rPr>
                      <w:rFonts w:hint="eastAsia"/>
                      <w:vertAlign w:val="superscript"/>
                      <w:lang w:val="en-US" w:eastAsia="zh-CN"/>
                    </w:rPr>
                    <w:t>2</w:t>
                  </w:r>
                </w:p>
              </w:tc>
              <w:tc>
                <w:tcPr>
                  <w:tcW w:w="703" w:type="dxa"/>
                  <w:tcBorders>
                    <w:tl2br w:val="nil"/>
                    <w:tr2bl w:val="nil"/>
                  </w:tcBorders>
                  <w:vAlign w:val="center"/>
                </w:tcPr>
                <w:p>
                  <w:pPr>
                    <w:jc w:val="center"/>
                    <w:rPr>
                      <w:color w:val="auto"/>
                      <w:szCs w:val="21"/>
                    </w:rPr>
                  </w:pPr>
                  <w:r>
                    <w:rPr>
                      <w:rFonts w:hint="eastAsia"/>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continue"/>
                  <w:tcBorders>
                    <w:tl2br w:val="nil"/>
                    <w:tr2bl w:val="nil"/>
                  </w:tcBorders>
                  <w:vAlign w:val="center"/>
                </w:tcPr>
                <w:p>
                  <w:pPr>
                    <w:pStyle w:val="63"/>
                    <w:rPr>
                      <w:color w:val="auto"/>
                      <w:highlight w:val="none"/>
                    </w:rPr>
                  </w:pPr>
                </w:p>
              </w:tc>
              <w:tc>
                <w:tcPr>
                  <w:tcW w:w="1054" w:type="dxa"/>
                  <w:tcBorders>
                    <w:tl2br w:val="nil"/>
                    <w:tr2bl w:val="nil"/>
                  </w:tcBorders>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成品库</w:t>
                  </w:r>
                </w:p>
              </w:tc>
              <w:tc>
                <w:tcPr>
                  <w:tcW w:w="6312" w:type="dxa"/>
                  <w:tcBorders>
                    <w:tl2br w:val="nil"/>
                    <w:tr2bl w:val="nil"/>
                  </w:tcBorders>
                  <w:vAlign w:val="center"/>
                </w:tcPr>
                <w:p>
                  <w:pPr>
                    <w:pStyle w:val="63"/>
                    <w:jc w:val="left"/>
                    <w:rPr>
                      <w:rFonts w:hint="default"/>
                      <w:color w:val="auto"/>
                      <w:szCs w:val="21"/>
                      <w:highlight w:val="none"/>
                      <w:lang w:val="en-US" w:eastAsia="zh-CN"/>
                    </w:rPr>
                  </w:pPr>
                  <w:r>
                    <w:rPr>
                      <w:rFonts w:hint="eastAsia"/>
                    </w:rPr>
                    <w:t>成品库位于车间</w:t>
                  </w:r>
                  <w:r>
                    <w:rPr>
                      <w:rFonts w:hint="eastAsia"/>
                      <w:lang w:val="en-US" w:eastAsia="zh-CN"/>
                    </w:rPr>
                    <w:t>地上一层</w:t>
                  </w:r>
                  <w:r>
                    <w:rPr>
                      <w:rFonts w:hint="eastAsia"/>
                    </w:rPr>
                    <w:t>的</w:t>
                  </w:r>
                  <w:r>
                    <w:rPr>
                      <w:rFonts w:hint="eastAsia"/>
                      <w:lang w:val="en-US" w:eastAsia="zh-CN"/>
                    </w:rPr>
                    <w:t>北</w:t>
                  </w:r>
                  <w:r>
                    <w:rPr>
                      <w:rFonts w:hint="eastAsia"/>
                    </w:rPr>
                    <w:t>侧</w:t>
                  </w:r>
                  <w:r>
                    <w:rPr>
                      <w:rFonts w:hint="eastAsia"/>
                      <w:lang w:eastAsia="zh-CN"/>
                    </w:rPr>
                    <w:t>，</w:t>
                  </w:r>
                  <w:r>
                    <w:rPr>
                      <w:rFonts w:hint="eastAsia"/>
                    </w:rPr>
                    <w:t>建筑面积</w:t>
                  </w:r>
                  <w:r>
                    <w:rPr>
                      <w:rFonts w:hint="eastAsia"/>
                      <w:lang w:val="en-US" w:eastAsia="zh-CN"/>
                    </w:rPr>
                    <w:t>100</w:t>
                  </w:r>
                  <w:r>
                    <w:rPr>
                      <w:rFonts w:hint="eastAsia"/>
                    </w:rPr>
                    <w:t>m</w:t>
                  </w:r>
                  <w:r>
                    <w:rPr>
                      <w:rFonts w:hint="eastAsia"/>
                      <w:vertAlign w:val="superscript"/>
                      <w:lang w:val="en-US" w:eastAsia="zh-CN"/>
                    </w:rPr>
                    <w:t>2</w:t>
                  </w:r>
                </w:p>
              </w:tc>
              <w:tc>
                <w:tcPr>
                  <w:tcW w:w="703" w:type="dxa"/>
                  <w:tcBorders>
                    <w:tl2br w:val="nil"/>
                    <w:tr2bl w:val="nil"/>
                  </w:tcBorders>
                  <w:vAlign w:val="center"/>
                </w:tcPr>
                <w:p>
                  <w:pPr>
                    <w:jc w:val="center"/>
                    <w:rPr>
                      <w:rFonts w:hint="eastAsia"/>
                      <w:color w:val="auto"/>
                      <w:szCs w:val="21"/>
                      <w:lang w:eastAsia="zh-CN"/>
                    </w:rPr>
                  </w:pPr>
                  <w:r>
                    <w:rPr>
                      <w:rFonts w:hint="eastAsia"/>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restart"/>
                  <w:tcBorders>
                    <w:tl2br w:val="nil"/>
                    <w:tr2bl w:val="nil"/>
                  </w:tcBorders>
                  <w:vAlign w:val="center"/>
                </w:tcPr>
                <w:p>
                  <w:pPr>
                    <w:pStyle w:val="63"/>
                    <w:rPr>
                      <w:color w:val="auto"/>
                    </w:rPr>
                  </w:pPr>
                  <w:r>
                    <w:rPr>
                      <w:color w:val="auto"/>
                    </w:rPr>
                    <w:t>公用</w:t>
                  </w:r>
                </w:p>
                <w:p>
                  <w:pPr>
                    <w:pStyle w:val="63"/>
                    <w:rPr>
                      <w:color w:val="auto"/>
                    </w:rPr>
                  </w:pPr>
                  <w:r>
                    <w:rPr>
                      <w:color w:val="auto"/>
                    </w:rPr>
                    <w:t>工程</w:t>
                  </w:r>
                </w:p>
              </w:tc>
              <w:tc>
                <w:tcPr>
                  <w:tcW w:w="1054" w:type="dxa"/>
                  <w:tcBorders>
                    <w:tl2br w:val="nil"/>
                    <w:tr2bl w:val="nil"/>
                  </w:tcBorders>
                  <w:vAlign w:val="center"/>
                </w:tcPr>
                <w:p>
                  <w:pPr>
                    <w:pStyle w:val="63"/>
                    <w:rPr>
                      <w:color w:val="auto"/>
                    </w:rPr>
                  </w:pPr>
                  <w:r>
                    <w:rPr>
                      <w:color w:val="auto"/>
                    </w:rPr>
                    <w:t>给水工程</w:t>
                  </w:r>
                </w:p>
              </w:tc>
              <w:tc>
                <w:tcPr>
                  <w:tcW w:w="6312" w:type="dxa"/>
                  <w:tcBorders>
                    <w:tl2br w:val="nil"/>
                    <w:tr2bl w:val="nil"/>
                  </w:tcBorders>
                  <w:vAlign w:val="center"/>
                </w:tcPr>
                <w:p>
                  <w:pPr>
                    <w:pStyle w:val="63"/>
                    <w:jc w:val="left"/>
                    <w:rPr>
                      <w:rFonts w:hint="default" w:eastAsia="宋体"/>
                      <w:color w:val="auto"/>
                      <w:lang w:val="en-US" w:eastAsia="zh-CN"/>
                    </w:rPr>
                  </w:pPr>
                  <w:r>
                    <w:rPr>
                      <w:color w:val="auto"/>
                    </w:rPr>
                    <w:t>项目生产用水</w:t>
                  </w:r>
                  <w:r>
                    <w:rPr>
                      <w:rFonts w:hint="eastAsia"/>
                      <w:color w:val="auto"/>
                    </w:rPr>
                    <w:t>、</w:t>
                  </w:r>
                  <w:r>
                    <w:rPr>
                      <w:color w:val="auto"/>
                    </w:rPr>
                    <w:t>生活用水</w:t>
                  </w:r>
                  <w:r>
                    <w:rPr>
                      <w:rFonts w:hint="eastAsia"/>
                      <w:color w:val="auto"/>
                    </w:rPr>
                    <w:t>由</w:t>
                  </w:r>
                  <w:r>
                    <w:rPr>
                      <w:rFonts w:hint="eastAsia"/>
                      <w:color w:val="auto"/>
                      <w:lang w:val="en-US" w:eastAsia="zh-CN"/>
                    </w:rPr>
                    <w:t>市政</w:t>
                  </w:r>
                  <w:r>
                    <w:rPr>
                      <w:rFonts w:hint="eastAsia"/>
                      <w:color w:val="auto"/>
                    </w:rPr>
                    <w:t>供</w:t>
                  </w:r>
                  <w:r>
                    <w:rPr>
                      <w:rFonts w:hint="eastAsia"/>
                      <w:color w:val="auto"/>
                      <w:highlight w:val="none"/>
                    </w:rPr>
                    <w:t>给</w:t>
                  </w:r>
                  <w:r>
                    <w:rPr>
                      <w:rFonts w:hint="eastAsia"/>
                      <w:color w:val="auto"/>
                      <w:highlight w:val="none"/>
                      <w:lang w:eastAsia="zh-CN"/>
                    </w:rPr>
                    <w:t>，</w:t>
                  </w:r>
                  <w:r>
                    <w:rPr>
                      <w:rFonts w:hint="eastAsia"/>
                      <w:color w:val="auto"/>
                      <w:highlight w:val="none"/>
                      <w:lang w:val="en-US" w:eastAsia="zh-CN"/>
                    </w:rPr>
                    <w:t>生产工序用水经纯水制备系统进行制备。</w:t>
                  </w:r>
                </w:p>
              </w:tc>
              <w:tc>
                <w:tcPr>
                  <w:tcW w:w="703" w:type="dxa"/>
                  <w:tcBorders>
                    <w:tl2br w:val="nil"/>
                    <w:tr2bl w:val="nil"/>
                  </w:tcBorders>
                  <w:vAlign w:val="center"/>
                </w:tcPr>
                <w:p>
                  <w:pPr>
                    <w:jc w:val="center"/>
                    <w:rPr>
                      <w:color w:val="auto"/>
                      <w:szCs w:val="21"/>
                    </w:rPr>
                  </w:pPr>
                  <w:r>
                    <w:rPr>
                      <w:rFonts w:hint="eastAsia"/>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68" w:type="dxa"/>
                  <w:vMerge w:val="continue"/>
                  <w:tcBorders>
                    <w:tl2br w:val="nil"/>
                    <w:tr2bl w:val="nil"/>
                  </w:tcBorders>
                  <w:vAlign w:val="center"/>
                </w:tcPr>
                <w:p>
                  <w:pPr>
                    <w:pStyle w:val="63"/>
                    <w:rPr>
                      <w:color w:val="auto"/>
                    </w:rPr>
                  </w:pPr>
                </w:p>
              </w:tc>
              <w:tc>
                <w:tcPr>
                  <w:tcW w:w="1054" w:type="dxa"/>
                  <w:tcBorders>
                    <w:tl2br w:val="nil"/>
                    <w:tr2bl w:val="nil"/>
                  </w:tcBorders>
                  <w:vAlign w:val="center"/>
                </w:tcPr>
                <w:p>
                  <w:pPr>
                    <w:pStyle w:val="63"/>
                    <w:rPr>
                      <w:color w:val="auto"/>
                      <w:highlight w:val="none"/>
                    </w:rPr>
                  </w:pPr>
                  <w:r>
                    <w:rPr>
                      <w:color w:val="auto"/>
                      <w:highlight w:val="none"/>
                    </w:rPr>
                    <w:t>排水工程</w:t>
                  </w:r>
                </w:p>
              </w:tc>
              <w:tc>
                <w:tcPr>
                  <w:tcW w:w="6312" w:type="dxa"/>
                  <w:tcBorders>
                    <w:tl2br w:val="nil"/>
                    <w:tr2bl w:val="nil"/>
                  </w:tcBorders>
                  <w:vAlign w:val="center"/>
                </w:tcPr>
                <w:p>
                  <w:pPr>
                    <w:pStyle w:val="63"/>
                    <w:jc w:val="left"/>
                    <w:rPr>
                      <w:rFonts w:hint="default"/>
                      <w:color w:val="auto"/>
                      <w:highlight w:val="none"/>
                      <w:lang w:val="en-US"/>
                    </w:rPr>
                  </w:pPr>
                  <w:r>
                    <w:rPr>
                      <w:rFonts w:hint="eastAsia"/>
                      <w:color w:val="auto"/>
                      <w:highlight w:val="none"/>
                      <w:lang w:val="en-US" w:eastAsia="zh-CN"/>
                    </w:rPr>
                    <w:t>设置一座污水处理站，处理工艺为</w:t>
                  </w:r>
                  <w:r>
                    <w:rPr>
                      <w:rFonts w:hint="eastAsia"/>
                      <w:lang w:val="en-US" w:eastAsia="zh-CN"/>
                    </w:rPr>
                    <w:t>处理工艺为格栅+收集池+调节池+PAC+PAM+沉淀池</w:t>
                  </w:r>
                  <w:r>
                    <w:rPr>
                      <w:rFonts w:hint="eastAsia"/>
                      <w:color w:val="auto"/>
                      <w:highlight w:val="none"/>
                      <w:lang w:val="en-US" w:eastAsia="zh-CN"/>
                    </w:rPr>
                    <w:t>，处理能力为10t/d，</w:t>
                  </w:r>
                  <w:r>
                    <w:rPr>
                      <w:rFonts w:hint="eastAsia"/>
                      <w:color w:val="auto"/>
                      <w:highlight w:val="none"/>
                    </w:rPr>
                    <w:t>本项目</w:t>
                  </w:r>
                  <w:r>
                    <w:rPr>
                      <w:rFonts w:hint="eastAsia"/>
                      <w:color w:val="auto"/>
                      <w:highlight w:val="none"/>
                      <w:lang w:val="en-US" w:eastAsia="zh-CN"/>
                    </w:rPr>
                    <w:t>生产废水处理后与生活污水经化粪池处理后拉运至嘉荫县</w:t>
                  </w:r>
                  <w:r>
                    <w:rPr>
                      <w:rFonts w:hint="eastAsia"/>
                      <w:bCs/>
                      <w:color w:val="auto"/>
                      <w:sz w:val="21"/>
                      <w:szCs w:val="21"/>
                      <w:highlight w:val="none"/>
                      <w:lang w:eastAsia="zh-CN"/>
                    </w:rPr>
                    <w:t>污水处理厂</w:t>
                  </w:r>
                  <w:r>
                    <w:rPr>
                      <w:rFonts w:hint="eastAsia" w:ascii="Times New Roman" w:hAnsi="Times New Roman" w:eastAsia="宋体" w:cs="Times New Roman"/>
                      <w:color w:val="auto"/>
                      <w:highlight w:val="none"/>
                      <w:lang w:val="en-US" w:eastAsia="zh-CN"/>
                    </w:rPr>
                    <w:t>。</w:t>
                  </w:r>
                </w:p>
              </w:tc>
              <w:tc>
                <w:tcPr>
                  <w:tcW w:w="703" w:type="dxa"/>
                  <w:tcBorders>
                    <w:tl2br w:val="nil"/>
                    <w:tr2bl w:val="nil"/>
                  </w:tcBorders>
                  <w:vAlign w:val="center"/>
                </w:tcPr>
                <w:p>
                  <w:pPr>
                    <w:jc w:val="center"/>
                    <w:rPr>
                      <w:color w:val="auto"/>
                      <w:szCs w:val="21"/>
                    </w:rPr>
                  </w:pPr>
                  <w:r>
                    <w:rPr>
                      <w:rFonts w:hint="eastAsia"/>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continue"/>
                  <w:tcBorders>
                    <w:tl2br w:val="nil"/>
                    <w:tr2bl w:val="nil"/>
                  </w:tcBorders>
                  <w:vAlign w:val="center"/>
                </w:tcPr>
                <w:p>
                  <w:pPr>
                    <w:pStyle w:val="63"/>
                    <w:rPr>
                      <w:color w:val="auto"/>
                    </w:rPr>
                  </w:pPr>
                </w:p>
              </w:tc>
              <w:tc>
                <w:tcPr>
                  <w:tcW w:w="1054" w:type="dxa"/>
                  <w:tcBorders>
                    <w:tl2br w:val="nil"/>
                    <w:tr2bl w:val="nil"/>
                  </w:tcBorders>
                  <w:vAlign w:val="center"/>
                </w:tcPr>
                <w:p>
                  <w:pPr>
                    <w:pStyle w:val="63"/>
                    <w:rPr>
                      <w:color w:val="auto"/>
                    </w:rPr>
                  </w:pPr>
                  <w:r>
                    <w:rPr>
                      <w:color w:val="auto"/>
                    </w:rPr>
                    <w:t>供电工程</w:t>
                  </w:r>
                </w:p>
              </w:tc>
              <w:tc>
                <w:tcPr>
                  <w:tcW w:w="6312" w:type="dxa"/>
                  <w:tcBorders>
                    <w:tl2br w:val="nil"/>
                    <w:tr2bl w:val="nil"/>
                  </w:tcBorders>
                  <w:vAlign w:val="center"/>
                </w:tcPr>
                <w:p>
                  <w:pPr>
                    <w:pStyle w:val="63"/>
                    <w:jc w:val="left"/>
                    <w:rPr>
                      <w:color w:val="auto"/>
                    </w:rPr>
                  </w:pPr>
                  <w:r>
                    <w:rPr>
                      <w:color w:val="auto"/>
                    </w:rPr>
                    <w:t>由市政电网提供</w:t>
                  </w:r>
                </w:p>
              </w:tc>
              <w:tc>
                <w:tcPr>
                  <w:tcW w:w="703" w:type="dxa"/>
                  <w:tcBorders>
                    <w:tl2br w:val="nil"/>
                    <w:tr2bl w:val="nil"/>
                  </w:tcBorders>
                  <w:vAlign w:val="center"/>
                </w:tcPr>
                <w:p>
                  <w:pPr>
                    <w:jc w:val="center"/>
                    <w:rPr>
                      <w:rFonts w:hint="eastAsia" w:eastAsia="宋体"/>
                      <w:color w:val="auto"/>
                      <w:szCs w:val="21"/>
                      <w:lang w:eastAsia="zh-CN"/>
                    </w:rPr>
                  </w:pPr>
                  <w:r>
                    <w:rPr>
                      <w:rFonts w:hint="eastAsia"/>
                      <w:color w:val="auto"/>
                      <w:szCs w:val="21"/>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7" w:hRule="atLeast"/>
                <w:jc w:val="center"/>
              </w:trPr>
              <w:tc>
                <w:tcPr>
                  <w:tcW w:w="668" w:type="dxa"/>
                  <w:vMerge w:val="continue"/>
                  <w:tcBorders>
                    <w:tl2br w:val="nil"/>
                    <w:tr2bl w:val="nil"/>
                  </w:tcBorders>
                  <w:vAlign w:val="center"/>
                </w:tcPr>
                <w:p>
                  <w:pPr>
                    <w:pStyle w:val="63"/>
                    <w:rPr>
                      <w:color w:val="auto"/>
                    </w:rPr>
                  </w:pPr>
                </w:p>
              </w:tc>
              <w:tc>
                <w:tcPr>
                  <w:tcW w:w="1054" w:type="dxa"/>
                  <w:tcBorders>
                    <w:tl2br w:val="nil"/>
                    <w:tr2bl w:val="nil"/>
                  </w:tcBorders>
                  <w:vAlign w:val="center"/>
                </w:tcPr>
                <w:p>
                  <w:pPr>
                    <w:pStyle w:val="63"/>
                    <w:rPr>
                      <w:color w:val="auto"/>
                    </w:rPr>
                  </w:pPr>
                  <w:r>
                    <w:rPr>
                      <w:color w:val="auto"/>
                    </w:rPr>
                    <w:t>供热工程</w:t>
                  </w:r>
                </w:p>
              </w:tc>
              <w:tc>
                <w:tcPr>
                  <w:tcW w:w="6312" w:type="dxa"/>
                  <w:tcBorders>
                    <w:tl2br w:val="nil"/>
                    <w:tr2bl w:val="nil"/>
                  </w:tcBorders>
                  <w:vAlign w:val="center"/>
                </w:tcPr>
                <w:p>
                  <w:pPr>
                    <w:pStyle w:val="63"/>
                    <w:jc w:val="left"/>
                    <w:rPr>
                      <w:rFonts w:hint="default" w:eastAsia="宋体"/>
                      <w:color w:val="auto"/>
                      <w:lang w:val="en-US" w:eastAsia="zh-CN"/>
                    </w:rPr>
                  </w:pPr>
                  <w:r>
                    <w:rPr>
                      <w:rFonts w:hint="eastAsia"/>
                      <w:color w:val="auto"/>
                      <w:kern w:val="2"/>
                      <w:sz w:val="21"/>
                      <w:szCs w:val="24"/>
                      <w:highlight w:val="none"/>
                      <w:lang w:val="en-US" w:eastAsia="zh-CN" w:bidi="ar-SA"/>
                    </w:rPr>
                    <w:t>本项目采用电供热</w:t>
                  </w:r>
                </w:p>
              </w:tc>
              <w:tc>
                <w:tcPr>
                  <w:tcW w:w="703" w:type="dxa"/>
                  <w:tcBorders>
                    <w:tl2br w:val="nil"/>
                    <w:tr2bl w:val="nil"/>
                  </w:tcBorders>
                  <w:vAlign w:val="center"/>
                </w:tcPr>
                <w:p>
                  <w:pPr>
                    <w:jc w:val="center"/>
                    <w:rPr>
                      <w:color w:val="auto"/>
                      <w:szCs w:val="21"/>
                    </w:rPr>
                  </w:pPr>
                  <w:r>
                    <w:rPr>
                      <w:rFonts w:hint="eastAsia"/>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restart"/>
                  <w:tcBorders>
                    <w:tl2br w:val="nil"/>
                    <w:tr2bl w:val="nil"/>
                  </w:tcBorders>
                  <w:vAlign w:val="center"/>
                </w:tcPr>
                <w:p>
                  <w:pPr>
                    <w:pStyle w:val="63"/>
                    <w:rPr>
                      <w:color w:val="auto"/>
                      <w:highlight w:val="none"/>
                    </w:rPr>
                  </w:pPr>
                  <w:r>
                    <w:rPr>
                      <w:color w:val="auto"/>
                      <w:highlight w:val="none"/>
                    </w:rPr>
                    <w:t>环保</w:t>
                  </w:r>
                </w:p>
                <w:p>
                  <w:pPr>
                    <w:pStyle w:val="63"/>
                    <w:rPr>
                      <w:color w:val="auto"/>
                      <w:highlight w:val="none"/>
                    </w:rPr>
                  </w:pPr>
                  <w:r>
                    <w:rPr>
                      <w:color w:val="auto"/>
                      <w:highlight w:val="none"/>
                    </w:rPr>
                    <w:t>工程</w:t>
                  </w:r>
                </w:p>
              </w:tc>
              <w:tc>
                <w:tcPr>
                  <w:tcW w:w="1054" w:type="dxa"/>
                  <w:tcBorders>
                    <w:tl2br w:val="nil"/>
                    <w:tr2bl w:val="nil"/>
                  </w:tcBorders>
                  <w:vAlign w:val="center"/>
                </w:tcPr>
                <w:p>
                  <w:pPr>
                    <w:pStyle w:val="63"/>
                    <w:rPr>
                      <w:color w:val="auto"/>
                      <w:highlight w:val="none"/>
                    </w:rPr>
                  </w:pPr>
                  <w:r>
                    <w:rPr>
                      <w:color w:val="auto"/>
                      <w:highlight w:val="none"/>
                    </w:rPr>
                    <w:t>污水防治措施</w:t>
                  </w:r>
                </w:p>
              </w:tc>
              <w:tc>
                <w:tcPr>
                  <w:tcW w:w="6312" w:type="dxa"/>
                  <w:tcBorders>
                    <w:tl2br w:val="nil"/>
                    <w:tr2bl w:val="nil"/>
                  </w:tcBorders>
                  <w:vAlign w:val="center"/>
                </w:tcPr>
                <w:p>
                  <w:pPr>
                    <w:pStyle w:val="63"/>
                    <w:jc w:val="left"/>
                    <w:rPr>
                      <w:color w:val="auto"/>
                      <w:highlight w:val="yellow"/>
                    </w:rPr>
                  </w:pPr>
                  <w:r>
                    <w:rPr>
                      <w:rFonts w:hint="eastAsia"/>
                      <w:color w:val="auto"/>
                      <w:highlight w:val="none"/>
                      <w:lang w:val="en-US" w:eastAsia="zh-CN"/>
                    </w:rPr>
                    <w:t>设置一座污水处理站，处理工艺为</w:t>
                  </w:r>
                  <w:r>
                    <w:rPr>
                      <w:rFonts w:hint="eastAsia"/>
                      <w:lang w:val="en-US" w:eastAsia="zh-CN"/>
                    </w:rPr>
                    <w:t>处理工艺为格栅+收集池+调节池+PAC+PAM+沉淀池</w:t>
                  </w:r>
                  <w:r>
                    <w:rPr>
                      <w:rFonts w:hint="eastAsia"/>
                      <w:color w:val="auto"/>
                      <w:highlight w:val="none"/>
                      <w:lang w:val="en-US" w:eastAsia="zh-CN"/>
                    </w:rPr>
                    <w:t>，处理能力为10t/d，</w:t>
                  </w:r>
                  <w:r>
                    <w:rPr>
                      <w:rFonts w:hint="eastAsia"/>
                      <w:color w:val="auto"/>
                      <w:highlight w:val="none"/>
                    </w:rPr>
                    <w:t>本项目</w:t>
                  </w:r>
                  <w:r>
                    <w:rPr>
                      <w:rFonts w:hint="eastAsia"/>
                      <w:color w:val="auto"/>
                      <w:highlight w:val="none"/>
                      <w:lang w:val="en-US" w:eastAsia="zh-CN"/>
                    </w:rPr>
                    <w:t>生产废水处理后与生活污水经化粪池处理后拉运至嘉荫县</w:t>
                  </w:r>
                  <w:r>
                    <w:rPr>
                      <w:rFonts w:hint="eastAsia"/>
                      <w:bCs/>
                      <w:color w:val="auto"/>
                      <w:sz w:val="21"/>
                      <w:szCs w:val="21"/>
                      <w:highlight w:val="none"/>
                      <w:lang w:eastAsia="zh-CN"/>
                    </w:rPr>
                    <w:t>污水处理厂</w:t>
                  </w:r>
                  <w:r>
                    <w:rPr>
                      <w:rFonts w:hint="eastAsia" w:ascii="Times New Roman" w:hAnsi="Times New Roman" w:eastAsia="宋体" w:cs="Times New Roman"/>
                      <w:color w:val="auto"/>
                      <w:highlight w:val="none"/>
                      <w:lang w:val="en-US" w:eastAsia="zh-CN"/>
                    </w:rPr>
                    <w:t>。</w:t>
                  </w:r>
                </w:p>
              </w:tc>
              <w:tc>
                <w:tcPr>
                  <w:tcW w:w="703" w:type="dxa"/>
                  <w:tcBorders>
                    <w:tl2br w:val="nil"/>
                    <w:tr2bl w:val="nil"/>
                  </w:tcBorders>
                  <w:vAlign w:val="center"/>
                </w:tcPr>
                <w:p>
                  <w:pPr>
                    <w:jc w:val="center"/>
                    <w:rPr>
                      <w:color w:val="auto"/>
                      <w:szCs w:val="21"/>
                    </w:rPr>
                  </w:pPr>
                  <w:r>
                    <w:rPr>
                      <w:rFonts w:hint="eastAsia"/>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vMerge w:val="continue"/>
                  <w:tcBorders>
                    <w:tl2br w:val="nil"/>
                    <w:tr2bl w:val="nil"/>
                  </w:tcBorders>
                  <w:vAlign w:val="center"/>
                </w:tcPr>
                <w:p>
                  <w:pPr>
                    <w:pStyle w:val="63"/>
                    <w:rPr>
                      <w:color w:val="auto"/>
                    </w:rPr>
                  </w:pPr>
                </w:p>
              </w:tc>
              <w:tc>
                <w:tcPr>
                  <w:tcW w:w="1054" w:type="dxa"/>
                  <w:tcBorders>
                    <w:tl2br w:val="nil"/>
                    <w:tr2bl w:val="nil"/>
                  </w:tcBorders>
                  <w:vAlign w:val="center"/>
                </w:tcPr>
                <w:p>
                  <w:pPr>
                    <w:pStyle w:val="63"/>
                    <w:rPr>
                      <w:color w:val="auto"/>
                      <w:highlight w:val="none"/>
                    </w:rPr>
                  </w:pPr>
                  <w:r>
                    <w:rPr>
                      <w:color w:val="auto"/>
                      <w:highlight w:val="none"/>
                    </w:rPr>
                    <w:t>固体废物</w:t>
                  </w:r>
                  <w:r>
                    <w:rPr>
                      <w:rFonts w:hint="eastAsia"/>
                      <w:color w:val="auto"/>
                      <w:highlight w:val="none"/>
                    </w:rPr>
                    <w:t>防治措施</w:t>
                  </w:r>
                </w:p>
              </w:tc>
              <w:tc>
                <w:tcPr>
                  <w:tcW w:w="6312" w:type="dxa"/>
                  <w:tcBorders>
                    <w:tl2br w:val="nil"/>
                    <w:tr2bl w:val="nil"/>
                  </w:tcBorders>
                  <w:vAlign w:val="center"/>
                </w:tcPr>
                <w:p>
                  <w:pPr>
                    <w:widowControl/>
                    <w:jc w:val="left"/>
                    <w:rPr>
                      <w:rFonts w:hint="default" w:eastAsia="宋体"/>
                      <w:b/>
                      <w:bCs/>
                      <w:color w:val="auto"/>
                      <w:szCs w:val="21"/>
                      <w:highlight w:val="none"/>
                      <w:lang w:val="en-US" w:eastAsia="zh-CN"/>
                    </w:rPr>
                  </w:pPr>
                  <w:r>
                    <w:rPr>
                      <w:rFonts w:hint="eastAsia"/>
                      <w:color w:val="auto"/>
                      <w:kern w:val="0"/>
                      <w:sz w:val="21"/>
                      <w:szCs w:val="21"/>
                      <w:highlight w:val="none"/>
                      <w:lang w:bidi="ar"/>
                    </w:rPr>
                    <w:t>废弃包装</w:t>
                  </w:r>
                  <w:r>
                    <w:rPr>
                      <w:rFonts w:hint="eastAsia"/>
                      <w:color w:val="auto"/>
                      <w:kern w:val="0"/>
                      <w:sz w:val="21"/>
                      <w:szCs w:val="21"/>
                      <w:highlight w:val="none"/>
                      <w:lang w:eastAsia="zh-CN" w:bidi="ar"/>
                    </w:rPr>
                    <w:t>、</w:t>
                  </w:r>
                  <w:r>
                    <w:rPr>
                      <w:rFonts w:hint="eastAsia"/>
                      <w:color w:val="auto"/>
                      <w:kern w:val="0"/>
                      <w:sz w:val="21"/>
                      <w:szCs w:val="21"/>
                      <w:highlight w:val="none"/>
                      <w:lang w:val="en-US" w:eastAsia="zh-CN" w:bidi="ar"/>
                    </w:rPr>
                    <w:t>滤渣</w:t>
                  </w:r>
                  <w:r>
                    <w:rPr>
                      <w:rFonts w:hint="eastAsia"/>
                      <w:color w:val="auto"/>
                      <w:kern w:val="0"/>
                      <w:sz w:val="21"/>
                      <w:szCs w:val="21"/>
                      <w:highlight w:val="none"/>
                      <w:lang w:bidi="ar"/>
                    </w:rPr>
                    <w:t>统一收</w:t>
                  </w:r>
                  <w:r>
                    <w:rPr>
                      <w:rFonts w:hint="eastAsia"/>
                      <w:color w:val="auto"/>
                      <w:kern w:val="0"/>
                      <w:szCs w:val="21"/>
                      <w:highlight w:val="none"/>
                      <w:lang w:bidi="ar"/>
                    </w:rPr>
                    <w:t>集，</w:t>
                  </w:r>
                  <w:r>
                    <w:rPr>
                      <w:color w:val="auto"/>
                      <w:kern w:val="0"/>
                      <w:szCs w:val="21"/>
                      <w:highlight w:val="none"/>
                      <w:lang w:bidi="ar"/>
                    </w:rPr>
                    <w:t>外售</w:t>
                  </w:r>
                  <w:r>
                    <w:rPr>
                      <w:rFonts w:hint="eastAsia"/>
                      <w:color w:val="auto"/>
                      <w:kern w:val="0"/>
                      <w:szCs w:val="21"/>
                      <w:highlight w:val="none"/>
                      <w:lang w:bidi="ar"/>
                    </w:rPr>
                    <w:t>综合利用</w:t>
                  </w:r>
                  <w:r>
                    <w:rPr>
                      <w:rFonts w:hint="eastAsia"/>
                      <w:color w:val="auto"/>
                      <w:kern w:val="0"/>
                      <w:szCs w:val="21"/>
                      <w:highlight w:val="none"/>
                      <w:lang w:eastAsia="zh-CN" w:bidi="ar"/>
                    </w:rPr>
                    <w:t>；</w:t>
                  </w:r>
                  <w:r>
                    <w:rPr>
                      <w:color w:val="auto"/>
                      <w:kern w:val="0"/>
                      <w:sz w:val="21"/>
                      <w:szCs w:val="21"/>
                      <w:highlight w:val="none"/>
                      <w:lang w:bidi="ar"/>
                    </w:rPr>
                    <w:t>生活垃圾</w:t>
                  </w:r>
                  <w:r>
                    <w:rPr>
                      <w:rFonts w:hint="eastAsia"/>
                      <w:color w:val="auto"/>
                      <w:sz w:val="21"/>
                      <w:szCs w:val="21"/>
                      <w:highlight w:val="none"/>
                      <w:lang w:val="en-US" w:eastAsia="zh-CN"/>
                    </w:rPr>
                    <w:t>统一收集，</w:t>
                  </w:r>
                  <w:r>
                    <w:rPr>
                      <w:rFonts w:hint="eastAsia"/>
                      <w:bCs/>
                      <w:color w:val="auto"/>
                      <w:sz w:val="21"/>
                      <w:szCs w:val="21"/>
                      <w:highlight w:val="none"/>
                      <w:lang w:eastAsia="zh-CN"/>
                    </w:rPr>
                    <w:t>由环卫部门处置</w:t>
                  </w:r>
                  <w:r>
                    <w:rPr>
                      <w:rFonts w:hint="eastAsia"/>
                      <w:color w:val="auto"/>
                      <w:kern w:val="0"/>
                      <w:sz w:val="21"/>
                      <w:szCs w:val="21"/>
                      <w:highlight w:val="none"/>
                      <w:lang w:eastAsia="zh-CN" w:bidi="ar"/>
                    </w:rPr>
                    <w:t>；</w:t>
                  </w:r>
                  <w:r>
                    <w:rPr>
                      <w:rFonts w:hint="eastAsia"/>
                      <w:color w:val="auto"/>
                      <w:kern w:val="0"/>
                      <w:sz w:val="21"/>
                      <w:szCs w:val="21"/>
                      <w:highlight w:val="none"/>
                      <w:lang w:bidi="ar"/>
                    </w:rPr>
                    <w:t>污泥</w:t>
                  </w:r>
                  <w:r>
                    <w:rPr>
                      <w:color w:val="auto"/>
                      <w:kern w:val="0"/>
                      <w:sz w:val="21"/>
                      <w:szCs w:val="21"/>
                      <w:highlight w:val="none"/>
                      <w:lang w:bidi="ar"/>
                    </w:rPr>
                    <w:t>集中收集，</w:t>
                  </w:r>
                  <w:r>
                    <w:rPr>
                      <w:rFonts w:hint="eastAsia"/>
                      <w:bCs/>
                      <w:color w:val="auto"/>
                      <w:sz w:val="21"/>
                      <w:szCs w:val="21"/>
                      <w:highlight w:val="none"/>
                      <w:lang w:val="en-US" w:eastAsia="zh-CN"/>
                    </w:rPr>
                    <w:t>定期送往垃圾填埋场处理</w:t>
                  </w:r>
                  <w:r>
                    <w:rPr>
                      <w:color w:val="auto"/>
                      <w:kern w:val="0"/>
                      <w:sz w:val="21"/>
                      <w:szCs w:val="21"/>
                      <w:highlight w:val="none"/>
                      <w:lang w:bidi="ar"/>
                    </w:rPr>
                    <w:t>；</w:t>
                  </w:r>
                  <w:r>
                    <w:rPr>
                      <w:rFonts w:hint="eastAsia"/>
                      <w:color w:val="auto"/>
                      <w:kern w:val="0"/>
                      <w:sz w:val="21"/>
                      <w:szCs w:val="21"/>
                      <w:highlight w:val="none"/>
                      <w:lang w:eastAsia="zh-CN" w:bidi="ar"/>
                    </w:rPr>
                    <w:t>废活性炭</w:t>
                  </w:r>
                  <w:r>
                    <w:rPr>
                      <w:rFonts w:hint="eastAsia"/>
                      <w:color w:val="auto"/>
                      <w:kern w:val="0"/>
                      <w:sz w:val="21"/>
                      <w:szCs w:val="21"/>
                      <w:highlight w:val="none"/>
                      <w:lang w:val="en-US" w:eastAsia="zh-CN" w:bidi="ar"/>
                    </w:rPr>
                    <w:t>更换后由厂家回收处置</w:t>
                  </w:r>
                  <w:r>
                    <w:rPr>
                      <w:rFonts w:hint="eastAsia"/>
                      <w:color w:val="auto"/>
                      <w:kern w:val="0"/>
                      <w:sz w:val="21"/>
                      <w:szCs w:val="21"/>
                      <w:highlight w:val="none"/>
                      <w:lang w:eastAsia="zh-CN" w:bidi="ar"/>
                    </w:rPr>
                    <w:t>；</w:t>
                  </w:r>
                </w:p>
              </w:tc>
              <w:tc>
                <w:tcPr>
                  <w:tcW w:w="703" w:type="dxa"/>
                  <w:tcBorders>
                    <w:tl2br w:val="nil"/>
                    <w:tr2bl w:val="nil"/>
                  </w:tcBorders>
                  <w:vAlign w:val="center"/>
                </w:tcPr>
                <w:p>
                  <w:pPr>
                    <w:pStyle w:val="63"/>
                    <w:rPr>
                      <w:rFonts w:hint="eastAsia" w:eastAsia="宋体"/>
                      <w:color w:val="auto"/>
                      <w:szCs w:val="21"/>
                      <w:lang w:eastAsia="zh-CN"/>
                    </w:rPr>
                  </w:pPr>
                  <w:r>
                    <w:rPr>
                      <w:rFonts w:hint="eastAsia"/>
                      <w:color w:val="auto"/>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68" w:type="dxa"/>
                  <w:vMerge w:val="continue"/>
                  <w:tcBorders>
                    <w:tl2br w:val="nil"/>
                    <w:tr2bl w:val="nil"/>
                  </w:tcBorders>
                  <w:vAlign w:val="center"/>
                </w:tcPr>
                <w:p>
                  <w:pPr>
                    <w:pStyle w:val="63"/>
                    <w:rPr>
                      <w:color w:val="auto"/>
                    </w:rPr>
                  </w:pPr>
                </w:p>
              </w:tc>
              <w:tc>
                <w:tcPr>
                  <w:tcW w:w="1054" w:type="dxa"/>
                  <w:tcBorders>
                    <w:tl2br w:val="nil"/>
                    <w:tr2bl w:val="nil"/>
                  </w:tcBorders>
                  <w:vAlign w:val="center"/>
                </w:tcPr>
                <w:p>
                  <w:pPr>
                    <w:pStyle w:val="63"/>
                    <w:rPr>
                      <w:color w:val="auto"/>
                      <w:highlight w:val="none"/>
                    </w:rPr>
                  </w:pPr>
                  <w:r>
                    <w:rPr>
                      <w:rFonts w:hint="eastAsia"/>
                      <w:color w:val="auto"/>
                      <w:highlight w:val="none"/>
                    </w:rPr>
                    <w:t>废气防治措施</w:t>
                  </w:r>
                </w:p>
              </w:tc>
              <w:tc>
                <w:tcPr>
                  <w:tcW w:w="6312" w:type="dxa"/>
                  <w:tcBorders>
                    <w:tl2br w:val="nil"/>
                    <w:tr2bl w:val="nil"/>
                  </w:tcBorders>
                  <w:vAlign w:val="center"/>
                </w:tcPr>
                <w:p>
                  <w:pPr>
                    <w:widowControl/>
                    <w:jc w:val="left"/>
                    <w:rPr>
                      <w:rFonts w:hint="default" w:eastAsia="宋体"/>
                      <w:color w:val="auto"/>
                      <w:szCs w:val="21"/>
                      <w:highlight w:val="none"/>
                      <w:lang w:val="en-US" w:eastAsia="zh-CN"/>
                    </w:rPr>
                  </w:pPr>
                  <w:r>
                    <w:rPr>
                      <w:rFonts w:hint="eastAsia"/>
                      <w:color w:val="auto"/>
                      <w:szCs w:val="21"/>
                      <w:highlight w:val="none"/>
                    </w:rPr>
                    <w:t>污水处理设施各池体进行全封闭，产生的恶臭气体经风机集气活性炭吸附后经15m高排气筒排放。</w:t>
                  </w:r>
                </w:p>
              </w:tc>
              <w:tc>
                <w:tcPr>
                  <w:tcW w:w="703" w:type="dxa"/>
                  <w:tcBorders>
                    <w:tl2br w:val="nil"/>
                    <w:tr2bl w:val="nil"/>
                  </w:tcBorders>
                  <w:vAlign w:val="center"/>
                </w:tcPr>
                <w:p>
                  <w:pPr>
                    <w:pStyle w:val="63"/>
                    <w:rPr>
                      <w:color w:val="auto"/>
                      <w:szCs w:val="21"/>
                    </w:rPr>
                  </w:pPr>
                  <w:r>
                    <w:rPr>
                      <w:rFonts w:hint="eastAsia"/>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68" w:type="dxa"/>
                  <w:vMerge w:val="continue"/>
                  <w:tcBorders>
                    <w:tl2br w:val="nil"/>
                    <w:tr2bl w:val="nil"/>
                  </w:tcBorders>
                  <w:vAlign w:val="center"/>
                </w:tcPr>
                <w:p>
                  <w:pPr>
                    <w:pStyle w:val="63"/>
                    <w:rPr>
                      <w:color w:val="auto"/>
                    </w:rPr>
                  </w:pPr>
                </w:p>
              </w:tc>
              <w:tc>
                <w:tcPr>
                  <w:tcW w:w="1054" w:type="dxa"/>
                  <w:tcBorders>
                    <w:tl2br w:val="nil"/>
                    <w:tr2bl w:val="nil"/>
                  </w:tcBorders>
                  <w:vAlign w:val="center"/>
                </w:tcPr>
                <w:p>
                  <w:pPr>
                    <w:pStyle w:val="63"/>
                    <w:rPr>
                      <w:color w:val="auto"/>
                      <w:highlight w:val="none"/>
                    </w:rPr>
                  </w:pPr>
                  <w:r>
                    <w:rPr>
                      <w:color w:val="auto"/>
                      <w:highlight w:val="none"/>
                    </w:rPr>
                    <w:t>噪声防治措施</w:t>
                  </w:r>
                </w:p>
              </w:tc>
              <w:tc>
                <w:tcPr>
                  <w:tcW w:w="6312" w:type="dxa"/>
                  <w:tcBorders>
                    <w:tl2br w:val="nil"/>
                    <w:tr2bl w:val="nil"/>
                  </w:tcBorders>
                  <w:vAlign w:val="center"/>
                </w:tcPr>
                <w:p>
                  <w:pPr>
                    <w:widowControl/>
                    <w:jc w:val="left"/>
                    <w:rPr>
                      <w:color w:val="auto"/>
                      <w:szCs w:val="21"/>
                      <w:highlight w:val="none"/>
                    </w:rPr>
                  </w:pPr>
                  <w:r>
                    <w:rPr>
                      <w:color w:val="auto"/>
                      <w:szCs w:val="21"/>
                      <w:highlight w:val="none"/>
                    </w:rPr>
                    <w:t>采用减振、吸声及隔声设施</w:t>
                  </w:r>
                </w:p>
              </w:tc>
              <w:tc>
                <w:tcPr>
                  <w:tcW w:w="703" w:type="dxa"/>
                  <w:tcBorders>
                    <w:tl2br w:val="nil"/>
                    <w:tr2bl w:val="nil"/>
                  </w:tcBorders>
                  <w:vAlign w:val="center"/>
                </w:tcPr>
                <w:p>
                  <w:pPr>
                    <w:pStyle w:val="63"/>
                    <w:rPr>
                      <w:rFonts w:hint="eastAsia" w:eastAsia="宋体"/>
                      <w:color w:val="auto"/>
                      <w:szCs w:val="21"/>
                      <w:lang w:eastAsia="zh-CN"/>
                    </w:rPr>
                  </w:pPr>
                  <w:r>
                    <w:rPr>
                      <w:rFonts w:hint="eastAsia"/>
                      <w:color w:val="auto"/>
                      <w:szCs w:val="21"/>
                      <w:lang w:eastAsia="zh-CN"/>
                    </w:rPr>
                    <w:t>新建</w:t>
                  </w:r>
                </w:p>
              </w:tc>
            </w:tr>
          </w:tbl>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color w:val="auto"/>
                <w:sz w:val="24"/>
              </w:rPr>
            </w:pPr>
            <w:r>
              <w:rPr>
                <w:rFonts w:hint="eastAsia"/>
                <w:b/>
                <w:bCs/>
                <w:color w:val="auto"/>
                <w:sz w:val="24"/>
                <w:lang w:val="en-US" w:eastAsia="zh-CN"/>
              </w:rPr>
              <w:t>2</w:t>
            </w:r>
            <w:r>
              <w:rPr>
                <w:b/>
                <w:bCs/>
                <w:color w:val="auto"/>
                <w:sz w:val="24"/>
              </w:rPr>
              <w:t>、主要设备</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color w:val="auto"/>
                <w:sz w:val="24"/>
              </w:rPr>
            </w:pPr>
            <w:r>
              <w:rPr>
                <w:color w:val="auto"/>
                <w:sz w:val="24"/>
              </w:rPr>
              <w:t>本项目主要设备清单见下表2-2。</w:t>
            </w:r>
          </w:p>
          <w:p>
            <w:pPr>
              <w:adjustRightInd w:val="0"/>
              <w:snapToGrid w:val="0"/>
              <w:spacing w:line="240" w:lineRule="auto"/>
              <w:jc w:val="center"/>
              <w:rPr>
                <w:b/>
                <w:bCs/>
                <w:color w:val="auto"/>
                <w:sz w:val="21"/>
                <w:szCs w:val="21"/>
                <w:highlight w:val="none"/>
              </w:rPr>
            </w:pPr>
            <w:r>
              <w:rPr>
                <w:b/>
                <w:bCs/>
                <w:color w:val="auto"/>
                <w:sz w:val="21"/>
                <w:szCs w:val="21"/>
                <w:highlight w:val="none"/>
              </w:rPr>
              <w:t>表2-2设备明细一览表</w:t>
            </w:r>
          </w:p>
          <w:tbl>
            <w:tblPr>
              <w:tblStyle w:val="29"/>
              <w:tblW w:w="87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38"/>
              <w:gridCol w:w="4821"/>
              <w:gridCol w:w="1204"/>
              <w:gridCol w:w="12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1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序号</w:t>
                  </w:r>
                </w:p>
              </w:tc>
              <w:tc>
                <w:tcPr>
                  <w:tcW w:w="4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名称</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sz w:val="21"/>
                      <w:szCs w:val="21"/>
                      <w:u w:val="none"/>
                    </w:rPr>
                  </w:pPr>
                  <w:r>
                    <w:rPr>
                      <w:rStyle w:val="137"/>
                      <w:rFonts w:hint="default" w:ascii="Times New Roman" w:hAnsi="Times New Roman" w:eastAsia="宋体" w:cs="Times New Roman"/>
                      <w:b w:val="0"/>
                      <w:bCs w:val="0"/>
                      <w:sz w:val="21"/>
                      <w:szCs w:val="21"/>
                      <w:lang w:val="en-US" w:eastAsia="zh-CN" w:bidi="ar"/>
                    </w:rPr>
                    <w:t>单位</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sz w:val="21"/>
                      <w:szCs w:val="21"/>
                      <w:u w:val="none"/>
                    </w:rPr>
                  </w:pPr>
                  <w:r>
                    <w:rPr>
                      <w:rStyle w:val="137"/>
                      <w:rFonts w:hint="default" w:ascii="Times New Roman" w:hAnsi="Times New Roman" w:eastAsia="宋体" w:cs="Times New Roman"/>
                      <w:b w:val="0"/>
                      <w:bCs w:val="0"/>
                      <w:sz w:val="21"/>
                      <w:szCs w:val="21"/>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6"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1</w:t>
                  </w:r>
                </w:p>
              </w:tc>
              <w:tc>
                <w:tcPr>
                  <w:tcW w:w="4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溶蜜设施</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sz w:val="21"/>
                      <w:szCs w:val="21"/>
                      <w:u w:val="none"/>
                    </w:rPr>
                  </w:pPr>
                  <w:r>
                    <w:rPr>
                      <w:rStyle w:val="137"/>
                      <w:rFonts w:hint="default" w:ascii="Times New Roman" w:hAnsi="Times New Roman" w:eastAsia="宋体" w:cs="Times New Roman"/>
                      <w:b w:val="0"/>
                      <w:bCs w:val="0"/>
                      <w:sz w:val="21"/>
                      <w:szCs w:val="21"/>
                      <w:lang w:val="en-US" w:eastAsia="zh-CN" w:bidi="ar"/>
                    </w:rPr>
                    <w:t>台</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top"/>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9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2</w:t>
                  </w:r>
                </w:p>
              </w:tc>
              <w:tc>
                <w:tcPr>
                  <w:tcW w:w="4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投料槽</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sz w:val="21"/>
                      <w:szCs w:val="21"/>
                      <w:u w:val="none"/>
                    </w:rPr>
                  </w:pPr>
                  <w:r>
                    <w:rPr>
                      <w:rStyle w:val="137"/>
                      <w:rFonts w:hint="default" w:ascii="Times New Roman" w:hAnsi="Times New Roman" w:eastAsia="宋体" w:cs="Times New Roman"/>
                      <w:b w:val="0"/>
                      <w:bCs w:val="0"/>
                      <w:sz w:val="21"/>
                      <w:szCs w:val="21"/>
                      <w:lang w:val="en-US" w:eastAsia="zh-CN" w:bidi="ar"/>
                    </w:rPr>
                    <w:t>台</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top"/>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0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3</w:t>
                  </w:r>
                </w:p>
              </w:tc>
              <w:tc>
                <w:tcPr>
                  <w:tcW w:w="4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输送泵</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sz w:val="21"/>
                      <w:szCs w:val="21"/>
                      <w:u w:val="none"/>
                    </w:rPr>
                  </w:pPr>
                  <w:r>
                    <w:rPr>
                      <w:rStyle w:val="137"/>
                      <w:rFonts w:hint="default" w:ascii="Times New Roman" w:hAnsi="Times New Roman" w:eastAsia="宋体" w:cs="Times New Roman"/>
                      <w:b w:val="0"/>
                      <w:bCs w:val="0"/>
                      <w:sz w:val="21"/>
                      <w:szCs w:val="21"/>
                      <w:lang w:val="en-US" w:eastAsia="zh-CN" w:bidi="ar"/>
                    </w:rPr>
                    <w:t>台</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top"/>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4</w:t>
                  </w:r>
                </w:p>
              </w:tc>
              <w:tc>
                <w:tcPr>
                  <w:tcW w:w="4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粗过滤器</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sz w:val="21"/>
                      <w:szCs w:val="21"/>
                      <w:u w:val="none"/>
                    </w:rPr>
                  </w:pPr>
                  <w:r>
                    <w:rPr>
                      <w:rStyle w:val="137"/>
                      <w:rFonts w:hint="default" w:ascii="Times New Roman" w:hAnsi="Times New Roman" w:eastAsia="宋体" w:cs="Times New Roman"/>
                      <w:b w:val="0"/>
                      <w:bCs w:val="0"/>
                      <w:sz w:val="21"/>
                      <w:szCs w:val="21"/>
                      <w:lang w:val="en-US" w:eastAsia="zh-CN" w:bidi="ar"/>
                    </w:rPr>
                    <w:t>台</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top"/>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6"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5</w:t>
                  </w:r>
                </w:p>
              </w:tc>
              <w:tc>
                <w:tcPr>
                  <w:tcW w:w="4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搅拌罐</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sz w:val="21"/>
                      <w:szCs w:val="21"/>
                      <w:u w:val="none"/>
                    </w:rPr>
                  </w:pPr>
                  <w:r>
                    <w:rPr>
                      <w:rStyle w:val="137"/>
                      <w:rFonts w:hint="default" w:ascii="Times New Roman" w:hAnsi="Times New Roman" w:eastAsia="宋体" w:cs="Times New Roman"/>
                      <w:b w:val="0"/>
                      <w:bCs w:val="0"/>
                      <w:sz w:val="21"/>
                      <w:szCs w:val="21"/>
                      <w:lang w:val="en-US" w:eastAsia="zh-CN" w:bidi="ar"/>
                    </w:rPr>
                    <w:t>台</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top"/>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6</w:t>
                  </w:r>
                </w:p>
              </w:tc>
              <w:tc>
                <w:tcPr>
                  <w:tcW w:w="4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精过滤器</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sz w:val="21"/>
                      <w:szCs w:val="21"/>
                      <w:u w:val="none"/>
                    </w:rPr>
                  </w:pPr>
                  <w:r>
                    <w:rPr>
                      <w:rStyle w:val="137"/>
                      <w:rFonts w:hint="default" w:ascii="Times New Roman" w:hAnsi="Times New Roman" w:eastAsia="宋体" w:cs="Times New Roman"/>
                      <w:b w:val="0"/>
                      <w:bCs w:val="0"/>
                      <w:sz w:val="21"/>
                      <w:szCs w:val="21"/>
                      <w:lang w:val="en-US" w:eastAsia="zh-CN" w:bidi="ar"/>
                    </w:rPr>
                    <w:t>台</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top"/>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7</w:t>
                  </w:r>
                </w:p>
              </w:tc>
              <w:tc>
                <w:tcPr>
                  <w:tcW w:w="4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成品罐</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sz w:val="21"/>
                      <w:szCs w:val="21"/>
                      <w:u w:val="none"/>
                    </w:rPr>
                  </w:pPr>
                  <w:r>
                    <w:rPr>
                      <w:rStyle w:val="137"/>
                      <w:rFonts w:hint="default" w:ascii="Times New Roman" w:hAnsi="Times New Roman" w:eastAsia="宋体" w:cs="Times New Roman"/>
                      <w:b w:val="0"/>
                      <w:bCs w:val="0"/>
                      <w:sz w:val="21"/>
                      <w:szCs w:val="21"/>
                      <w:lang w:val="en-US" w:eastAsia="zh-CN" w:bidi="ar"/>
                    </w:rPr>
                    <w:t>台</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top"/>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9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8</w:t>
                  </w:r>
                </w:p>
              </w:tc>
              <w:tc>
                <w:tcPr>
                  <w:tcW w:w="4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真空成品罐</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sz w:val="21"/>
                      <w:szCs w:val="21"/>
                      <w:u w:val="none"/>
                    </w:rPr>
                  </w:pPr>
                  <w:r>
                    <w:rPr>
                      <w:rStyle w:val="137"/>
                      <w:rFonts w:hint="default" w:ascii="Times New Roman" w:hAnsi="Times New Roman" w:eastAsia="宋体" w:cs="Times New Roman"/>
                      <w:b w:val="0"/>
                      <w:bCs w:val="0"/>
                      <w:sz w:val="21"/>
                      <w:szCs w:val="21"/>
                      <w:lang w:val="en-US" w:eastAsia="zh-CN" w:bidi="ar"/>
                    </w:rPr>
                    <w:t>台</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top"/>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9</w:t>
                  </w:r>
                </w:p>
              </w:tc>
              <w:tc>
                <w:tcPr>
                  <w:tcW w:w="4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结晶泵</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sz w:val="21"/>
                      <w:szCs w:val="21"/>
                      <w:u w:val="none"/>
                    </w:rPr>
                  </w:pPr>
                  <w:r>
                    <w:rPr>
                      <w:rStyle w:val="137"/>
                      <w:rFonts w:hint="default" w:ascii="Times New Roman" w:hAnsi="Times New Roman" w:eastAsia="宋体" w:cs="Times New Roman"/>
                      <w:b w:val="0"/>
                      <w:bCs w:val="0"/>
                      <w:sz w:val="21"/>
                      <w:szCs w:val="21"/>
                      <w:lang w:val="en-US" w:eastAsia="zh-CN" w:bidi="ar"/>
                    </w:rPr>
                    <w:t>台</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top"/>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10</w:t>
                  </w:r>
                </w:p>
              </w:tc>
              <w:tc>
                <w:tcPr>
                  <w:tcW w:w="4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自动灌装机</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sz w:val="21"/>
                      <w:szCs w:val="21"/>
                      <w:u w:val="none"/>
                    </w:rPr>
                  </w:pPr>
                  <w:r>
                    <w:rPr>
                      <w:rStyle w:val="135"/>
                      <w:rFonts w:hint="default" w:ascii="Times New Roman" w:hAnsi="Times New Roman" w:eastAsia="宋体" w:cs="Times New Roman"/>
                      <w:b w:val="0"/>
                      <w:bCs w:val="0"/>
                      <w:sz w:val="21"/>
                      <w:szCs w:val="21"/>
                      <w:lang w:val="en-US" w:eastAsia="zh-CN" w:bidi="ar"/>
                    </w:rPr>
                    <w:t>台</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top"/>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11</w:t>
                  </w:r>
                </w:p>
              </w:tc>
              <w:tc>
                <w:tcPr>
                  <w:tcW w:w="48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137"/>
                      <w:rFonts w:hint="default" w:ascii="Times New Roman" w:hAnsi="Times New Roman" w:eastAsia="宋体" w:cs="Times New Roman"/>
                      <w:b w:val="0"/>
                      <w:bCs w:val="0"/>
                      <w:sz w:val="21"/>
                      <w:szCs w:val="21"/>
                      <w:lang w:val="en-US" w:eastAsia="zh-CN" w:bidi="ar"/>
                    </w:rPr>
                  </w:pPr>
                  <w:r>
                    <w:rPr>
                      <w:rStyle w:val="137"/>
                      <w:rFonts w:hint="eastAsia" w:cs="Times New Roman"/>
                      <w:b w:val="0"/>
                      <w:bCs w:val="0"/>
                      <w:sz w:val="21"/>
                      <w:szCs w:val="21"/>
                      <w:lang w:val="en-US" w:eastAsia="zh-CN" w:bidi="ar"/>
                    </w:rPr>
                    <w:t>封口</w:t>
                  </w:r>
                  <w:r>
                    <w:rPr>
                      <w:rStyle w:val="137"/>
                      <w:rFonts w:hint="default" w:ascii="Times New Roman" w:hAnsi="Times New Roman" w:eastAsia="宋体" w:cs="Times New Roman"/>
                      <w:b w:val="0"/>
                      <w:bCs w:val="0"/>
                      <w:sz w:val="21"/>
                      <w:szCs w:val="21"/>
                      <w:lang w:val="en-US" w:eastAsia="zh-CN" w:bidi="ar"/>
                    </w:rPr>
                    <w:t>机</w:t>
                  </w:r>
                </w:p>
              </w:tc>
              <w:tc>
                <w:tcPr>
                  <w:tcW w:w="12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i w:val="0"/>
                      <w:iCs w:val="0"/>
                      <w:color w:val="000000"/>
                      <w:sz w:val="21"/>
                      <w:szCs w:val="21"/>
                      <w:u w:val="none"/>
                    </w:rPr>
                  </w:pPr>
                  <w:r>
                    <w:rPr>
                      <w:rStyle w:val="135"/>
                      <w:rFonts w:hint="default" w:ascii="Times New Roman" w:hAnsi="Times New Roman" w:eastAsia="宋体" w:cs="Times New Roman"/>
                      <w:b w:val="0"/>
                      <w:bCs w:val="0"/>
                      <w:sz w:val="21"/>
                      <w:szCs w:val="21"/>
                      <w:lang w:val="en-US" w:eastAsia="zh-CN" w:bidi="ar"/>
                    </w:rPr>
                    <w:t>套</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top"/>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1</w:t>
                  </w:r>
                </w:p>
              </w:tc>
            </w:tr>
          </w:tbl>
          <w:p>
            <w:pPr>
              <w:pStyle w:val="113"/>
              <w:spacing w:line="360" w:lineRule="auto"/>
              <w:ind w:left="0" w:leftChars="0" w:firstLine="0" w:firstLineChars="0"/>
              <w:rPr>
                <w:rFonts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3</w:t>
            </w:r>
            <w:r>
              <w:rPr>
                <w:rFonts w:ascii="Times New Roman" w:hAnsi="Times New Roman" w:eastAsia="宋体" w:cs="Times New Roman"/>
                <w:b/>
                <w:bCs/>
                <w:color w:val="auto"/>
                <w:highlight w:val="none"/>
                <w:lang w:val="en-US" w:eastAsia="zh-CN"/>
              </w:rPr>
              <w:t>、产品规模</w:t>
            </w:r>
          </w:p>
          <w:p>
            <w:pPr>
              <w:pStyle w:val="113"/>
              <w:spacing w:line="360" w:lineRule="auto"/>
              <w:ind w:firstLine="480"/>
              <w:rPr>
                <w:color w:val="auto"/>
                <w:highlight w:val="none"/>
                <w:lang w:val="en-US" w:eastAsia="zh-CN"/>
              </w:rPr>
            </w:pPr>
            <w:r>
              <w:rPr>
                <w:color w:val="auto"/>
                <w:highlight w:val="none"/>
                <w:lang w:val="en-US" w:eastAsia="zh-CN"/>
              </w:rPr>
              <w:t>本项目产品生产情况见表2-3。</w:t>
            </w:r>
          </w:p>
          <w:p>
            <w:pPr>
              <w:keepNext/>
              <w:spacing w:line="240" w:lineRule="auto"/>
              <w:jc w:val="center"/>
              <w:rPr>
                <w:b/>
                <w:color w:val="auto"/>
                <w:kern w:val="0"/>
                <w:szCs w:val="21"/>
                <w:highlight w:val="none"/>
              </w:rPr>
            </w:pPr>
            <w:r>
              <w:rPr>
                <w:b/>
                <w:color w:val="auto"/>
                <w:kern w:val="0"/>
                <w:szCs w:val="21"/>
                <w:highlight w:val="none"/>
              </w:rPr>
              <w:t>表2-3主要产品一览表</w:t>
            </w:r>
          </w:p>
          <w:tbl>
            <w:tblPr>
              <w:tblStyle w:val="29"/>
              <w:tblW w:w="873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12"/>
              <w:gridCol w:w="2909"/>
              <w:gridCol w:w="29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2912" w:type="dxa"/>
                  <w:noWrap w:val="0"/>
                  <w:vAlign w:val="center"/>
                </w:tcPr>
                <w:p>
                  <w:pPr>
                    <w:pStyle w:val="74"/>
                    <w:spacing w:line="240" w:lineRule="auto"/>
                    <w:rPr>
                      <w:color w:val="auto"/>
                      <w:sz w:val="21"/>
                      <w:szCs w:val="21"/>
                      <w:highlight w:val="none"/>
                      <w:lang w:val="en-US" w:eastAsia="zh-CN"/>
                    </w:rPr>
                  </w:pPr>
                  <w:r>
                    <w:rPr>
                      <w:color w:val="auto"/>
                      <w:sz w:val="21"/>
                      <w:szCs w:val="21"/>
                      <w:highlight w:val="none"/>
                      <w:lang w:val="en-US" w:eastAsia="zh-CN"/>
                    </w:rPr>
                    <w:t>产品</w:t>
                  </w:r>
                </w:p>
              </w:tc>
              <w:tc>
                <w:tcPr>
                  <w:tcW w:w="2909" w:type="dxa"/>
                  <w:tcBorders>
                    <w:left w:val="single" w:color="auto" w:sz="4" w:space="0"/>
                  </w:tcBorders>
                  <w:noWrap w:val="0"/>
                  <w:vAlign w:val="center"/>
                </w:tcPr>
                <w:p>
                  <w:pPr>
                    <w:pStyle w:val="74"/>
                    <w:spacing w:line="240" w:lineRule="auto"/>
                    <w:rPr>
                      <w:color w:val="auto"/>
                      <w:sz w:val="21"/>
                      <w:szCs w:val="21"/>
                      <w:highlight w:val="none"/>
                      <w:lang w:val="en-US" w:eastAsia="zh-CN"/>
                    </w:rPr>
                  </w:pPr>
                  <w:r>
                    <w:rPr>
                      <w:color w:val="auto"/>
                      <w:sz w:val="21"/>
                      <w:szCs w:val="21"/>
                      <w:highlight w:val="none"/>
                      <w:lang w:val="en-US" w:eastAsia="zh-CN"/>
                    </w:rPr>
                    <w:t>年产量</w:t>
                  </w:r>
                </w:p>
              </w:tc>
              <w:tc>
                <w:tcPr>
                  <w:tcW w:w="2913" w:type="dxa"/>
                  <w:tcBorders>
                    <w:left w:val="single" w:color="auto" w:sz="4" w:space="0"/>
                  </w:tcBorders>
                  <w:noWrap w:val="0"/>
                  <w:vAlign w:val="center"/>
                </w:tcPr>
                <w:p>
                  <w:pPr>
                    <w:pStyle w:val="74"/>
                    <w:spacing w:line="240" w:lineRule="auto"/>
                    <w:rPr>
                      <w:rFonts w:hint="default"/>
                      <w:color w:val="auto"/>
                      <w:sz w:val="21"/>
                      <w:szCs w:val="21"/>
                      <w:highlight w:val="none"/>
                      <w:lang w:val="en-US" w:eastAsia="zh-CN"/>
                    </w:rPr>
                  </w:pPr>
                  <w:r>
                    <w:rPr>
                      <w:rFonts w:hint="eastAsia"/>
                      <w:color w:val="auto"/>
                      <w:sz w:val="21"/>
                      <w:szCs w:val="21"/>
                      <w:highlight w:val="none"/>
                      <w:lang w:val="en-US" w:eastAsia="zh-CN"/>
                    </w:rPr>
                    <w:t>规格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2912" w:type="dxa"/>
                  <w:noWrap w:val="0"/>
                  <w:vAlign w:val="center"/>
                </w:tcPr>
                <w:p>
                  <w:pPr>
                    <w:pStyle w:val="74"/>
                    <w:spacing w:line="240" w:lineRule="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蜂蜜</w:t>
                  </w:r>
                </w:p>
              </w:tc>
              <w:tc>
                <w:tcPr>
                  <w:tcW w:w="2909" w:type="dxa"/>
                  <w:tcBorders>
                    <w:left w:val="single" w:color="auto" w:sz="4" w:space="0"/>
                  </w:tcBorders>
                  <w:noWrap w:val="0"/>
                  <w:vAlign w:val="center"/>
                </w:tcPr>
                <w:p>
                  <w:pPr>
                    <w:pStyle w:val="74"/>
                    <w:spacing w:line="240" w:lineRule="auto"/>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200</w:t>
                  </w:r>
                  <w:r>
                    <w:rPr>
                      <w:rFonts w:hint="eastAsia" w:ascii="Times New Roman" w:hAnsi="Times New Roman" w:eastAsia="宋体" w:cs="Times New Roman"/>
                      <w:color w:val="auto"/>
                      <w:kern w:val="2"/>
                      <w:sz w:val="21"/>
                      <w:szCs w:val="24"/>
                      <w:highlight w:val="none"/>
                      <w:lang w:val="en-US" w:eastAsia="zh-CN" w:bidi="ar-SA"/>
                    </w:rPr>
                    <w:t>吨</w:t>
                  </w:r>
                </w:p>
              </w:tc>
              <w:tc>
                <w:tcPr>
                  <w:tcW w:w="2913" w:type="dxa"/>
                  <w:tcBorders>
                    <w:left w:val="single" w:color="auto" w:sz="4" w:space="0"/>
                  </w:tcBorders>
                  <w:noWrap w:val="0"/>
                  <w:vAlign w:val="center"/>
                </w:tcPr>
                <w:p>
                  <w:pPr>
                    <w:pStyle w:val="74"/>
                    <w:spacing w:line="240" w:lineRule="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250g</w:t>
                  </w:r>
                  <w:r>
                    <w:rPr>
                      <w:rFonts w:hint="eastAsia" w:ascii="Times New Roman" w:hAnsi="Times New Roman" w:eastAsia="宋体" w:cs="Times New Roman"/>
                      <w:color w:val="auto"/>
                      <w:kern w:val="2"/>
                      <w:sz w:val="21"/>
                      <w:szCs w:val="24"/>
                      <w:highlight w:val="none"/>
                      <w:lang w:val="en-US" w:eastAsia="zh-CN" w:bidi="ar-SA"/>
                    </w:rPr>
                    <w:t>/瓶</w:t>
                  </w:r>
                </w:p>
              </w:tc>
            </w:tr>
          </w:tbl>
          <w:p>
            <w:pPr>
              <w:pStyle w:val="62"/>
              <w:spacing w:before="0" w:beforeLines="0" w:after="0" w:afterLines="0" w:line="480" w:lineRule="exact"/>
              <w:ind w:left="0" w:leftChars="0" w:firstLine="0" w:firstLineChars="0"/>
              <w:textAlignment w:val="baseline"/>
              <w:rPr>
                <w:rFonts w:hint="eastAsia" w:eastAsia="宋体"/>
                <w:b/>
                <w:bCs/>
                <w:color w:val="auto"/>
                <w:lang w:val="en-US" w:eastAsia="zh-CN"/>
              </w:rPr>
            </w:pPr>
            <w:r>
              <w:rPr>
                <w:rFonts w:hint="eastAsia"/>
                <w:b/>
                <w:bCs/>
                <w:color w:val="auto"/>
                <w:lang w:val="en-US" w:eastAsia="zh-CN"/>
              </w:rPr>
              <w:t>4</w:t>
            </w:r>
            <w:r>
              <w:rPr>
                <w:b/>
                <w:bCs/>
                <w:color w:val="auto"/>
              </w:rPr>
              <w:t>、主要原辅材料及用量</w:t>
            </w:r>
          </w:p>
          <w:p>
            <w:pPr>
              <w:autoSpaceDE w:val="0"/>
              <w:autoSpaceDN w:val="0"/>
              <w:adjustRightInd w:val="0"/>
              <w:spacing w:line="440" w:lineRule="exact"/>
              <w:ind w:firstLine="480" w:firstLineChars="200"/>
              <w:rPr>
                <w:rFonts w:hint="eastAsia" w:eastAsia="宋体"/>
                <w:color w:val="auto"/>
                <w:sz w:val="24"/>
                <w:highlight w:val="none"/>
                <w:lang w:val="en-US" w:eastAsia="zh-CN"/>
              </w:rPr>
            </w:pPr>
            <w:r>
              <w:rPr>
                <w:color w:val="auto"/>
                <w:sz w:val="24"/>
                <w:highlight w:val="none"/>
              </w:rPr>
              <w:t>原辅材料一览表见表2-</w:t>
            </w:r>
            <w:r>
              <w:rPr>
                <w:rFonts w:hint="eastAsia"/>
                <w:color w:val="auto"/>
                <w:sz w:val="24"/>
                <w:highlight w:val="none"/>
                <w:lang w:val="en-US" w:eastAsia="zh-CN"/>
              </w:rPr>
              <w:t>4</w:t>
            </w:r>
            <w:r>
              <w:rPr>
                <w:color w:val="auto"/>
                <w:sz w:val="24"/>
                <w:highlight w:val="none"/>
              </w:rPr>
              <w:t>。</w:t>
            </w:r>
          </w:p>
          <w:p>
            <w:pPr>
              <w:adjustRightInd w:val="0"/>
              <w:snapToGrid w:val="0"/>
              <w:spacing w:line="240" w:lineRule="auto"/>
              <w:jc w:val="center"/>
              <w:rPr>
                <w:b/>
                <w:color w:val="auto"/>
                <w:sz w:val="21"/>
                <w:szCs w:val="21"/>
                <w:highlight w:val="none"/>
              </w:rPr>
            </w:pPr>
            <w:r>
              <w:rPr>
                <w:b/>
                <w:color w:val="auto"/>
                <w:sz w:val="21"/>
                <w:szCs w:val="21"/>
                <w:highlight w:val="none"/>
              </w:rPr>
              <w:t>表2-</w:t>
            </w:r>
            <w:r>
              <w:rPr>
                <w:rFonts w:hint="eastAsia"/>
                <w:b/>
                <w:color w:val="auto"/>
                <w:sz w:val="21"/>
                <w:szCs w:val="21"/>
                <w:highlight w:val="none"/>
                <w:lang w:val="en-US" w:eastAsia="zh-CN"/>
              </w:rPr>
              <w:t>4</w:t>
            </w:r>
            <w:r>
              <w:rPr>
                <w:b/>
                <w:color w:val="auto"/>
                <w:sz w:val="21"/>
                <w:szCs w:val="21"/>
                <w:highlight w:val="none"/>
              </w:rPr>
              <w:t xml:space="preserve">  原辅材料一览表</w:t>
            </w:r>
          </w:p>
          <w:tbl>
            <w:tblPr>
              <w:tblStyle w:val="29"/>
              <w:tblW w:w="873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1968"/>
              <w:gridCol w:w="2262"/>
              <w:gridCol w:w="1629"/>
              <w:gridCol w:w="16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6" w:type="dxa"/>
                  <w:vAlign w:val="center"/>
                </w:tcPr>
                <w:p>
                  <w:pPr>
                    <w:pStyle w:val="63"/>
                    <w:rPr>
                      <w:rFonts w:ascii="Times New Roman" w:hAnsi="Times New Roman" w:eastAsia="宋体" w:cs="Times New Roman"/>
                      <w:color w:val="auto"/>
                      <w:kern w:val="2"/>
                      <w:sz w:val="21"/>
                      <w:szCs w:val="22"/>
                      <w:highlight w:val="none"/>
                      <w:lang w:val="en-US" w:eastAsia="zh-CN" w:bidi="ar-SA"/>
                    </w:rPr>
                  </w:pPr>
                  <w:r>
                    <w:rPr>
                      <w:color w:val="auto"/>
                      <w:highlight w:val="none"/>
                    </w:rPr>
                    <w:t>序号</w:t>
                  </w:r>
                </w:p>
              </w:tc>
              <w:tc>
                <w:tcPr>
                  <w:tcW w:w="1968" w:type="dxa"/>
                  <w:vAlign w:val="center"/>
                </w:tcPr>
                <w:p>
                  <w:pPr>
                    <w:pStyle w:val="63"/>
                    <w:rPr>
                      <w:rFonts w:ascii="Times New Roman" w:hAnsi="Times New Roman" w:eastAsia="宋体" w:cs="Times New Roman"/>
                      <w:color w:val="auto"/>
                      <w:kern w:val="2"/>
                      <w:sz w:val="21"/>
                      <w:szCs w:val="22"/>
                      <w:highlight w:val="none"/>
                      <w:lang w:val="en-US" w:eastAsia="zh-CN" w:bidi="ar-SA"/>
                    </w:rPr>
                  </w:pPr>
                  <w:r>
                    <w:rPr>
                      <w:color w:val="auto"/>
                      <w:highlight w:val="none"/>
                    </w:rPr>
                    <w:t>名称</w:t>
                  </w:r>
                </w:p>
              </w:tc>
              <w:tc>
                <w:tcPr>
                  <w:tcW w:w="2262" w:type="dxa"/>
                  <w:vAlign w:val="center"/>
                </w:tcPr>
                <w:p>
                  <w:pPr>
                    <w:pStyle w:val="63"/>
                    <w:rPr>
                      <w:rFonts w:ascii="Times New Roman" w:hAnsi="Times New Roman" w:eastAsia="宋体" w:cs="Times New Roman"/>
                      <w:color w:val="auto"/>
                      <w:kern w:val="2"/>
                      <w:sz w:val="21"/>
                      <w:szCs w:val="22"/>
                      <w:highlight w:val="none"/>
                      <w:lang w:val="en-US" w:eastAsia="zh-CN" w:bidi="ar-SA"/>
                    </w:rPr>
                  </w:pPr>
                  <w:r>
                    <w:rPr>
                      <w:color w:val="auto"/>
                      <w:highlight w:val="none"/>
                    </w:rPr>
                    <w:t>单位</w:t>
                  </w:r>
                </w:p>
              </w:tc>
              <w:tc>
                <w:tcPr>
                  <w:tcW w:w="1629" w:type="dxa"/>
                  <w:vAlign w:val="center"/>
                </w:tcPr>
                <w:p>
                  <w:pPr>
                    <w:pStyle w:val="63"/>
                    <w:rPr>
                      <w:rFonts w:ascii="Times New Roman" w:hAnsi="Times New Roman" w:eastAsia="宋体" w:cs="Times New Roman"/>
                      <w:color w:val="auto"/>
                      <w:kern w:val="2"/>
                      <w:sz w:val="21"/>
                      <w:szCs w:val="22"/>
                      <w:highlight w:val="none"/>
                      <w:lang w:val="en-US" w:eastAsia="zh-CN" w:bidi="ar-SA"/>
                    </w:rPr>
                  </w:pPr>
                  <w:r>
                    <w:rPr>
                      <w:color w:val="auto"/>
                      <w:highlight w:val="none"/>
                    </w:rPr>
                    <w:t>年耗量</w:t>
                  </w:r>
                </w:p>
              </w:tc>
              <w:tc>
                <w:tcPr>
                  <w:tcW w:w="1629" w:type="dxa"/>
                  <w:vAlign w:val="center"/>
                </w:tcPr>
                <w:p>
                  <w:pPr>
                    <w:pStyle w:val="63"/>
                    <w:rPr>
                      <w:rFonts w:hint="eastAsia" w:eastAsia="宋体"/>
                      <w:color w:val="auto"/>
                      <w:highlight w:val="none"/>
                      <w:lang w:val="en-US" w:eastAsia="zh-CN"/>
                    </w:rPr>
                  </w:pPr>
                  <w:r>
                    <w:rPr>
                      <w:rFonts w:hint="eastAsia"/>
                      <w:color w:val="auto"/>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6" w:type="dxa"/>
                  <w:vAlign w:val="center"/>
                </w:tcPr>
                <w:p>
                  <w:pPr>
                    <w:pStyle w:val="63"/>
                    <w:rPr>
                      <w:color w:val="auto"/>
                      <w:highlight w:val="none"/>
                      <w:lang w:val="en-US"/>
                    </w:rPr>
                  </w:pPr>
                  <w:r>
                    <w:rPr>
                      <w:color w:val="auto"/>
                      <w:highlight w:val="none"/>
                      <w:lang w:val="en-US"/>
                    </w:rPr>
                    <w:t>1</w:t>
                  </w:r>
                </w:p>
              </w:tc>
              <w:tc>
                <w:tcPr>
                  <w:tcW w:w="1968" w:type="dxa"/>
                  <w:vAlign w:val="center"/>
                </w:tcPr>
                <w:p>
                  <w:pPr>
                    <w:pStyle w:val="63"/>
                    <w:rPr>
                      <w:rFonts w:hint="eastAsia" w:eastAsia="宋体"/>
                      <w:color w:val="auto"/>
                      <w:highlight w:val="none"/>
                      <w:lang w:val="en-US" w:eastAsia="zh-CN"/>
                    </w:rPr>
                  </w:pPr>
                  <w:r>
                    <w:rPr>
                      <w:rFonts w:hint="eastAsia"/>
                      <w:color w:val="auto"/>
                      <w:highlight w:val="none"/>
                      <w:lang w:val="en-US" w:eastAsia="zh-CN"/>
                    </w:rPr>
                    <w:t>蜂蜜</w:t>
                  </w:r>
                </w:p>
              </w:tc>
              <w:tc>
                <w:tcPr>
                  <w:tcW w:w="2262" w:type="dxa"/>
                  <w:vAlign w:val="center"/>
                </w:tcPr>
                <w:p>
                  <w:pPr>
                    <w:pStyle w:val="63"/>
                    <w:rPr>
                      <w:color w:val="auto"/>
                      <w:highlight w:val="none"/>
                      <w:lang w:val="en-US"/>
                    </w:rPr>
                  </w:pPr>
                  <w:r>
                    <w:rPr>
                      <w:rFonts w:hint="eastAsia"/>
                      <w:color w:val="auto"/>
                      <w:highlight w:val="none"/>
                      <w:lang w:val="en-US"/>
                    </w:rPr>
                    <w:t>t/a</w:t>
                  </w:r>
                </w:p>
              </w:tc>
              <w:tc>
                <w:tcPr>
                  <w:tcW w:w="1629" w:type="dxa"/>
                  <w:vAlign w:val="center"/>
                </w:tcPr>
                <w:p>
                  <w:pPr>
                    <w:pStyle w:val="63"/>
                    <w:rPr>
                      <w:rFonts w:hint="default" w:ascii="Times New Roman" w:hAnsi="Times New Roman"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210</w:t>
                  </w:r>
                </w:p>
              </w:tc>
              <w:tc>
                <w:tcPr>
                  <w:tcW w:w="1629" w:type="dxa"/>
                  <w:vAlign w:val="center"/>
                </w:tcPr>
                <w:p>
                  <w:pPr>
                    <w:pStyle w:val="63"/>
                    <w:rPr>
                      <w:rFonts w:hint="default"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6" w:type="dxa"/>
                  <w:vAlign w:val="center"/>
                </w:tcPr>
                <w:p>
                  <w:pPr>
                    <w:pStyle w:val="63"/>
                    <w:rPr>
                      <w:rFonts w:hint="eastAsia" w:eastAsia="宋体"/>
                      <w:color w:val="auto"/>
                      <w:highlight w:val="none"/>
                      <w:lang w:val="en-US" w:eastAsia="zh-CN"/>
                    </w:rPr>
                  </w:pPr>
                  <w:r>
                    <w:rPr>
                      <w:rFonts w:hint="eastAsia"/>
                      <w:color w:val="auto"/>
                      <w:highlight w:val="none"/>
                      <w:lang w:val="en-US" w:eastAsia="zh-CN"/>
                    </w:rPr>
                    <w:t>2</w:t>
                  </w:r>
                </w:p>
              </w:tc>
              <w:tc>
                <w:tcPr>
                  <w:tcW w:w="1968" w:type="dxa"/>
                  <w:vAlign w:val="center"/>
                </w:tcPr>
                <w:p>
                  <w:pPr>
                    <w:pStyle w:val="63"/>
                    <w:rPr>
                      <w:rFonts w:hint="default"/>
                      <w:color w:val="auto"/>
                      <w:highlight w:val="none"/>
                      <w:lang w:val="en-US" w:eastAsia="zh-CN"/>
                    </w:rPr>
                  </w:pPr>
                  <w:r>
                    <w:rPr>
                      <w:rFonts w:hint="eastAsia"/>
                      <w:color w:val="auto"/>
                      <w:highlight w:val="none"/>
                      <w:lang w:val="en-US" w:eastAsia="zh-CN"/>
                    </w:rPr>
                    <w:t>包装瓶</w:t>
                  </w:r>
                </w:p>
              </w:tc>
              <w:tc>
                <w:tcPr>
                  <w:tcW w:w="2262" w:type="dxa"/>
                  <w:vAlign w:val="center"/>
                </w:tcPr>
                <w:p>
                  <w:pPr>
                    <w:pStyle w:val="63"/>
                    <w:rPr>
                      <w:rFonts w:hint="eastAsia" w:eastAsia="宋体"/>
                      <w:color w:val="auto"/>
                      <w:highlight w:val="none"/>
                      <w:lang w:val="en-US" w:eastAsia="zh-CN"/>
                    </w:rPr>
                  </w:pPr>
                  <w:r>
                    <w:rPr>
                      <w:rFonts w:hint="eastAsia"/>
                      <w:color w:val="auto"/>
                      <w:highlight w:val="none"/>
                      <w:lang w:val="en-US" w:eastAsia="zh-CN"/>
                    </w:rPr>
                    <w:t>t/a</w:t>
                  </w:r>
                </w:p>
              </w:tc>
              <w:tc>
                <w:tcPr>
                  <w:tcW w:w="1629" w:type="dxa"/>
                  <w:vAlign w:val="center"/>
                </w:tcPr>
                <w:p>
                  <w:pPr>
                    <w:pStyle w:val="63"/>
                    <w:rPr>
                      <w:rFonts w:hint="eastAsia" w:cs="Times New Roman"/>
                      <w:color w:val="auto"/>
                      <w:kern w:val="2"/>
                      <w:sz w:val="21"/>
                      <w:szCs w:val="22"/>
                      <w:highlight w:val="none"/>
                      <w:lang w:val="en-US" w:eastAsia="zh-CN" w:bidi="ar-SA"/>
                    </w:rPr>
                  </w:pPr>
                  <w:r>
                    <w:rPr>
                      <w:rFonts w:hint="eastAsia"/>
                      <w:color w:val="auto"/>
                      <w:sz w:val="24"/>
                      <w:highlight w:val="none"/>
                      <w:lang w:val="en-US" w:eastAsia="zh-CN"/>
                    </w:rPr>
                    <w:t>80</w:t>
                  </w:r>
                </w:p>
              </w:tc>
              <w:tc>
                <w:tcPr>
                  <w:tcW w:w="1629" w:type="dxa"/>
                  <w:vAlign w:val="center"/>
                </w:tcPr>
                <w:p>
                  <w:pPr>
                    <w:pStyle w:val="63"/>
                    <w:rPr>
                      <w:rFonts w:hint="default"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0.1kg/瓶</w:t>
                  </w:r>
                </w:p>
              </w:tc>
            </w:tr>
          </w:tbl>
          <w:p>
            <w:pPr>
              <w:adjustRightInd w:val="0"/>
              <w:spacing w:line="360" w:lineRule="auto"/>
              <w:rPr>
                <w:rFonts w:eastAsia="仿宋_GB2312"/>
                <w:color w:val="auto"/>
                <w:sz w:val="28"/>
                <w:szCs w:val="28"/>
              </w:rPr>
            </w:pPr>
            <w:r>
              <w:rPr>
                <w:rFonts w:hint="eastAsia"/>
                <w:b/>
                <w:bCs/>
                <w:color w:val="auto"/>
                <w:sz w:val="24"/>
                <w:lang w:val="en-US" w:eastAsia="zh-CN"/>
              </w:rPr>
              <w:t>5</w:t>
            </w:r>
            <w:r>
              <w:rPr>
                <w:b/>
                <w:bCs/>
                <w:color w:val="auto"/>
                <w:sz w:val="24"/>
              </w:rPr>
              <w:t>、工作制度及劳动定员</w:t>
            </w:r>
          </w:p>
          <w:p>
            <w:pPr>
              <w:adjustRightInd w:val="0"/>
              <w:spacing w:line="360" w:lineRule="auto"/>
              <w:ind w:firstLine="480" w:firstLineChars="200"/>
              <w:rPr>
                <w:snapToGrid w:val="0"/>
                <w:color w:val="auto"/>
                <w:kern w:val="0"/>
                <w:sz w:val="24"/>
              </w:rPr>
            </w:pPr>
            <w:r>
              <w:rPr>
                <w:snapToGrid w:val="0"/>
                <w:color w:val="auto"/>
                <w:kern w:val="0"/>
                <w:sz w:val="24"/>
              </w:rPr>
              <w:t>本项目劳动定员</w:t>
            </w:r>
            <w:r>
              <w:rPr>
                <w:rFonts w:hint="eastAsia"/>
                <w:snapToGrid w:val="0"/>
                <w:color w:val="auto"/>
                <w:kern w:val="0"/>
                <w:sz w:val="24"/>
                <w:lang w:val="en-US" w:eastAsia="zh-CN"/>
              </w:rPr>
              <w:t>5</w:t>
            </w:r>
            <w:r>
              <w:rPr>
                <w:snapToGrid w:val="0"/>
                <w:color w:val="auto"/>
                <w:kern w:val="0"/>
                <w:sz w:val="24"/>
              </w:rPr>
              <w:t>人</w:t>
            </w:r>
            <w:r>
              <w:rPr>
                <w:snapToGrid w:val="0"/>
                <w:color w:val="auto"/>
                <w:kern w:val="0"/>
                <w:sz w:val="24"/>
                <w:highlight w:val="none"/>
              </w:rPr>
              <w:t>，年工作</w:t>
            </w:r>
            <w:r>
              <w:rPr>
                <w:rFonts w:hint="eastAsia"/>
                <w:snapToGrid w:val="0"/>
                <w:color w:val="auto"/>
                <w:kern w:val="0"/>
                <w:sz w:val="24"/>
                <w:highlight w:val="none"/>
                <w:lang w:val="en-US" w:eastAsia="zh-CN"/>
              </w:rPr>
              <w:t>60</w:t>
            </w:r>
            <w:r>
              <w:rPr>
                <w:snapToGrid w:val="0"/>
                <w:color w:val="auto"/>
                <w:kern w:val="0"/>
                <w:sz w:val="24"/>
                <w:highlight w:val="none"/>
              </w:rPr>
              <w:t>天，</w:t>
            </w:r>
            <w:r>
              <w:rPr>
                <w:rFonts w:hint="eastAsia"/>
                <w:snapToGrid w:val="0"/>
                <w:color w:val="auto"/>
                <w:kern w:val="0"/>
                <w:sz w:val="24"/>
                <w:highlight w:val="none"/>
              </w:rPr>
              <w:t>每</w:t>
            </w:r>
            <w:r>
              <w:rPr>
                <w:rFonts w:hint="eastAsia"/>
                <w:snapToGrid w:val="0"/>
                <w:color w:val="auto"/>
                <w:kern w:val="0"/>
                <w:sz w:val="24"/>
              </w:rPr>
              <w:t>天工作</w:t>
            </w:r>
            <w:r>
              <w:rPr>
                <w:rFonts w:hint="eastAsia"/>
                <w:snapToGrid w:val="0"/>
                <w:color w:val="auto"/>
                <w:kern w:val="0"/>
                <w:sz w:val="24"/>
                <w:lang w:val="en-US" w:eastAsia="zh-CN"/>
              </w:rPr>
              <w:t>10</w:t>
            </w:r>
            <w:r>
              <w:rPr>
                <w:snapToGrid w:val="0"/>
                <w:color w:val="auto"/>
                <w:kern w:val="0"/>
                <w:sz w:val="24"/>
              </w:rPr>
              <w:t>h，不设食堂和宿舍。</w:t>
            </w:r>
          </w:p>
          <w:p>
            <w:pPr>
              <w:pStyle w:val="27"/>
              <w:widowControl w:val="0"/>
              <w:snapToGrid/>
              <w:spacing w:before="0" w:after="0" w:line="360" w:lineRule="auto"/>
              <w:ind w:left="0" w:leftChars="0" w:right="0" w:firstLine="0" w:firstLineChars="0"/>
              <w:rPr>
                <w:color w:val="auto"/>
                <w:sz w:val="24"/>
                <w:szCs w:val="24"/>
              </w:rPr>
            </w:pPr>
            <w:r>
              <w:rPr>
                <w:rFonts w:hint="eastAsia"/>
                <w:b/>
                <w:bCs/>
                <w:color w:val="auto"/>
                <w:sz w:val="24"/>
                <w:szCs w:val="24"/>
                <w:lang w:val="en-US" w:eastAsia="zh-CN"/>
              </w:rPr>
              <w:t>6</w:t>
            </w:r>
            <w:r>
              <w:rPr>
                <w:b/>
                <w:bCs/>
                <w:color w:val="auto"/>
                <w:sz w:val="24"/>
                <w:szCs w:val="24"/>
              </w:rPr>
              <w:t>、公用工程</w:t>
            </w:r>
          </w:p>
          <w:p>
            <w:pPr>
              <w:tabs>
                <w:tab w:val="left" w:pos="630"/>
              </w:tabs>
              <w:spacing w:line="360" w:lineRule="auto"/>
              <w:ind w:firstLine="480" w:firstLineChars="200"/>
              <w:rPr>
                <w:color w:val="auto"/>
                <w:sz w:val="24"/>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color w:val="auto"/>
                <w:sz w:val="24"/>
              </w:rPr>
              <w:t>给水</w:t>
            </w:r>
          </w:p>
          <w:p>
            <w:pPr>
              <w:tabs>
                <w:tab w:val="left" w:pos="630"/>
              </w:tabs>
              <w:spacing w:line="360" w:lineRule="auto"/>
              <w:ind w:firstLine="480" w:firstLineChars="200"/>
              <w:rPr>
                <w:color w:val="auto"/>
                <w:sz w:val="24"/>
              </w:rPr>
            </w:pPr>
            <w:r>
              <w:rPr>
                <w:color w:val="auto"/>
                <w:sz w:val="24"/>
              </w:rPr>
              <w:t>本项目生产用水</w:t>
            </w:r>
            <w:r>
              <w:rPr>
                <w:rFonts w:hint="eastAsia"/>
                <w:color w:val="auto"/>
                <w:sz w:val="24"/>
              </w:rPr>
              <w:t>及</w:t>
            </w:r>
            <w:r>
              <w:rPr>
                <w:color w:val="auto"/>
                <w:sz w:val="24"/>
              </w:rPr>
              <w:t>生活用水由</w:t>
            </w:r>
            <w:r>
              <w:rPr>
                <w:rFonts w:hint="eastAsia"/>
                <w:color w:val="auto"/>
                <w:sz w:val="24"/>
                <w:lang w:val="en-US" w:eastAsia="zh-CN"/>
              </w:rPr>
              <w:t>市政</w:t>
            </w:r>
            <w:r>
              <w:rPr>
                <w:color w:val="auto"/>
                <w:sz w:val="24"/>
              </w:rPr>
              <w:t>提供。</w:t>
            </w:r>
          </w:p>
          <w:p>
            <w:pPr>
              <w:tabs>
                <w:tab w:val="left" w:pos="630"/>
              </w:tabs>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 1 \* GB3 \* MERGEFORMAT </w:instrText>
            </w:r>
            <w:r>
              <w:rPr>
                <w:color w:val="auto"/>
                <w:sz w:val="24"/>
                <w:szCs w:val="24"/>
              </w:rPr>
              <w:fldChar w:fldCharType="separate"/>
            </w:r>
            <w:r>
              <w:rPr>
                <w:color w:val="auto"/>
                <w:sz w:val="24"/>
                <w:szCs w:val="24"/>
              </w:rPr>
              <w:t>①</w:t>
            </w:r>
            <w:r>
              <w:rPr>
                <w:color w:val="auto"/>
                <w:sz w:val="24"/>
                <w:szCs w:val="24"/>
              </w:rPr>
              <w:fldChar w:fldCharType="end"/>
            </w:r>
            <w:r>
              <w:rPr>
                <w:rFonts w:hint="eastAsia"/>
                <w:color w:val="auto"/>
                <w:sz w:val="24"/>
                <w:szCs w:val="24"/>
              </w:rPr>
              <w:t>生活用水</w:t>
            </w:r>
          </w:p>
          <w:p>
            <w:pPr>
              <w:pStyle w:val="75"/>
              <w:spacing w:line="360" w:lineRule="auto"/>
              <w:ind w:firstLineChars="200"/>
              <w:rPr>
                <w:color w:val="auto"/>
                <w:sz w:val="24"/>
                <w:szCs w:val="24"/>
                <w:highlight w:val="yellow"/>
              </w:rPr>
            </w:pPr>
            <w:r>
              <w:rPr>
                <w:rFonts w:hint="eastAsia"/>
                <w:color w:val="auto"/>
                <w:sz w:val="24"/>
                <w:szCs w:val="24"/>
              </w:rPr>
              <w:t>厂区劳动定员共计</w:t>
            </w:r>
            <w:r>
              <w:rPr>
                <w:rFonts w:hint="eastAsia"/>
                <w:color w:val="auto"/>
                <w:sz w:val="24"/>
                <w:szCs w:val="24"/>
                <w:lang w:val="en-US" w:eastAsia="zh-CN"/>
              </w:rPr>
              <w:t>5</w:t>
            </w:r>
            <w:r>
              <w:rPr>
                <w:rFonts w:hint="eastAsia"/>
                <w:color w:val="auto"/>
                <w:sz w:val="24"/>
                <w:szCs w:val="24"/>
              </w:rPr>
              <w:t>人，年工作</w:t>
            </w:r>
            <w:r>
              <w:rPr>
                <w:rFonts w:hint="eastAsia"/>
                <w:color w:val="auto"/>
                <w:sz w:val="24"/>
                <w:szCs w:val="24"/>
                <w:lang w:val="en-US" w:eastAsia="zh-CN"/>
              </w:rPr>
              <w:t>60</w:t>
            </w:r>
            <w:r>
              <w:rPr>
                <w:rFonts w:hint="eastAsia"/>
                <w:color w:val="auto"/>
                <w:sz w:val="24"/>
                <w:szCs w:val="24"/>
              </w:rPr>
              <w:t>天计，</w:t>
            </w:r>
            <w:r>
              <w:rPr>
                <w:color w:val="auto"/>
                <w:sz w:val="24"/>
                <w:szCs w:val="24"/>
              </w:rPr>
              <w:t>根据黑龙江省地方标准《用水定额》（DB23/T727</w:t>
            </w:r>
            <w:r>
              <w:rPr>
                <w:color w:val="auto"/>
                <w:sz w:val="24"/>
                <w:szCs w:val="24"/>
                <w:highlight w:val="none"/>
              </w:rPr>
              <w:t>-202</w:t>
            </w:r>
            <w:r>
              <w:rPr>
                <w:rFonts w:hint="eastAsia"/>
                <w:color w:val="auto"/>
                <w:sz w:val="24"/>
                <w:szCs w:val="24"/>
                <w:highlight w:val="none"/>
                <w:lang w:val="en-US" w:eastAsia="zh-CN"/>
              </w:rPr>
              <w:t>5</w:t>
            </w:r>
            <w:r>
              <w:rPr>
                <w:color w:val="auto"/>
                <w:sz w:val="24"/>
                <w:szCs w:val="24"/>
                <w:highlight w:val="none"/>
              </w:rPr>
              <w:t>），生活用水按每人80L/d计，</w:t>
            </w:r>
            <w:r>
              <w:rPr>
                <w:rFonts w:hint="eastAsia"/>
                <w:color w:val="auto"/>
                <w:sz w:val="24"/>
                <w:szCs w:val="24"/>
                <w:highlight w:val="none"/>
                <w:lang w:eastAsia="zh-CN"/>
              </w:rPr>
              <w:t>厂区生活</w:t>
            </w:r>
            <w:r>
              <w:rPr>
                <w:color w:val="auto"/>
                <w:sz w:val="24"/>
                <w:szCs w:val="24"/>
                <w:highlight w:val="none"/>
              </w:rPr>
              <w:t>用水量约</w:t>
            </w:r>
            <w:r>
              <w:rPr>
                <w:rFonts w:hint="eastAsia"/>
                <w:color w:val="auto"/>
                <w:sz w:val="24"/>
                <w:szCs w:val="24"/>
                <w:highlight w:val="none"/>
                <w:lang w:val="en-US" w:eastAsia="zh-CN"/>
              </w:rPr>
              <w:t>0.4t</w:t>
            </w:r>
            <w:r>
              <w:rPr>
                <w:color w:val="auto"/>
                <w:sz w:val="24"/>
                <w:szCs w:val="24"/>
                <w:highlight w:val="none"/>
              </w:rPr>
              <w:t>/d，</w:t>
            </w:r>
            <w:r>
              <w:rPr>
                <w:rFonts w:hint="eastAsia"/>
                <w:color w:val="auto"/>
                <w:sz w:val="24"/>
                <w:szCs w:val="24"/>
                <w:highlight w:val="none"/>
                <w:lang w:val="en-US" w:eastAsia="zh-CN"/>
              </w:rPr>
              <w:t>24t</w:t>
            </w:r>
            <w:r>
              <w:rPr>
                <w:color w:val="auto"/>
                <w:sz w:val="24"/>
                <w:szCs w:val="24"/>
                <w:highlight w:val="none"/>
              </w:rPr>
              <w:t>/a。</w:t>
            </w:r>
          </w:p>
          <w:p>
            <w:pPr>
              <w:tabs>
                <w:tab w:val="left" w:pos="630"/>
              </w:tabs>
              <w:spacing w:line="360" w:lineRule="auto"/>
              <w:ind w:firstLine="480" w:firstLineChars="200"/>
              <w:rPr>
                <w:color w:val="auto"/>
                <w:spacing w:val="0"/>
                <w:position w:val="0"/>
                <w:sz w:val="24"/>
                <w:szCs w:val="24"/>
                <w:highlight w:val="none"/>
              </w:rPr>
            </w:pPr>
            <w:r>
              <w:rPr>
                <w:rFonts w:hint="default" w:ascii="Times New Roman" w:hAnsi="Times New Roman" w:eastAsia="宋体" w:cs="Times New Roman"/>
                <w:color w:val="auto"/>
                <w:sz w:val="24"/>
                <w:szCs w:val="24"/>
              </w:rPr>
              <w:t>②</w:t>
            </w:r>
            <w:r>
              <w:rPr>
                <w:rFonts w:hint="eastAsia" w:cs="Times New Roman"/>
                <w:color w:val="auto"/>
                <w:sz w:val="24"/>
                <w:szCs w:val="24"/>
                <w:lang w:val="en-US" w:eastAsia="zh-CN"/>
              </w:rPr>
              <w:t>设备</w:t>
            </w:r>
            <w:r>
              <w:rPr>
                <w:rFonts w:hint="eastAsia"/>
                <w:color w:val="auto"/>
                <w:spacing w:val="0"/>
                <w:position w:val="0"/>
                <w:sz w:val="24"/>
                <w:szCs w:val="24"/>
                <w:highlight w:val="none"/>
              </w:rPr>
              <w:t>清洗用水</w:t>
            </w:r>
          </w:p>
          <w:p>
            <w:pPr>
              <w:pStyle w:val="113"/>
              <w:spacing w:line="360" w:lineRule="auto"/>
              <w:ind w:firstLine="480"/>
              <w:rPr>
                <w:rFonts w:hint="eastAsia"/>
                <w:color w:val="auto"/>
                <w:spacing w:val="0"/>
                <w:position w:val="0"/>
                <w:sz w:val="24"/>
                <w:szCs w:val="24"/>
                <w:highlight w:val="none"/>
              </w:rPr>
            </w:pPr>
            <w:r>
              <w:rPr>
                <w:rFonts w:hint="eastAsia"/>
                <w:color w:val="auto"/>
                <w:spacing w:val="0"/>
                <w:position w:val="0"/>
                <w:sz w:val="24"/>
                <w:szCs w:val="24"/>
                <w:highlight w:val="none"/>
              </w:rPr>
              <w:t>企业设备清洗水产生量按2t/d计算，年工作日按</w:t>
            </w:r>
            <w:r>
              <w:rPr>
                <w:rFonts w:hint="eastAsia"/>
                <w:color w:val="auto"/>
                <w:spacing w:val="0"/>
                <w:position w:val="0"/>
                <w:sz w:val="24"/>
                <w:szCs w:val="24"/>
                <w:highlight w:val="none"/>
                <w:lang w:val="en-US" w:eastAsia="zh-CN"/>
              </w:rPr>
              <w:t>6</w:t>
            </w:r>
            <w:r>
              <w:rPr>
                <w:rFonts w:hint="eastAsia"/>
                <w:color w:val="auto"/>
                <w:spacing w:val="0"/>
                <w:position w:val="0"/>
                <w:sz w:val="24"/>
                <w:szCs w:val="24"/>
                <w:highlight w:val="none"/>
              </w:rPr>
              <w:t>0天计算，则预计该部分废水产生量为</w:t>
            </w:r>
            <w:r>
              <w:rPr>
                <w:rFonts w:hint="eastAsia"/>
                <w:color w:val="auto"/>
                <w:spacing w:val="0"/>
                <w:position w:val="0"/>
                <w:sz w:val="24"/>
                <w:szCs w:val="24"/>
                <w:highlight w:val="none"/>
                <w:lang w:val="en-US" w:eastAsia="zh-CN"/>
              </w:rPr>
              <w:t>120</w:t>
            </w:r>
            <w:r>
              <w:rPr>
                <w:rFonts w:hint="eastAsia"/>
                <w:color w:val="auto"/>
                <w:spacing w:val="0"/>
                <w:position w:val="0"/>
                <w:sz w:val="24"/>
                <w:szCs w:val="24"/>
                <w:highlight w:val="none"/>
              </w:rPr>
              <w:t>t/a。</w:t>
            </w:r>
          </w:p>
          <w:p>
            <w:pPr>
              <w:pStyle w:val="113"/>
              <w:spacing w:line="360" w:lineRule="auto"/>
              <w:ind w:firstLine="480"/>
              <w:rPr>
                <w:rFonts w:hint="default"/>
                <w:color w:val="auto"/>
                <w:sz w:val="24"/>
                <w:szCs w:val="24"/>
                <w:highlight w:val="none"/>
                <w:lang w:val="en-US" w:eastAsia="zh-CN"/>
              </w:rPr>
            </w:pPr>
            <w:r>
              <w:rPr>
                <w:rFonts w:hint="eastAsia"/>
                <w:color w:val="auto"/>
                <w:sz w:val="24"/>
                <w:szCs w:val="24"/>
                <w:highlight w:val="none"/>
                <w:lang w:val="en-US" w:eastAsia="zh-CN"/>
              </w:rPr>
              <w:t>③地面清洗水</w:t>
            </w:r>
          </w:p>
          <w:p>
            <w:pPr>
              <w:pStyle w:val="113"/>
              <w:spacing w:line="360" w:lineRule="auto"/>
              <w:ind w:firstLine="480"/>
              <w:rPr>
                <w:rFonts w:hint="eastAsia"/>
                <w:color w:val="auto"/>
                <w:highlight w:val="none"/>
              </w:rPr>
            </w:pPr>
            <w:r>
              <w:rPr>
                <w:color w:val="auto"/>
              </w:rPr>
              <w:t>根据生产需要，项目生产区域车间地面每天需要清洗一次，参考《建筑给水排水设计规范》（</w:t>
            </w:r>
            <w:r>
              <w:rPr>
                <w:color w:val="auto"/>
                <w:highlight w:val="none"/>
              </w:rPr>
              <w:t>GB50015-2019），车间地面冲洗水量按</w:t>
            </w:r>
            <w:r>
              <w:rPr>
                <w:rFonts w:hint="eastAsia"/>
                <w:color w:val="auto"/>
                <w:highlight w:val="none"/>
                <w:lang w:val="en-US" w:eastAsia="zh-CN"/>
              </w:rPr>
              <w:t>1</w:t>
            </w:r>
            <w:r>
              <w:rPr>
                <w:color w:val="auto"/>
                <w:highlight w:val="none"/>
              </w:rPr>
              <w:t>L/m</w:t>
            </w:r>
            <w:r>
              <w:rPr>
                <w:color w:val="auto"/>
                <w:highlight w:val="none"/>
                <w:vertAlign w:val="superscript"/>
              </w:rPr>
              <w:t>2</w:t>
            </w:r>
            <w:r>
              <w:rPr>
                <w:color w:val="auto"/>
                <w:highlight w:val="none"/>
              </w:rPr>
              <w:t>•次计，根据企业提供设计资料，需要清洗的生产车间地面约</w:t>
            </w:r>
            <w:r>
              <w:rPr>
                <w:rFonts w:hint="eastAsia"/>
                <w:color w:val="auto"/>
                <w:highlight w:val="none"/>
                <w:lang w:val="en-US" w:eastAsia="zh-CN"/>
              </w:rPr>
              <w:t>715</w:t>
            </w:r>
            <w:r>
              <w:rPr>
                <w:color w:val="auto"/>
                <w:highlight w:val="none"/>
              </w:rPr>
              <w:t>m</w:t>
            </w:r>
            <w:r>
              <w:rPr>
                <w:color w:val="auto"/>
                <w:highlight w:val="none"/>
                <w:vertAlign w:val="superscript"/>
              </w:rPr>
              <w:t>2</w:t>
            </w:r>
            <w:r>
              <w:rPr>
                <w:color w:val="auto"/>
                <w:highlight w:val="none"/>
              </w:rPr>
              <w:t>，则车间清洗用水为</w:t>
            </w:r>
            <w:r>
              <w:rPr>
                <w:rFonts w:hint="eastAsia"/>
                <w:color w:val="auto"/>
                <w:highlight w:val="none"/>
                <w:lang w:val="en-US" w:eastAsia="zh-CN"/>
              </w:rPr>
              <w:t>0.715</w:t>
            </w:r>
            <w:r>
              <w:rPr>
                <w:color w:val="auto"/>
                <w:highlight w:val="none"/>
              </w:rPr>
              <w:t>m</w:t>
            </w:r>
            <w:r>
              <w:rPr>
                <w:color w:val="auto"/>
                <w:highlight w:val="none"/>
                <w:vertAlign w:val="superscript"/>
              </w:rPr>
              <w:t>3</w:t>
            </w:r>
            <w:r>
              <w:rPr>
                <w:color w:val="auto"/>
                <w:highlight w:val="none"/>
              </w:rPr>
              <w:t>/次，</w:t>
            </w:r>
            <w:r>
              <w:rPr>
                <w:rFonts w:hint="eastAsia"/>
                <w:color w:val="auto"/>
                <w:highlight w:val="none"/>
                <w:lang w:val="en-US" w:eastAsia="zh-CN"/>
              </w:rPr>
              <w:t>每天清洗一次地面，清洗用水为42.9</w:t>
            </w:r>
            <w:r>
              <w:rPr>
                <w:color w:val="auto"/>
                <w:highlight w:val="none"/>
              </w:rPr>
              <w:t>m</w:t>
            </w:r>
            <w:r>
              <w:rPr>
                <w:color w:val="auto"/>
                <w:highlight w:val="none"/>
                <w:vertAlign w:val="superscript"/>
              </w:rPr>
              <w:t>3</w:t>
            </w:r>
            <w:r>
              <w:rPr>
                <w:color w:val="auto"/>
                <w:highlight w:val="none"/>
              </w:rPr>
              <w:t>/a</w:t>
            </w:r>
            <w:r>
              <w:rPr>
                <w:rFonts w:hint="eastAsia"/>
                <w:color w:val="auto"/>
                <w:highlight w:val="none"/>
              </w:rPr>
              <w:t>。</w:t>
            </w:r>
          </w:p>
          <w:p>
            <w:pPr>
              <w:pStyle w:val="113"/>
              <w:spacing w:line="360" w:lineRule="auto"/>
              <w:ind w:firstLine="480"/>
              <w:rPr>
                <w:rFonts w:hint="default"/>
                <w:color w:val="auto"/>
                <w:sz w:val="24"/>
                <w:szCs w:val="24"/>
                <w:highlight w:val="none"/>
                <w:lang w:val="en-US" w:eastAsia="zh-CN"/>
              </w:rPr>
            </w:pPr>
            <w:r>
              <w:rPr>
                <w:rFonts w:hint="eastAsia"/>
                <w:color w:val="auto"/>
                <w:sz w:val="24"/>
                <w:szCs w:val="24"/>
                <w:highlight w:val="none"/>
                <w:lang w:val="en-US" w:eastAsia="zh-CN"/>
              </w:rPr>
              <w:t>④洗瓶用水</w:t>
            </w:r>
          </w:p>
          <w:p>
            <w:pPr>
              <w:pStyle w:val="75"/>
              <w:spacing w:line="360" w:lineRule="auto"/>
              <w:ind w:firstLineChars="200"/>
              <w:rPr>
                <w:rFonts w:hint="default" w:eastAsia="宋体"/>
                <w:color w:val="auto"/>
                <w:highlight w:val="yellow"/>
                <w:lang w:val="en-US" w:eastAsia="zh-CN"/>
              </w:rPr>
            </w:pPr>
            <w:r>
              <w:rPr>
                <w:rFonts w:hint="eastAsia"/>
                <w:color w:val="auto"/>
                <w:lang w:val="en-US" w:eastAsia="zh-CN"/>
              </w:rPr>
              <w:t>本项目需要洗瓶总数为800000个，</w:t>
            </w:r>
            <w:r>
              <w:rPr>
                <w:rFonts w:hint="eastAsia"/>
                <w:color w:val="auto"/>
                <w:highlight w:val="none"/>
                <w:lang w:val="en-US" w:eastAsia="zh-CN"/>
              </w:rPr>
              <w:t>洗</w:t>
            </w:r>
            <w:r>
              <w:rPr>
                <w:rFonts w:hint="eastAsia"/>
                <w:color w:val="auto"/>
                <w:highlight w:val="none"/>
              </w:rPr>
              <w:t>瓶清洗用水约</w:t>
            </w:r>
            <w:r>
              <w:rPr>
                <w:rFonts w:hint="eastAsia"/>
                <w:color w:val="auto"/>
                <w:highlight w:val="none"/>
                <w:lang w:val="en-US" w:eastAsia="zh-CN"/>
              </w:rPr>
              <w:t>75mL/个，洗瓶用水量约60m</w:t>
            </w:r>
            <w:r>
              <w:rPr>
                <w:rFonts w:hint="eastAsia"/>
                <w:color w:val="auto"/>
                <w:highlight w:val="none"/>
                <w:vertAlign w:val="superscript"/>
                <w:lang w:val="en-US" w:eastAsia="zh-CN"/>
              </w:rPr>
              <w:t>3</w:t>
            </w:r>
            <w:r>
              <w:rPr>
                <w:rFonts w:hint="eastAsia"/>
                <w:color w:val="auto"/>
                <w:highlight w:val="none"/>
                <w:lang w:val="en-US" w:eastAsia="zh-CN"/>
              </w:rPr>
              <w:t>/a，1m</w:t>
            </w:r>
            <w:r>
              <w:rPr>
                <w:rFonts w:hint="eastAsia"/>
                <w:color w:val="auto"/>
                <w:highlight w:val="none"/>
                <w:vertAlign w:val="superscript"/>
                <w:lang w:val="en-US" w:eastAsia="zh-CN"/>
              </w:rPr>
              <w:t>3</w:t>
            </w:r>
            <w:r>
              <w:rPr>
                <w:rFonts w:hint="eastAsia"/>
                <w:color w:val="auto"/>
                <w:highlight w:val="none"/>
                <w:lang w:val="en-US" w:eastAsia="zh-CN"/>
              </w:rPr>
              <w:t>/d。</w:t>
            </w:r>
          </w:p>
          <w:p>
            <w:pPr>
              <w:pStyle w:val="113"/>
              <w:spacing w:line="360" w:lineRule="auto"/>
              <w:ind w:firstLine="480"/>
              <w:rPr>
                <w:rFonts w:hint="default"/>
                <w:color w:val="auto"/>
                <w:sz w:val="24"/>
                <w:szCs w:val="24"/>
                <w:highlight w:val="none"/>
                <w:lang w:val="en-US" w:eastAsia="zh-CN"/>
              </w:rPr>
            </w:pPr>
            <w:r>
              <w:rPr>
                <w:rFonts w:hint="eastAsia"/>
                <w:color w:val="auto"/>
                <w:sz w:val="24"/>
                <w:szCs w:val="24"/>
                <w:highlight w:val="none"/>
                <w:vertAlign w:val="baseline"/>
                <w:lang w:val="en-US" w:eastAsia="zh-CN"/>
              </w:rPr>
              <w:t>综上，本项目</w:t>
            </w:r>
            <w:r>
              <w:rPr>
                <w:color w:val="auto"/>
                <w:sz w:val="24"/>
                <w:szCs w:val="24"/>
                <w:highlight w:val="none"/>
                <w:lang w:val="en-US" w:eastAsia="zh-CN"/>
              </w:rPr>
              <w:t>用水</w:t>
            </w:r>
            <w:r>
              <w:rPr>
                <w:rFonts w:hint="eastAsia"/>
                <w:color w:val="auto"/>
                <w:sz w:val="24"/>
                <w:szCs w:val="24"/>
                <w:highlight w:val="none"/>
                <w:lang w:val="en-US" w:eastAsia="zh-CN"/>
              </w:rPr>
              <w:t>量为4.115</w:t>
            </w:r>
            <w:r>
              <w:rPr>
                <w:rFonts w:hint="eastAsia"/>
                <w:color w:val="auto"/>
                <w:highlight w:val="none"/>
                <w:lang w:val="en-US" w:eastAsia="zh-CN"/>
              </w:rPr>
              <w:t>t/d</w:t>
            </w:r>
            <w:r>
              <w:rPr>
                <w:rFonts w:hint="eastAsia"/>
                <w:color w:val="auto"/>
                <w:sz w:val="24"/>
                <w:szCs w:val="24"/>
                <w:highlight w:val="none"/>
                <w:lang w:val="en-US" w:eastAsia="zh-CN"/>
              </w:rPr>
              <w:t>，246.9t</w:t>
            </w:r>
            <w:r>
              <w:rPr>
                <w:color w:val="auto"/>
                <w:sz w:val="24"/>
                <w:szCs w:val="24"/>
                <w:highlight w:val="none"/>
                <w:lang w:val="en-US" w:eastAsia="zh-CN"/>
              </w:rPr>
              <w:t>/a。</w:t>
            </w:r>
          </w:p>
          <w:p>
            <w:pPr>
              <w:pStyle w:val="75"/>
              <w:spacing w:line="360" w:lineRule="auto"/>
              <w:ind w:firstLineChars="20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排水</w:t>
            </w:r>
          </w:p>
          <w:p>
            <w:pPr>
              <w:pStyle w:val="75"/>
              <w:spacing w:line="360" w:lineRule="auto"/>
              <w:ind w:firstLineChars="200"/>
              <w:rPr>
                <w:color w:val="auto"/>
                <w:highlight w:val="none"/>
              </w:rPr>
            </w:pPr>
            <w:r>
              <w:rPr>
                <w:rFonts w:hint="eastAsia"/>
                <w:color w:val="auto"/>
                <w:highlight w:val="none"/>
              </w:rPr>
              <w:fldChar w:fldCharType="begin"/>
            </w:r>
            <w:r>
              <w:rPr>
                <w:rFonts w:hint="eastAsia"/>
                <w:color w:val="auto"/>
                <w:highlight w:val="none"/>
              </w:rPr>
              <w:instrText xml:space="preserve"> = 1 \* GB3 \* MERGEFORMAT </w:instrText>
            </w:r>
            <w:r>
              <w:rPr>
                <w:rFonts w:hint="eastAsia"/>
                <w:color w:val="auto"/>
                <w:highlight w:val="none"/>
              </w:rPr>
              <w:fldChar w:fldCharType="separate"/>
            </w:r>
            <w:r>
              <w:rPr>
                <w:color w:val="auto"/>
                <w:highlight w:val="none"/>
              </w:rPr>
              <w:t>①</w:t>
            </w:r>
            <w:r>
              <w:rPr>
                <w:rFonts w:hint="eastAsia"/>
                <w:color w:val="auto"/>
                <w:highlight w:val="none"/>
              </w:rPr>
              <w:fldChar w:fldCharType="end"/>
            </w:r>
            <w:r>
              <w:rPr>
                <w:rFonts w:hint="eastAsia"/>
                <w:color w:val="auto"/>
                <w:highlight w:val="none"/>
              </w:rPr>
              <w:t>生活污水</w:t>
            </w:r>
          </w:p>
          <w:p>
            <w:pPr>
              <w:pStyle w:val="75"/>
              <w:spacing w:line="360" w:lineRule="auto"/>
              <w:ind w:firstLineChars="200"/>
              <w:rPr>
                <w:color w:val="auto"/>
                <w:highlight w:val="yellow"/>
              </w:rPr>
            </w:pPr>
            <w:r>
              <w:rPr>
                <w:color w:val="auto"/>
                <w:highlight w:val="none"/>
              </w:rPr>
              <w:t>员工生活污水排放量按产生量的80%</w:t>
            </w:r>
            <w:r>
              <w:rPr>
                <w:rFonts w:hint="eastAsia"/>
                <w:color w:val="auto"/>
                <w:highlight w:val="none"/>
                <w:lang w:eastAsia="zh-CN"/>
              </w:rPr>
              <w:t>计算</w:t>
            </w:r>
            <w:r>
              <w:rPr>
                <w:color w:val="auto"/>
                <w:highlight w:val="none"/>
              </w:rPr>
              <w:t>，则排水量为</w:t>
            </w:r>
            <w:r>
              <w:rPr>
                <w:rFonts w:hint="eastAsia"/>
                <w:color w:val="auto"/>
                <w:highlight w:val="none"/>
                <w:lang w:val="en-US" w:eastAsia="zh-CN"/>
              </w:rPr>
              <w:t>0.32t</w:t>
            </w:r>
            <w:r>
              <w:rPr>
                <w:color w:val="auto"/>
                <w:highlight w:val="none"/>
              </w:rPr>
              <w:t>/d，</w:t>
            </w:r>
            <w:r>
              <w:rPr>
                <w:rFonts w:hint="eastAsia"/>
                <w:color w:val="auto"/>
                <w:highlight w:val="none"/>
                <w:lang w:val="en-US" w:eastAsia="zh-CN"/>
              </w:rPr>
              <w:t>19.2t</w:t>
            </w:r>
            <w:r>
              <w:rPr>
                <w:color w:val="auto"/>
                <w:highlight w:val="none"/>
              </w:rPr>
              <w:t>/a。</w:t>
            </w:r>
          </w:p>
          <w:p>
            <w:pPr>
              <w:spacing w:line="360" w:lineRule="auto"/>
              <w:ind w:firstLine="480" w:firstLineChars="200"/>
              <w:rPr>
                <w:color w:val="auto"/>
                <w:spacing w:val="0"/>
                <w:position w:val="0"/>
                <w:sz w:val="24"/>
                <w:szCs w:val="24"/>
                <w:highlight w:val="none"/>
              </w:rPr>
            </w:pPr>
            <w:r>
              <w:rPr>
                <w:rFonts w:hint="eastAsia"/>
                <w:color w:val="auto"/>
                <w:sz w:val="24"/>
                <w:szCs w:val="24"/>
                <w:highlight w:val="none"/>
              </w:rPr>
              <w:fldChar w:fldCharType="begin"/>
            </w:r>
            <w:r>
              <w:rPr>
                <w:rFonts w:hint="eastAsia"/>
                <w:color w:val="auto"/>
                <w:sz w:val="24"/>
                <w:szCs w:val="24"/>
                <w:highlight w:val="none"/>
              </w:rPr>
              <w:instrText xml:space="preserve"> = 2 \* GB3 \* MERGEFORMAT </w:instrText>
            </w:r>
            <w:r>
              <w:rPr>
                <w:rFonts w:hint="eastAsia"/>
                <w:color w:val="auto"/>
                <w:sz w:val="24"/>
                <w:szCs w:val="24"/>
                <w:highlight w:val="none"/>
              </w:rPr>
              <w:fldChar w:fldCharType="separate"/>
            </w:r>
            <w:r>
              <w:rPr>
                <w:color w:val="auto"/>
                <w:sz w:val="24"/>
                <w:szCs w:val="24"/>
                <w:highlight w:val="none"/>
              </w:rPr>
              <w:t>②</w:t>
            </w:r>
            <w:r>
              <w:rPr>
                <w:rFonts w:hint="eastAsia"/>
                <w:color w:val="auto"/>
                <w:sz w:val="24"/>
                <w:szCs w:val="24"/>
                <w:highlight w:val="none"/>
              </w:rPr>
              <w:fldChar w:fldCharType="end"/>
            </w:r>
            <w:r>
              <w:rPr>
                <w:rFonts w:hint="eastAsia" w:cs="Times New Roman"/>
                <w:color w:val="auto"/>
                <w:sz w:val="24"/>
                <w:szCs w:val="24"/>
                <w:lang w:val="en-US" w:eastAsia="zh-CN"/>
              </w:rPr>
              <w:t>设备</w:t>
            </w:r>
            <w:r>
              <w:rPr>
                <w:rFonts w:hint="eastAsia"/>
                <w:color w:val="auto"/>
                <w:spacing w:val="0"/>
                <w:position w:val="0"/>
                <w:sz w:val="24"/>
                <w:szCs w:val="24"/>
                <w:highlight w:val="none"/>
              </w:rPr>
              <w:t>清洗用水</w:t>
            </w:r>
          </w:p>
          <w:p>
            <w:pPr>
              <w:pStyle w:val="75"/>
              <w:spacing w:line="360" w:lineRule="auto"/>
              <w:ind w:firstLineChars="200"/>
              <w:rPr>
                <w:rFonts w:hint="default" w:eastAsia="宋体"/>
                <w:color w:val="auto"/>
                <w:sz w:val="24"/>
                <w:szCs w:val="24"/>
                <w:highlight w:val="none"/>
                <w:lang w:val="en-US" w:eastAsia="zh-CN"/>
              </w:rPr>
            </w:pPr>
            <w:r>
              <w:rPr>
                <w:rFonts w:hint="eastAsia"/>
                <w:color w:val="auto"/>
                <w:spacing w:val="0"/>
                <w:position w:val="0"/>
                <w:sz w:val="24"/>
                <w:szCs w:val="24"/>
                <w:highlight w:val="none"/>
                <w:lang w:val="en-US" w:eastAsia="zh-CN"/>
              </w:rPr>
              <w:t>设备清洗废水量按用水量90%计，1.8t/d，108t/a。</w:t>
            </w:r>
          </w:p>
          <w:p>
            <w:pPr>
              <w:pStyle w:val="75"/>
              <w:spacing w:line="360" w:lineRule="auto"/>
              <w:ind w:firstLineChars="200"/>
              <w:rPr>
                <w:color w:val="auto"/>
                <w:highlight w:val="none"/>
              </w:rPr>
            </w:pPr>
            <w:r>
              <w:rPr>
                <w:rFonts w:hint="eastAsia"/>
                <w:color w:val="auto"/>
                <w:highlight w:val="none"/>
                <w:lang w:val="en-US" w:eastAsia="zh-CN"/>
              </w:rPr>
              <w:t>③</w:t>
            </w:r>
            <w:r>
              <w:rPr>
                <w:rFonts w:hint="eastAsia"/>
                <w:color w:val="auto"/>
                <w:highlight w:val="none"/>
              </w:rPr>
              <w:t>车间地面清洗废水</w:t>
            </w:r>
          </w:p>
          <w:p>
            <w:pPr>
              <w:pStyle w:val="75"/>
              <w:spacing w:line="360" w:lineRule="auto"/>
              <w:ind w:firstLineChars="200"/>
              <w:rPr>
                <w:color w:val="auto"/>
                <w:highlight w:val="none"/>
              </w:rPr>
            </w:pPr>
            <w:r>
              <w:rPr>
                <w:rFonts w:hint="eastAsia"/>
                <w:color w:val="auto"/>
                <w:highlight w:val="none"/>
              </w:rPr>
              <w:t>车间地面清洗用水量</w:t>
            </w:r>
            <w:r>
              <w:rPr>
                <w:rFonts w:hint="eastAsia"/>
                <w:color w:val="auto"/>
                <w:highlight w:val="none"/>
                <w:lang w:val="en-US" w:eastAsia="zh-CN"/>
              </w:rPr>
              <w:t>42.9</w:t>
            </w:r>
            <w:r>
              <w:rPr>
                <w:color w:val="auto"/>
                <w:highlight w:val="none"/>
              </w:rPr>
              <w:t>t/a</w:t>
            </w:r>
            <w:r>
              <w:rPr>
                <w:rFonts w:hint="eastAsia"/>
                <w:color w:val="auto"/>
                <w:highlight w:val="none"/>
              </w:rPr>
              <w:t>。排放量按</w:t>
            </w:r>
            <w:r>
              <w:rPr>
                <w:rFonts w:hint="eastAsia"/>
                <w:color w:val="auto"/>
                <w:highlight w:val="none"/>
                <w:lang w:val="en-US" w:eastAsia="zh-CN"/>
              </w:rPr>
              <w:t>8</w:t>
            </w:r>
            <w:r>
              <w:rPr>
                <w:rFonts w:hint="eastAsia"/>
                <w:color w:val="auto"/>
                <w:highlight w:val="none"/>
              </w:rPr>
              <w:t>0%计算，则车间地面清洗废水为</w:t>
            </w:r>
            <w:r>
              <w:rPr>
                <w:rFonts w:hint="eastAsia"/>
                <w:color w:val="auto"/>
                <w:highlight w:val="none"/>
                <w:lang w:val="en-US" w:eastAsia="zh-CN"/>
              </w:rPr>
              <w:t>34.32</w:t>
            </w:r>
            <w:r>
              <w:rPr>
                <w:rFonts w:hint="eastAsia"/>
                <w:color w:val="auto"/>
                <w:highlight w:val="none"/>
              </w:rPr>
              <w:t>t/a</w:t>
            </w:r>
            <w:r>
              <w:rPr>
                <w:rFonts w:hint="eastAsia"/>
                <w:color w:val="auto"/>
                <w:highlight w:val="none"/>
                <w:lang w:eastAsia="zh-CN"/>
              </w:rPr>
              <w:t>，</w:t>
            </w:r>
            <w:r>
              <w:rPr>
                <w:rFonts w:hint="eastAsia"/>
                <w:color w:val="auto"/>
                <w:highlight w:val="none"/>
                <w:lang w:val="en-US" w:eastAsia="zh-CN"/>
              </w:rPr>
              <w:t>0.572t/d</w:t>
            </w:r>
            <w:r>
              <w:rPr>
                <w:rFonts w:hint="eastAsia"/>
                <w:color w:val="auto"/>
                <w:highlight w:val="none"/>
              </w:rPr>
              <w:t>。</w:t>
            </w:r>
          </w:p>
          <w:p>
            <w:pPr>
              <w:pStyle w:val="75"/>
              <w:spacing w:line="360" w:lineRule="auto"/>
              <w:ind w:firstLineChars="200"/>
              <w:rPr>
                <w:color w:val="auto"/>
                <w:highlight w:val="none"/>
              </w:rPr>
            </w:pPr>
            <w:r>
              <w:rPr>
                <w:rFonts w:hint="eastAsia"/>
                <w:color w:val="auto"/>
                <w:highlight w:val="none"/>
                <w:lang w:val="en-US" w:eastAsia="zh-CN"/>
              </w:rPr>
              <w:t>④</w:t>
            </w:r>
            <w:r>
              <w:rPr>
                <w:rFonts w:hint="eastAsia"/>
                <w:color w:val="auto"/>
                <w:highlight w:val="none"/>
              </w:rPr>
              <w:t>洗瓶废水</w:t>
            </w:r>
          </w:p>
          <w:p>
            <w:pPr>
              <w:pStyle w:val="75"/>
              <w:spacing w:line="360" w:lineRule="auto"/>
              <w:ind w:firstLineChars="200"/>
              <w:rPr>
                <w:rFonts w:hint="default" w:eastAsia="宋体"/>
                <w:color w:val="auto"/>
                <w:highlight w:val="none"/>
                <w:lang w:val="en-US" w:eastAsia="zh-CN"/>
              </w:rPr>
            </w:pPr>
            <w:r>
              <w:rPr>
                <w:rFonts w:hint="eastAsia"/>
                <w:color w:val="auto"/>
                <w:highlight w:val="none"/>
              </w:rPr>
              <w:t>洗瓶用水量为</w:t>
            </w:r>
            <w:r>
              <w:rPr>
                <w:rFonts w:hint="eastAsia"/>
                <w:color w:val="auto"/>
                <w:highlight w:val="none"/>
                <w:lang w:val="en-US" w:eastAsia="zh-CN"/>
              </w:rPr>
              <w:t>60t</w:t>
            </w:r>
            <w:r>
              <w:rPr>
                <w:rFonts w:hint="eastAsia"/>
                <w:color w:val="auto"/>
                <w:highlight w:val="none"/>
              </w:rPr>
              <w:t>/a，排放量按</w:t>
            </w:r>
            <w:r>
              <w:rPr>
                <w:color w:val="auto"/>
                <w:highlight w:val="none"/>
              </w:rPr>
              <w:t>9</w:t>
            </w:r>
            <w:r>
              <w:rPr>
                <w:rFonts w:hint="eastAsia"/>
                <w:color w:val="auto"/>
                <w:highlight w:val="none"/>
              </w:rPr>
              <w:t>0%计算，则洗瓶废水量为</w:t>
            </w:r>
            <w:r>
              <w:rPr>
                <w:rFonts w:hint="eastAsia"/>
                <w:color w:val="auto"/>
                <w:highlight w:val="none"/>
                <w:lang w:val="en-US" w:eastAsia="zh-CN"/>
              </w:rPr>
              <w:t>54</w:t>
            </w:r>
            <w:r>
              <w:rPr>
                <w:rFonts w:hint="eastAsia"/>
                <w:color w:val="auto"/>
                <w:highlight w:val="none"/>
              </w:rPr>
              <w:t>t/a</w:t>
            </w:r>
            <w:r>
              <w:rPr>
                <w:rFonts w:hint="eastAsia"/>
                <w:color w:val="auto"/>
                <w:highlight w:val="none"/>
                <w:lang w:eastAsia="zh-CN"/>
              </w:rPr>
              <w:t>，</w:t>
            </w:r>
            <w:r>
              <w:rPr>
                <w:rFonts w:hint="eastAsia"/>
                <w:color w:val="auto"/>
                <w:highlight w:val="none"/>
                <w:lang w:val="en-US" w:eastAsia="zh-CN"/>
              </w:rPr>
              <w:t>0.9t/d</w:t>
            </w:r>
            <w:r>
              <w:rPr>
                <w:rFonts w:hint="eastAsia"/>
                <w:color w:val="auto"/>
                <w:highlight w:val="none"/>
              </w:rPr>
              <w:t>。</w:t>
            </w:r>
          </w:p>
          <w:p>
            <w:pPr>
              <w:pStyle w:val="75"/>
              <w:spacing w:line="360" w:lineRule="auto"/>
              <w:ind w:firstLineChars="200"/>
              <w:rPr>
                <w:color w:val="auto"/>
                <w:sz w:val="24"/>
              </w:rPr>
            </w:pPr>
            <w:r>
              <w:rPr>
                <w:rFonts w:hint="eastAsia"/>
                <w:color w:val="auto"/>
                <w:sz w:val="24"/>
                <w:szCs w:val="24"/>
                <w:highlight w:val="none"/>
                <w:vertAlign w:val="baseline"/>
                <w:lang w:val="en-US" w:eastAsia="zh-CN"/>
              </w:rPr>
              <w:t>综上，本项目排</w:t>
            </w:r>
            <w:r>
              <w:rPr>
                <w:color w:val="auto"/>
                <w:sz w:val="24"/>
                <w:szCs w:val="24"/>
                <w:highlight w:val="none"/>
                <w:lang w:val="en-US" w:eastAsia="zh-CN"/>
              </w:rPr>
              <w:t>水</w:t>
            </w:r>
            <w:r>
              <w:rPr>
                <w:rFonts w:hint="eastAsia"/>
                <w:color w:val="auto"/>
                <w:sz w:val="24"/>
                <w:szCs w:val="24"/>
                <w:highlight w:val="none"/>
                <w:lang w:val="en-US" w:eastAsia="zh-CN"/>
              </w:rPr>
              <w:t>量为3.592</w:t>
            </w:r>
            <w:r>
              <w:rPr>
                <w:rFonts w:hint="eastAsia"/>
                <w:color w:val="auto"/>
                <w:sz w:val="24"/>
              </w:rPr>
              <w:t>t/d，</w:t>
            </w:r>
            <w:r>
              <w:rPr>
                <w:rFonts w:hint="eastAsia"/>
                <w:color w:val="auto"/>
                <w:sz w:val="24"/>
                <w:lang w:val="en-US" w:eastAsia="zh-CN"/>
              </w:rPr>
              <w:t>215.52</w:t>
            </w:r>
            <w:r>
              <w:rPr>
                <w:color w:val="auto"/>
                <w:sz w:val="24"/>
              </w:rPr>
              <w:t>t/a。</w:t>
            </w:r>
          </w:p>
          <w:p>
            <w:pPr>
              <w:pStyle w:val="75"/>
              <w:spacing w:line="360" w:lineRule="auto"/>
              <w:ind w:firstLineChars="200"/>
              <w:rPr>
                <w:rFonts w:hint="eastAsia" w:eastAsia="宋体"/>
                <w:color w:val="auto"/>
                <w:sz w:val="24"/>
                <w:lang w:eastAsia="zh-CN"/>
              </w:rPr>
            </w:pPr>
            <w:r>
              <w:rPr>
                <w:rFonts w:hint="eastAsia" w:eastAsia="宋体"/>
                <w:color w:val="auto"/>
                <w:sz w:val="24"/>
                <w:lang w:eastAsia="zh-CN"/>
              </w:rPr>
              <w:drawing>
                <wp:inline distT="0" distB="0" distL="114300" distR="114300">
                  <wp:extent cx="5180965" cy="2459355"/>
                  <wp:effectExtent l="0" t="0" r="0" b="0"/>
                  <wp:docPr id="64" name="ECB019B1-382A-4266-B25C-5B523AA43C14-1" descr="C:/Users/WY001/AppData/Local/Temp/wps.qtVnk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CB019B1-382A-4266-B25C-5B523AA43C14-1" descr="C:/Users/WY001/AppData/Local/Temp/wps.qtVnkawps"/>
                          <pic:cNvPicPr>
                            <a:picLocks noChangeAspect="1"/>
                          </pic:cNvPicPr>
                        </pic:nvPicPr>
                        <pic:blipFill>
                          <a:blip r:embed="rId13"/>
                          <a:stretch>
                            <a:fillRect/>
                          </a:stretch>
                        </pic:blipFill>
                        <pic:spPr>
                          <a:xfrm>
                            <a:off x="0" y="0"/>
                            <a:ext cx="5180965" cy="2459355"/>
                          </a:xfrm>
                          <a:prstGeom prst="rect">
                            <a:avLst/>
                          </a:prstGeom>
                        </pic:spPr>
                      </pic:pic>
                    </a:graphicData>
                  </a:graphic>
                </wp:inline>
              </w:drawing>
            </w:r>
          </w:p>
          <w:p>
            <w:pPr>
              <w:pStyle w:val="27"/>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color w:val="auto"/>
                <w:lang w:eastAsia="zh-CN"/>
              </w:rPr>
            </w:pPr>
            <w:r>
              <w:rPr>
                <w:rFonts w:hint="default" w:ascii="Times New Roman" w:hAnsi="Times New Roman" w:cs="Times New Roman"/>
                <w:b/>
                <w:color w:val="auto"/>
                <w:spacing w:val="0"/>
                <w:position w:val="0"/>
                <w:szCs w:val="21"/>
                <w:highlight w:val="none"/>
              </w:rPr>
              <w:t>图2-1  项目水平衡图（单位：t/d）</w:t>
            </w:r>
          </w:p>
          <w:p>
            <w:pPr>
              <w:pStyle w:val="7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eastAsia="宋体"/>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供热</w:t>
            </w:r>
            <w:r>
              <w:rPr>
                <w:rFonts w:hint="eastAsia"/>
                <w:color w:val="auto"/>
                <w:lang w:eastAsia="zh-CN"/>
              </w:rPr>
              <w:t>：</w:t>
            </w:r>
            <w:r>
              <w:rPr>
                <w:rFonts w:hint="eastAsia"/>
                <w:color w:val="auto"/>
                <w:kern w:val="2"/>
                <w:sz w:val="24"/>
                <w:szCs w:val="24"/>
                <w:highlight w:val="none"/>
                <w:lang w:val="en-US" w:eastAsia="zh-CN" w:bidi="ar-SA"/>
              </w:rPr>
              <w:t>本项目供热为电加热。</w:t>
            </w:r>
          </w:p>
          <w:p>
            <w:pPr>
              <w:pStyle w:val="75"/>
              <w:spacing w:line="360" w:lineRule="auto"/>
              <w:ind w:firstLineChars="20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color w:val="auto"/>
              </w:rPr>
              <w:t>供电：本项目供电由当地供电局提供。</w:t>
            </w:r>
          </w:p>
          <w:p>
            <w:pPr>
              <w:widowControl/>
              <w:spacing w:line="360" w:lineRule="auto"/>
              <w:jc w:val="left"/>
              <w:rPr>
                <w:color w:val="auto"/>
                <w:sz w:val="24"/>
              </w:rPr>
            </w:pPr>
            <w:r>
              <w:rPr>
                <w:rFonts w:hint="eastAsia"/>
                <w:b/>
                <w:color w:val="auto"/>
                <w:kern w:val="0"/>
                <w:sz w:val="24"/>
                <w:lang w:val="en-US" w:eastAsia="zh-CN" w:bidi="ar"/>
              </w:rPr>
              <w:t>7</w:t>
            </w:r>
            <w:r>
              <w:rPr>
                <w:b/>
                <w:color w:val="auto"/>
                <w:kern w:val="0"/>
                <w:sz w:val="24"/>
                <w:lang w:bidi="ar"/>
              </w:rPr>
              <w:t xml:space="preserve">、环保投资 </w:t>
            </w:r>
          </w:p>
          <w:p>
            <w:pPr>
              <w:widowControl/>
              <w:spacing w:line="360" w:lineRule="auto"/>
              <w:ind w:firstLine="480" w:firstLineChars="200"/>
              <w:jc w:val="left"/>
              <w:rPr>
                <w:color w:val="auto"/>
                <w:kern w:val="0"/>
                <w:sz w:val="24"/>
                <w:lang w:bidi="ar"/>
              </w:rPr>
            </w:pPr>
            <w:r>
              <w:rPr>
                <w:color w:val="auto"/>
                <w:kern w:val="0"/>
                <w:sz w:val="24"/>
                <w:lang w:bidi="ar"/>
              </w:rPr>
              <w:t>本项目环保投资具体情况见表2-</w:t>
            </w:r>
            <w:r>
              <w:rPr>
                <w:rFonts w:hint="eastAsia"/>
                <w:color w:val="auto"/>
                <w:kern w:val="0"/>
                <w:sz w:val="24"/>
                <w:lang w:val="en-US" w:eastAsia="zh-CN" w:bidi="ar"/>
              </w:rPr>
              <w:t>6</w:t>
            </w:r>
            <w:r>
              <w:rPr>
                <w:color w:val="auto"/>
                <w:kern w:val="0"/>
                <w:sz w:val="24"/>
                <w:lang w:bidi="ar"/>
              </w:rPr>
              <w:t>。</w:t>
            </w:r>
          </w:p>
          <w:p>
            <w:pPr>
              <w:adjustRightInd w:val="0"/>
              <w:snapToGrid w:val="0"/>
              <w:jc w:val="center"/>
              <w:rPr>
                <w:b/>
                <w:bCs/>
                <w:color w:val="auto"/>
                <w:sz w:val="21"/>
                <w:szCs w:val="21"/>
                <w:highlight w:val="none"/>
              </w:rPr>
            </w:pPr>
            <w:r>
              <w:rPr>
                <w:b/>
                <w:bCs/>
                <w:color w:val="auto"/>
                <w:sz w:val="21"/>
                <w:szCs w:val="21"/>
                <w:highlight w:val="none"/>
              </w:rPr>
              <w:t>表2-</w:t>
            </w:r>
            <w:r>
              <w:rPr>
                <w:rFonts w:hint="eastAsia"/>
                <w:b/>
                <w:bCs/>
                <w:color w:val="auto"/>
                <w:sz w:val="21"/>
                <w:szCs w:val="21"/>
                <w:highlight w:val="none"/>
                <w:lang w:val="en-US" w:eastAsia="zh-CN"/>
              </w:rPr>
              <w:t>6</w:t>
            </w:r>
            <w:r>
              <w:rPr>
                <w:b/>
                <w:bCs/>
                <w:color w:val="auto"/>
                <w:sz w:val="21"/>
                <w:szCs w:val="21"/>
                <w:highlight w:val="none"/>
              </w:rPr>
              <w:t xml:space="preserve">  环保投资一览表</w:t>
            </w:r>
          </w:p>
          <w:tbl>
            <w:tblPr>
              <w:tblStyle w:val="29"/>
              <w:tblW w:w="861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5670"/>
              <w:gridCol w:w="14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14" w:type="dxa"/>
                  <w:noWrap w:val="0"/>
                  <w:vAlign w:val="center"/>
                </w:tcPr>
                <w:p>
                  <w:pPr>
                    <w:pStyle w:val="116"/>
                    <w:spacing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类别</w:t>
                  </w:r>
                </w:p>
              </w:tc>
              <w:tc>
                <w:tcPr>
                  <w:tcW w:w="5670" w:type="dxa"/>
                  <w:tcBorders>
                    <w:bottom w:val="single" w:color="auto" w:sz="4" w:space="0"/>
                  </w:tcBorders>
                  <w:noWrap w:val="0"/>
                  <w:vAlign w:val="center"/>
                </w:tcPr>
                <w:p>
                  <w:pPr>
                    <w:pStyle w:val="116"/>
                    <w:spacing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防治措施</w:t>
                  </w:r>
                </w:p>
              </w:tc>
              <w:tc>
                <w:tcPr>
                  <w:tcW w:w="1433" w:type="dxa"/>
                  <w:tcBorders>
                    <w:bottom w:val="single" w:color="auto" w:sz="4" w:space="0"/>
                  </w:tcBorders>
                  <w:noWrap w:val="0"/>
                  <w:vAlign w:val="center"/>
                </w:tcPr>
                <w:p>
                  <w:pPr>
                    <w:pStyle w:val="116"/>
                    <w:spacing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1514" w:type="dxa"/>
                  <w:tcBorders>
                    <w:top w:val="single" w:color="000000" w:sz="12" w:space="0"/>
                    <w:bottom w:val="single" w:color="000000" w:sz="12" w:space="0"/>
                  </w:tcBorders>
                  <w:noWrap w:val="0"/>
                  <w:vAlign w:val="center"/>
                </w:tcPr>
                <w:p>
                  <w:pPr>
                    <w:pStyle w:val="116"/>
                    <w:spacing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废气治理措施</w:t>
                  </w:r>
                </w:p>
              </w:tc>
              <w:tc>
                <w:tcPr>
                  <w:tcW w:w="5670" w:type="dxa"/>
                  <w:tcBorders>
                    <w:top w:val="single" w:color="000000" w:sz="12" w:space="0"/>
                    <w:bottom w:val="single" w:color="000000" w:sz="12" w:space="0"/>
                  </w:tcBorders>
                  <w:noWrap w:val="0"/>
                  <w:vAlign w:val="center"/>
                </w:tcPr>
                <w:p>
                  <w:pPr>
                    <w:pStyle w:val="116"/>
                    <w:spacing w:line="240" w:lineRule="auto"/>
                    <w:rPr>
                      <w:rFonts w:hint="default" w:ascii="Times New Roman" w:hAnsi="Times New Roman" w:eastAsia="宋体" w:cs="Times New Roman"/>
                      <w:color w:val="auto"/>
                      <w:sz w:val="21"/>
                      <w:szCs w:val="21"/>
                      <w:highlight w:val="none"/>
                      <w:lang w:val="en-US" w:eastAsia="zh-CN"/>
                    </w:rPr>
                  </w:pPr>
                  <w:r>
                    <w:rPr>
                      <w:rFonts w:hint="eastAsia"/>
                      <w:color w:val="auto"/>
                      <w:szCs w:val="21"/>
                      <w:highlight w:val="none"/>
                    </w:rPr>
                    <w:t>污水处理设施各池体进行全封闭，产生的恶臭气体经风机集气活性炭吸附后经15m高排气筒排放</w:t>
                  </w:r>
                </w:p>
              </w:tc>
              <w:tc>
                <w:tcPr>
                  <w:tcW w:w="1433" w:type="dxa"/>
                  <w:tcBorders>
                    <w:bottom w:val="single" w:color="000000" w:sz="4" w:space="0"/>
                  </w:tcBorders>
                  <w:noWrap w:val="0"/>
                  <w:vAlign w:val="center"/>
                </w:tcPr>
                <w:p>
                  <w:pPr>
                    <w:pStyle w:val="116"/>
                    <w:spacing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1514" w:type="dxa"/>
                  <w:noWrap w:val="0"/>
                  <w:vAlign w:val="center"/>
                </w:tcPr>
                <w:p>
                  <w:pPr>
                    <w:pStyle w:val="116"/>
                    <w:spacing w:line="240" w:lineRule="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废水</w:t>
                  </w:r>
                  <w:r>
                    <w:rPr>
                      <w:rFonts w:hint="default" w:ascii="Times New Roman" w:hAnsi="Times New Roman" w:cs="Times New Roman"/>
                      <w:color w:val="auto"/>
                      <w:sz w:val="21"/>
                      <w:szCs w:val="21"/>
                      <w:highlight w:val="none"/>
                      <w:lang w:val="en-US" w:eastAsia="zh-CN"/>
                    </w:rPr>
                    <w:t>治理措施</w:t>
                  </w:r>
                </w:p>
              </w:tc>
              <w:tc>
                <w:tcPr>
                  <w:tcW w:w="5670" w:type="dxa"/>
                  <w:noWrap w:val="0"/>
                  <w:vAlign w:val="center"/>
                </w:tcPr>
                <w:p>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污水处理</w:t>
                  </w:r>
                  <w:r>
                    <w:rPr>
                      <w:rFonts w:hint="eastAsia"/>
                      <w:color w:val="auto"/>
                      <w:highlight w:val="none"/>
                      <w:lang w:eastAsia="zh-CN"/>
                    </w:rPr>
                    <w:t>站</w:t>
                  </w:r>
                </w:p>
              </w:tc>
              <w:tc>
                <w:tcPr>
                  <w:tcW w:w="1433" w:type="dxa"/>
                  <w:noWrap w:val="0"/>
                  <w:vAlign w:val="center"/>
                </w:tcPr>
                <w:p>
                  <w:pPr>
                    <w:spacing w:line="240" w:lineRule="auto"/>
                    <w:jc w:val="center"/>
                    <w:rPr>
                      <w:rFonts w:hint="default" w:ascii="Times New Roman" w:hAnsi="Times New Roman" w:eastAsia="宋体" w:cs="Times New Roman"/>
                      <w:color w:val="auto"/>
                      <w:kern w:val="2"/>
                      <w:sz w:val="21"/>
                      <w:szCs w:val="22"/>
                      <w:highlight w:val="none"/>
                      <w:lang w:val="en-US" w:eastAsia="zh-CN" w:bidi="ar-SA"/>
                    </w:rPr>
                  </w:pPr>
                  <w:r>
                    <w:rPr>
                      <w:rFonts w:hint="eastAsia"/>
                      <w:color w:val="auto"/>
                      <w:szCs w:val="22"/>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14" w:type="dxa"/>
                  <w:noWrap w:val="0"/>
                  <w:vAlign w:val="center"/>
                </w:tcPr>
                <w:p>
                  <w:pPr>
                    <w:pStyle w:val="116"/>
                    <w:spacing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噪声治理措施</w:t>
                  </w:r>
                </w:p>
              </w:tc>
              <w:tc>
                <w:tcPr>
                  <w:tcW w:w="5670" w:type="dxa"/>
                  <w:noWrap w:val="0"/>
                  <w:vAlign w:val="center"/>
                </w:tcPr>
                <w:p>
                  <w:pPr>
                    <w:pStyle w:val="116"/>
                    <w:spacing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选取低噪声设备，采取减振、隔声等措施</w:t>
                  </w:r>
                </w:p>
              </w:tc>
              <w:tc>
                <w:tcPr>
                  <w:tcW w:w="1433" w:type="dxa"/>
                  <w:noWrap w:val="0"/>
                  <w:vAlign w:val="center"/>
                </w:tcPr>
                <w:p>
                  <w:pPr>
                    <w:pStyle w:val="116"/>
                    <w:spacing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14" w:type="dxa"/>
                  <w:noWrap w:val="0"/>
                  <w:vAlign w:val="center"/>
                </w:tcPr>
                <w:p>
                  <w:pPr>
                    <w:pStyle w:val="116"/>
                    <w:spacing w:line="240" w:lineRule="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固废治理措施</w:t>
                  </w:r>
                </w:p>
              </w:tc>
              <w:tc>
                <w:tcPr>
                  <w:tcW w:w="5670" w:type="dxa"/>
                  <w:noWrap w:val="0"/>
                  <w:vAlign w:val="center"/>
                </w:tcPr>
                <w:p>
                  <w:pPr>
                    <w:widowControl/>
                    <w:jc w:val="left"/>
                    <w:rPr>
                      <w:rFonts w:hint="default" w:ascii="Times New Roman" w:hAnsi="Times New Roman" w:cs="Times New Roman"/>
                      <w:color w:val="auto"/>
                      <w:sz w:val="21"/>
                      <w:szCs w:val="21"/>
                      <w:highlight w:val="none"/>
                      <w:lang w:val="en-US" w:eastAsia="zh-CN"/>
                    </w:rPr>
                  </w:pPr>
                  <w:r>
                    <w:rPr>
                      <w:rFonts w:hint="eastAsia"/>
                      <w:color w:val="auto"/>
                      <w:kern w:val="0"/>
                      <w:sz w:val="21"/>
                      <w:szCs w:val="21"/>
                      <w:highlight w:val="none"/>
                      <w:lang w:bidi="ar"/>
                    </w:rPr>
                    <w:t>废弃包装</w:t>
                  </w:r>
                  <w:r>
                    <w:rPr>
                      <w:rFonts w:hint="eastAsia"/>
                      <w:color w:val="auto"/>
                      <w:kern w:val="0"/>
                      <w:sz w:val="21"/>
                      <w:szCs w:val="21"/>
                      <w:highlight w:val="none"/>
                      <w:lang w:eastAsia="zh-CN" w:bidi="ar"/>
                    </w:rPr>
                    <w:t>、</w:t>
                  </w:r>
                  <w:r>
                    <w:rPr>
                      <w:rFonts w:hint="eastAsia"/>
                      <w:color w:val="auto"/>
                      <w:kern w:val="0"/>
                      <w:sz w:val="21"/>
                      <w:szCs w:val="21"/>
                      <w:highlight w:val="none"/>
                      <w:lang w:val="en-US" w:eastAsia="zh-CN" w:bidi="ar"/>
                    </w:rPr>
                    <w:t>滤渣</w:t>
                  </w:r>
                  <w:r>
                    <w:rPr>
                      <w:rFonts w:hint="eastAsia"/>
                      <w:color w:val="auto"/>
                      <w:kern w:val="0"/>
                      <w:sz w:val="21"/>
                      <w:szCs w:val="21"/>
                      <w:highlight w:val="none"/>
                      <w:lang w:bidi="ar"/>
                    </w:rPr>
                    <w:t>统一收</w:t>
                  </w:r>
                  <w:r>
                    <w:rPr>
                      <w:rFonts w:hint="eastAsia"/>
                      <w:color w:val="auto"/>
                      <w:kern w:val="0"/>
                      <w:szCs w:val="21"/>
                      <w:highlight w:val="none"/>
                      <w:lang w:bidi="ar"/>
                    </w:rPr>
                    <w:t>集，</w:t>
                  </w:r>
                  <w:r>
                    <w:rPr>
                      <w:color w:val="auto"/>
                      <w:kern w:val="0"/>
                      <w:szCs w:val="21"/>
                      <w:highlight w:val="none"/>
                      <w:lang w:bidi="ar"/>
                    </w:rPr>
                    <w:t>外售</w:t>
                  </w:r>
                  <w:r>
                    <w:rPr>
                      <w:rFonts w:hint="eastAsia"/>
                      <w:color w:val="auto"/>
                      <w:kern w:val="0"/>
                      <w:szCs w:val="21"/>
                      <w:highlight w:val="none"/>
                      <w:lang w:bidi="ar"/>
                    </w:rPr>
                    <w:t>综合利用</w:t>
                  </w:r>
                  <w:r>
                    <w:rPr>
                      <w:rFonts w:hint="eastAsia"/>
                      <w:color w:val="auto"/>
                      <w:kern w:val="0"/>
                      <w:szCs w:val="21"/>
                      <w:highlight w:val="none"/>
                      <w:lang w:eastAsia="zh-CN" w:bidi="ar"/>
                    </w:rPr>
                    <w:t>；</w:t>
                  </w:r>
                  <w:r>
                    <w:rPr>
                      <w:color w:val="auto"/>
                      <w:kern w:val="0"/>
                      <w:sz w:val="21"/>
                      <w:szCs w:val="21"/>
                      <w:highlight w:val="none"/>
                      <w:lang w:bidi="ar"/>
                    </w:rPr>
                    <w:t>生活垃圾</w:t>
                  </w:r>
                  <w:r>
                    <w:rPr>
                      <w:rFonts w:hint="eastAsia"/>
                      <w:color w:val="auto"/>
                      <w:sz w:val="21"/>
                      <w:szCs w:val="21"/>
                      <w:highlight w:val="none"/>
                      <w:lang w:val="en-US" w:eastAsia="zh-CN"/>
                    </w:rPr>
                    <w:t>统一收集，</w:t>
                  </w:r>
                  <w:r>
                    <w:rPr>
                      <w:rFonts w:hint="eastAsia"/>
                      <w:bCs/>
                      <w:color w:val="auto"/>
                      <w:sz w:val="21"/>
                      <w:szCs w:val="21"/>
                      <w:highlight w:val="none"/>
                      <w:lang w:eastAsia="zh-CN"/>
                    </w:rPr>
                    <w:t>由环卫部门处置</w:t>
                  </w:r>
                  <w:r>
                    <w:rPr>
                      <w:rFonts w:hint="eastAsia"/>
                      <w:color w:val="auto"/>
                      <w:kern w:val="0"/>
                      <w:sz w:val="21"/>
                      <w:szCs w:val="21"/>
                      <w:highlight w:val="none"/>
                      <w:lang w:eastAsia="zh-CN" w:bidi="ar"/>
                    </w:rPr>
                    <w:t>；</w:t>
                  </w:r>
                  <w:r>
                    <w:rPr>
                      <w:rFonts w:hint="eastAsia"/>
                      <w:color w:val="auto"/>
                      <w:kern w:val="0"/>
                      <w:sz w:val="21"/>
                      <w:szCs w:val="21"/>
                      <w:highlight w:val="none"/>
                      <w:lang w:bidi="ar"/>
                    </w:rPr>
                    <w:t>污泥</w:t>
                  </w:r>
                  <w:r>
                    <w:rPr>
                      <w:color w:val="auto"/>
                      <w:kern w:val="0"/>
                      <w:sz w:val="21"/>
                      <w:szCs w:val="21"/>
                      <w:highlight w:val="none"/>
                      <w:lang w:bidi="ar"/>
                    </w:rPr>
                    <w:t>集中收集，</w:t>
                  </w:r>
                  <w:r>
                    <w:rPr>
                      <w:rFonts w:hint="eastAsia"/>
                      <w:bCs/>
                      <w:color w:val="auto"/>
                      <w:sz w:val="21"/>
                      <w:szCs w:val="21"/>
                      <w:highlight w:val="none"/>
                      <w:lang w:val="en-US" w:eastAsia="zh-CN"/>
                    </w:rPr>
                    <w:t>定期送往垃圾填埋场处理</w:t>
                  </w:r>
                  <w:r>
                    <w:rPr>
                      <w:color w:val="auto"/>
                      <w:kern w:val="0"/>
                      <w:sz w:val="21"/>
                      <w:szCs w:val="21"/>
                      <w:highlight w:val="none"/>
                      <w:lang w:bidi="ar"/>
                    </w:rPr>
                    <w:t>；</w:t>
                  </w:r>
                  <w:r>
                    <w:rPr>
                      <w:rFonts w:hint="eastAsia"/>
                      <w:color w:val="auto"/>
                      <w:kern w:val="0"/>
                      <w:sz w:val="21"/>
                      <w:szCs w:val="21"/>
                      <w:highlight w:val="none"/>
                      <w:lang w:eastAsia="zh-CN" w:bidi="ar"/>
                    </w:rPr>
                    <w:t>废活性炭（</w:t>
                  </w:r>
                  <w:r>
                    <w:rPr>
                      <w:rFonts w:hint="eastAsia"/>
                      <w:color w:val="auto"/>
                      <w:kern w:val="0"/>
                      <w:sz w:val="21"/>
                      <w:szCs w:val="21"/>
                      <w:highlight w:val="none"/>
                      <w:lang w:val="en-US" w:eastAsia="zh-CN" w:bidi="ar"/>
                    </w:rPr>
                    <w:t>污水处理站</w:t>
                  </w:r>
                  <w:r>
                    <w:rPr>
                      <w:rFonts w:hint="eastAsia"/>
                      <w:color w:val="auto"/>
                      <w:kern w:val="0"/>
                      <w:sz w:val="21"/>
                      <w:szCs w:val="21"/>
                      <w:highlight w:val="none"/>
                      <w:lang w:eastAsia="zh-CN" w:bidi="ar"/>
                    </w:rPr>
                    <w:t>）</w:t>
                  </w:r>
                  <w:r>
                    <w:rPr>
                      <w:rFonts w:hint="eastAsia"/>
                      <w:color w:val="auto"/>
                      <w:kern w:val="0"/>
                      <w:sz w:val="21"/>
                      <w:szCs w:val="21"/>
                      <w:highlight w:val="none"/>
                      <w:lang w:val="en-US" w:eastAsia="zh-CN" w:bidi="ar"/>
                    </w:rPr>
                    <w:t>更换后由厂家回收处置</w:t>
                  </w:r>
                  <w:r>
                    <w:rPr>
                      <w:rFonts w:hint="eastAsia"/>
                      <w:color w:val="auto"/>
                      <w:kern w:val="0"/>
                      <w:sz w:val="21"/>
                      <w:szCs w:val="21"/>
                      <w:highlight w:val="none"/>
                      <w:lang w:eastAsia="zh-CN" w:bidi="ar"/>
                    </w:rPr>
                    <w:t>；</w:t>
                  </w:r>
                </w:p>
              </w:tc>
              <w:tc>
                <w:tcPr>
                  <w:tcW w:w="1433" w:type="dxa"/>
                  <w:noWrap w:val="0"/>
                  <w:vAlign w:val="center"/>
                </w:tcPr>
                <w:p>
                  <w:pPr>
                    <w:pStyle w:val="116"/>
                    <w:spacing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9" w:hRule="atLeast"/>
                <w:jc w:val="center"/>
              </w:trPr>
              <w:tc>
                <w:tcPr>
                  <w:tcW w:w="1514" w:type="dxa"/>
                  <w:noWrap w:val="0"/>
                  <w:vAlign w:val="center"/>
                </w:tcPr>
                <w:p>
                  <w:pPr>
                    <w:pStyle w:val="116"/>
                    <w:spacing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环保设施</w:t>
                  </w:r>
                </w:p>
                <w:p>
                  <w:pPr>
                    <w:pStyle w:val="116"/>
                    <w:spacing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运行费用</w:t>
                  </w:r>
                </w:p>
              </w:tc>
              <w:tc>
                <w:tcPr>
                  <w:tcW w:w="5670" w:type="dxa"/>
                  <w:noWrap w:val="0"/>
                  <w:vAlign w:val="center"/>
                </w:tcPr>
                <w:p>
                  <w:pPr>
                    <w:pStyle w:val="116"/>
                    <w:spacing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环保设施的运行、维护、维修</w:t>
                  </w:r>
                  <w:r>
                    <w:rPr>
                      <w:rFonts w:hint="eastAsia" w:cs="Times New Roman"/>
                      <w:color w:val="auto"/>
                      <w:sz w:val="21"/>
                      <w:szCs w:val="21"/>
                      <w:highlight w:val="none"/>
                      <w:lang w:val="en-US" w:eastAsia="zh-CN"/>
                    </w:rPr>
                    <w:t>、检测等</w:t>
                  </w:r>
                  <w:r>
                    <w:rPr>
                      <w:rFonts w:hint="default" w:ascii="Times New Roman" w:hAnsi="Times New Roman" w:cs="Times New Roman"/>
                      <w:color w:val="auto"/>
                      <w:sz w:val="21"/>
                      <w:szCs w:val="21"/>
                      <w:highlight w:val="none"/>
                      <w:lang w:val="en-US" w:eastAsia="zh-CN"/>
                    </w:rPr>
                    <w:t>费用</w:t>
                  </w:r>
                </w:p>
              </w:tc>
              <w:tc>
                <w:tcPr>
                  <w:tcW w:w="1433" w:type="dxa"/>
                  <w:noWrap w:val="0"/>
                  <w:vAlign w:val="center"/>
                </w:tcPr>
                <w:p>
                  <w:pPr>
                    <w:pStyle w:val="116"/>
                    <w:spacing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84" w:type="dxa"/>
                  <w:gridSpan w:val="2"/>
                  <w:noWrap w:val="0"/>
                  <w:vAlign w:val="center"/>
                </w:tcPr>
                <w:p>
                  <w:pPr>
                    <w:pStyle w:val="116"/>
                    <w:spacing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环保投资（万元）</w:t>
                  </w:r>
                </w:p>
              </w:tc>
              <w:tc>
                <w:tcPr>
                  <w:tcW w:w="1433" w:type="dxa"/>
                  <w:noWrap w:val="0"/>
                  <w:vAlign w:val="center"/>
                </w:tcPr>
                <w:p>
                  <w:pPr>
                    <w:pStyle w:val="116"/>
                    <w:spacing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jc w:val="center"/>
              </w:trPr>
              <w:tc>
                <w:tcPr>
                  <w:tcW w:w="7184" w:type="dxa"/>
                  <w:gridSpan w:val="2"/>
                  <w:noWrap w:val="0"/>
                  <w:vAlign w:val="center"/>
                </w:tcPr>
                <w:p>
                  <w:pPr>
                    <w:pStyle w:val="116"/>
                    <w:spacing w:line="240" w:lineRule="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占总投资比例（%）</w:t>
                  </w:r>
                </w:p>
              </w:tc>
              <w:tc>
                <w:tcPr>
                  <w:tcW w:w="1433" w:type="dxa"/>
                  <w:noWrap w:val="0"/>
                  <w:vAlign w:val="center"/>
                </w:tcPr>
                <w:p>
                  <w:pPr>
                    <w:pStyle w:val="116"/>
                    <w:spacing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1.05</w:t>
                  </w:r>
                </w:p>
              </w:tc>
            </w:tr>
          </w:tbl>
          <w:p>
            <w:pPr>
              <w:pStyle w:val="75"/>
              <w:spacing w:line="360" w:lineRule="auto"/>
              <w:ind w:left="0" w:leftChars="0" w:firstLine="0" w:firstLineChars="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90" w:hRule="atLeast"/>
          <w:jc w:val="center"/>
        </w:trPr>
        <w:tc>
          <w:tcPr>
            <w:tcW w:w="731" w:type="dxa"/>
            <w:vAlign w:val="center"/>
          </w:tcPr>
          <w:p>
            <w:pPr>
              <w:pStyle w:val="24"/>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8907" w:type="dxa"/>
          </w:tcPr>
          <w:p>
            <w:pPr>
              <w:pStyle w:val="9"/>
              <w:spacing w:after="0" w:line="360" w:lineRule="auto"/>
              <w:ind w:left="0" w:leftChars="0"/>
              <w:jc w:val="left"/>
              <w:rPr>
                <w:b/>
                <w:bCs/>
                <w:color w:val="auto"/>
                <w:szCs w:val="24"/>
              </w:rPr>
            </w:pPr>
            <w:r>
              <w:rPr>
                <w:b/>
                <w:bCs/>
                <w:color w:val="auto"/>
                <w:szCs w:val="24"/>
              </w:rPr>
              <w:t>工艺流程简述：</w:t>
            </w:r>
          </w:p>
          <w:p>
            <w:pPr>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原料检测：对</w:t>
            </w:r>
            <w:r>
              <w:rPr>
                <w:rFonts w:hint="eastAsia" w:ascii="宋体" w:hAnsi="宋体" w:eastAsia="宋体" w:cs="宋体"/>
                <w:spacing w:val="0"/>
                <w:sz w:val="24"/>
                <w:szCs w:val="24"/>
                <w:lang w:eastAsia="zh-CN"/>
              </w:rPr>
              <w:t>所有</w:t>
            </w:r>
            <w:r>
              <w:rPr>
                <w:rFonts w:hint="eastAsia" w:ascii="宋体" w:hAnsi="宋体" w:eastAsia="宋体" w:cs="宋体"/>
                <w:spacing w:val="0"/>
                <w:sz w:val="24"/>
                <w:szCs w:val="24"/>
              </w:rPr>
              <w:t>入库原料进行检验，合格后再投料。</w:t>
            </w:r>
          </w:p>
          <w:p>
            <w:pPr>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ascii="宋体" w:hAnsi="宋体" w:eastAsia="宋体" w:cs="宋体"/>
                <w:spacing w:val="0"/>
                <w:sz w:val="24"/>
                <w:szCs w:val="24"/>
              </w:rPr>
            </w:pPr>
            <w:r>
              <w:rPr>
                <w:rFonts w:ascii="宋体" w:hAnsi="宋体" w:eastAsia="宋体" w:cs="宋体"/>
                <w:spacing w:val="0"/>
                <w:sz w:val="24"/>
                <w:szCs w:val="24"/>
              </w:rPr>
              <w:t>溶化结晶：蜂蜜原料有结晶，需要对整桶蜂蜜进行加热，使蜂蜜溶化，便于倒出或者用泵抽出。利用恒温烘房加热。</w:t>
            </w:r>
          </w:p>
          <w:p>
            <w:pPr>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ascii="宋体" w:hAnsi="宋体" w:eastAsia="宋体" w:cs="宋体"/>
                <w:spacing w:val="0"/>
                <w:sz w:val="24"/>
                <w:szCs w:val="24"/>
              </w:rPr>
            </w:pPr>
            <w:r>
              <w:rPr>
                <w:rFonts w:ascii="宋体" w:hAnsi="宋体" w:eastAsia="宋体" w:cs="宋体"/>
                <w:spacing w:val="0"/>
                <w:sz w:val="24"/>
                <w:szCs w:val="24"/>
              </w:rPr>
              <w:t>投料：将蜂蜜倒入投料槽，再由泵输送到原料罐。</w:t>
            </w:r>
          </w:p>
          <w:p>
            <w:pPr>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ascii="宋体" w:hAnsi="宋体" w:eastAsia="宋体" w:cs="宋体"/>
                <w:spacing w:val="0"/>
                <w:sz w:val="24"/>
                <w:szCs w:val="24"/>
              </w:rPr>
            </w:pPr>
            <w:r>
              <w:rPr>
                <w:rFonts w:ascii="宋体" w:hAnsi="宋体" w:eastAsia="宋体" w:cs="宋体"/>
                <w:spacing w:val="0"/>
                <w:sz w:val="24"/>
                <w:szCs w:val="24"/>
              </w:rPr>
              <w:t>加热搅拌：在原料罐中加热搅拌，使蜂蜜温度达到所需要求，并使蜂蜜搅拌均匀，所有结晶蜂蜜都彻底溶化。</w:t>
            </w:r>
          </w:p>
          <w:p>
            <w:pPr>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ascii="宋体" w:hAnsi="宋体" w:eastAsia="宋体" w:cs="宋体"/>
                <w:spacing w:val="0"/>
                <w:sz w:val="24"/>
                <w:szCs w:val="24"/>
              </w:rPr>
            </w:pPr>
            <w:r>
              <w:rPr>
                <w:rFonts w:ascii="宋体" w:hAnsi="宋体" w:eastAsia="宋体" w:cs="宋体"/>
                <w:spacing w:val="0"/>
                <w:sz w:val="24"/>
                <w:szCs w:val="24"/>
              </w:rPr>
              <w:t>过滤：过滤杂质，过滤目数80-150。</w:t>
            </w:r>
          </w:p>
          <w:p>
            <w:pPr>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ascii="宋体" w:hAnsi="宋体" w:eastAsia="宋体" w:cs="宋体"/>
                <w:spacing w:val="0"/>
                <w:sz w:val="24"/>
                <w:szCs w:val="24"/>
              </w:rPr>
            </w:pPr>
            <w:r>
              <w:rPr>
                <w:rFonts w:ascii="宋体" w:hAnsi="宋体" w:eastAsia="宋体" w:cs="宋体"/>
                <w:spacing w:val="0"/>
                <w:sz w:val="24"/>
                <w:szCs w:val="24"/>
              </w:rPr>
              <w:t>成品储存：将前面加工好的蜂蜜恒温混合搅拌，使其外观</w:t>
            </w:r>
            <w:r>
              <w:rPr>
                <w:rFonts w:hint="eastAsia" w:ascii="宋体" w:hAnsi="宋体" w:eastAsia="宋体" w:cs="宋体"/>
                <w:spacing w:val="0"/>
                <w:sz w:val="24"/>
                <w:szCs w:val="24"/>
                <w:lang w:eastAsia="zh-CN"/>
              </w:rPr>
              <w:t>、</w:t>
            </w:r>
            <w:r>
              <w:rPr>
                <w:rFonts w:ascii="宋体" w:hAnsi="宋体" w:eastAsia="宋体" w:cs="宋体"/>
                <w:spacing w:val="0"/>
                <w:sz w:val="24"/>
                <w:szCs w:val="24"/>
              </w:rPr>
              <w:t>浓度等指标一致。</w:t>
            </w:r>
          </w:p>
          <w:p>
            <w:pPr>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ascii="宋体" w:hAnsi="宋体" w:eastAsia="宋体" w:cs="宋体"/>
                <w:spacing w:val="0"/>
                <w:sz w:val="24"/>
                <w:szCs w:val="24"/>
              </w:rPr>
            </w:pPr>
            <w:r>
              <w:rPr>
                <w:rFonts w:ascii="宋体" w:hAnsi="宋体" w:eastAsia="宋体" w:cs="宋体"/>
                <w:spacing w:val="0"/>
                <w:sz w:val="24"/>
                <w:szCs w:val="24"/>
              </w:rPr>
              <w:t>促结晶：将成品蜂蜜和少量结晶蜂蜜通过结晶泵乳化混合，使其能够快速结晶。</w:t>
            </w:r>
          </w:p>
          <w:p>
            <w:pPr>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ascii="宋体" w:hAnsi="宋体" w:eastAsia="宋体" w:cs="宋体"/>
                <w:spacing w:val="0"/>
                <w:sz w:val="24"/>
                <w:szCs w:val="24"/>
              </w:rPr>
            </w:pPr>
            <w:r>
              <w:rPr>
                <w:rFonts w:ascii="宋体" w:hAnsi="宋体" w:eastAsia="宋体" w:cs="宋体"/>
                <w:spacing w:val="0"/>
                <w:sz w:val="24"/>
                <w:szCs w:val="24"/>
              </w:rPr>
              <w:t>灌装：将蜂蜜灌装至容器包装内，并上盖旋紧，再进行铝箔封口。</w:t>
            </w:r>
          </w:p>
          <w:p>
            <w:pPr>
              <w:pStyle w:val="113"/>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bCs/>
                <w:color w:val="auto"/>
                <w:spacing w:val="0"/>
                <w:sz w:val="24"/>
                <w:szCs w:val="24"/>
                <w:highlight w:val="none"/>
                <w:lang w:val="en-US" w:eastAsia="zh-CN"/>
              </w:rPr>
            </w:pPr>
            <w:r>
              <w:rPr>
                <w:rFonts w:ascii="宋体" w:hAnsi="宋体" w:eastAsia="宋体" w:cs="宋体"/>
                <w:spacing w:val="0"/>
                <w:sz w:val="24"/>
                <w:szCs w:val="24"/>
              </w:rPr>
              <w:t>外包装：贴标，打印生产日期，装箱。</w:t>
            </w:r>
          </w:p>
          <w:p>
            <w:pPr>
              <w:widowControl/>
              <w:spacing w:line="360" w:lineRule="auto"/>
              <w:ind w:firstLine="480" w:firstLineChars="200"/>
              <w:jc w:val="left"/>
              <w:rPr>
                <w:b w:val="0"/>
                <w:bCs/>
                <w:color w:val="auto"/>
                <w:kern w:val="0"/>
                <w:sz w:val="24"/>
                <w:highlight w:val="none"/>
                <w:lang w:bidi="ar"/>
              </w:rPr>
            </w:pPr>
            <w:r>
              <w:rPr>
                <w:rFonts w:hint="eastAsia"/>
                <w:b w:val="0"/>
                <w:bCs/>
                <w:color w:val="auto"/>
                <w:kern w:val="0"/>
                <w:sz w:val="24"/>
                <w:highlight w:val="none"/>
                <w:lang w:eastAsia="zh-CN" w:bidi="ar"/>
              </w:rPr>
              <w:t>（</w:t>
            </w:r>
            <w:r>
              <w:rPr>
                <w:rFonts w:hint="eastAsia"/>
                <w:b w:val="0"/>
                <w:bCs/>
                <w:color w:val="auto"/>
                <w:kern w:val="0"/>
                <w:sz w:val="24"/>
                <w:highlight w:val="none"/>
                <w:lang w:val="en-US" w:eastAsia="zh-CN" w:bidi="ar"/>
              </w:rPr>
              <w:t>2</w:t>
            </w:r>
            <w:r>
              <w:rPr>
                <w:rFonts w:hint="eastAsia"/>
                <w:b w:val="0"/>
                <w:bCs/>
                <w:color w:val="auto"/>
                <w:kern w:val="0"/>
                <w:sz w:val="24"/>
                <w:highlight w:val="none"/>
                <w:lang w:eastAsia="zh-CN" w:bidi="ar"/>
              </w:rPr>
              <w:t>）</w:t>
            </w:r>
            <w:r>
              <w:rPr>
                <w:rFonts w:hint="eastAsia"/>
                <w:b w:val="0"/>
                <w:bCs/>
                <w:color w:val="auto"/>
                <w:kern w:val="0"/>
                <w:sz w:val="24"/>
                <w:highlight w:val="none"/>
                <w:lang w:bidi="ar"/>
              </w:rPr>
              <w:t>工艺流程图</w:t>
            </w:r>
          </w:p>
          <w:p>
            <w:pPr>
              <w:spacing w:line="360" w:lineRule="auto"/>
              <w:ind w:firstLine="480" w:firstLineChars="200"/>
              <w:jc w:val="left"/>
              <w:rPr>
                <w:color w:val="auto"/>
                <w:highlight w:val="none"/>
              </w:rPr>
            </w:pPr>
            <w:r>
              <w:rPr>
                <w:color w:val="auto"/>
                <w:sz w:val="24"/>
                <w:highlight w:val="none"/>
              </w:rPr>
              <w:t>项目主要生产工艺流程及产污环节见下图2-</w:t>
            </w:r>
            <w:r>
              <w:rPr>
                <w:rFonts w:hint="eastAsia"/>
                <w:color w:val="auto"/>
                <w:sz w:val="24"/>
                <w:highlight w:val="none"/>
                <w:lang w:val="en-US" w:eastAsia="zh-CN"/>
              </w:rPr>
              <w:t>2</w:t>
            </w:r>
            <w:r>
              <w:rPr>
                <w:color w:val="auto"/>
                <w:sz w:val="24"/>
                <w:highlight w:val="none"/>
              </w:rPr>
              <w:t>。</w:t>
            </w:r>
          </w:p>
          <w:p>
            <w:pPr>
              <w:adjustRightInd w:val="0"/>
              <w:snapToGrid w:val="0"/>
              <w:spacing w:line="360" w:lineRule="auto"/>
              <w:jc w:val="center"/>
              <w:rPr>
                <w:rFonts w:hint="eastAsia" w:eastAsia="宋体"/>
                <w:color w:val="auto"/>
                <w:lang w:eastAsia="zh-CN"/>
              </w:rPr>
            </w:pPr>
            <w:r>
              <w:rPr>
                <w:rFonts w:hint="eastAsia" w:eastAsia="宋体"/>
                <w:color w:val="auto"/>
                <w:lang w:eastAsia="zh-CN"/>
              </w:rPr>
              <w:drawing>
                <wp:inline distT="0" distB="0" distL="114300" distR="114300">
                  <wp:extent cx="5105400" cy="2510155"/>
                  <wp:effectExtent l="0" t="0" r="0" b="0"/>
                  <wp:docPr id="8" name="ECB019B1-382A-4266-B25C-5B523AA43C14-2" descr="C:/Users/WY001/AppData/Local/Temp/wps.NDkxX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2" descr="C:/Users/WY001/AppData/Local/Temp/wps.NDkxXuwps"/>
                          <pic:cNvPicPr>
                            <a:picLocks noChangeAspect="1"/>
                          </pic:cNvPicPr>
                        </pic:nvPicPr>
                        <pic:blipFill>
                          <a:blip r:embed="rId14"/>
                          <a:stretch>
                            <a:fillRect/>
                          </a:stretch>
                        </pic:blipFill>
                        <pic:spPr>
                          <a:xfrm>
                            <a:off x="0" y="0"/>
                            <a:ext cx="5105400" cy="2510155"/>
                          </a:xfrm>
                          <a:prstGeom prst="rect">
                            <a:avLst/>
                          </a:prstGeom>
                        </pic:spPr>
                      </pic:pic>
                    </a:graphicData>
                  </a:graphic>
                </wp:inline>
              </w:drawing>
            </w:r>
          </w:p>
          <w:p>
            <w:pPr>
              <w:pStyle w:val="27"/>
              <w:widowControl w:val="0"/>
              <w:snapToGrid/>
              <w:spacing w:before="0" w:after="0" w:line="240" w:lineRule="auto"/>
              <w:ind w:right="0" w:firstLine="0" w:firstLineChars="0"/>
              <w:jc w:val="center"/>
              <w:rPr>
                <w:b/>
                <w:color w:val="auto"/>
                <w:sz w:val="21"/>
                <w:szCs w:val="21"/>
                <w:highlight w:val="none"/>
              </w:rPr>
            </w:pPr>
            <w:r>
              <w:rPr>
                <w:b/>
                <w:color w:val="auto"/>
                <w:sz w:val="21"/>
                <w:szCs w:val="21"/>
                <w:highlight w:val="none"/>
              </w:rPr>
              <w:t>图2-</w:t>
            </w:r>
            <w:r>
              <w:rPr>
                <w:rFonts w:hint="eastAsia"/>
                <w:b/>
                <w:color w:val="auto"/>
                <w:sz w:val="21"/>
                <w:szCs w:val="21"/>
                <w:highlight w:val="none"/>
                <w:lang w:val="en-US" w:eastAsia="zh-CN"/>
              </w:rPr>
              <w:t xml:space="preserve">2 </w:t>
            </w:r>
            <w:r>
              <w:rPr>
                <w:b/>
                <w:color w:val="auto"/>
                <w:sz w:val="21"/>
                <w:szCs w:val="21"/>
                <w:highlight w:val="none"/>
              </w:rPr>
              <w:t xml:space="preserve"> </w:t>
            </w:r>
            <w:r>
              <w:rPr>
                <w:rFonts w:hint="eastAsia"/>
                <w:b/>
                <w:color w:val="auto"/>
                <w:sz w:val="21"/>
                <w:szCs w:val="21"/>
                <w:highlight w:val="none"/>
                <w:lang w:eastAsia="zh-CN"/>
              </w:rPr>
              <w:t>生产</w:t>
            </w:r>
            <w:r>
              <w:rPr>
                <w:b/>
                <w:color w:val="auto"/>
                <w:sz w:val="21"/>
                <w:szCs w:val="21"/>
                <w:highlight w:val="none"/>
              </w:rPr>
              <w:t>工艺流程及产污节点图</w:t>
            </w:r>
          </w:p>
          <w:p>
            <w:pP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Ex>
        <w:trPr>
          <w:trHeight w:val="2587" w:hRule="atLeast"/>
          <w:jc w:val="center"/>
        </w:trPr>
        <w:tc>
          <w:tcPr>
            <w:tcW w:w="731" w:type="dxa"/>
            <w:vAlign w:val="center"/>
          </w:tcPr>
          <w:p>
            <w:pPr>
              <w:pStyle w:val="24"/>
              <w:adjustRightInd w:val="0"/>
              <w:snapToGrid w:val="0"/>
              <w:spacing w:before="0" w:beforeAutospacing="0" w:after="0" w:afterAutospacing="0"/>
              <w:jc w:val="center"/>
              <w:rPr>
                <w:rFonts w:ascii="Times New Roman" w:hAnsi="Times New Roman"/>
                <w:color w:val="auto"/>
                <w:szCs w:val="24"/>
                <w:highlight w:val="yellow"/>
              </w:rPr>
            </w:pPr>
            <w:r>
              <w:rPr>
                <w:rFonts w:ascii="Times New Roman" w:hAnsi="Times New Roman"/>
                <w:bCs/>
                <w:color w:val="auto"/>
                <w:kern w:val="2"/>
                <w:szCs w:val="24"/>
                <w:highlight w:val="none"/>
              </w:rPr>
              <w:t>与项目有关的原有环境污染问题</w:t>
            </w:r>
          </w:p>
        </w:tc>
        <w:tc>
          <w:tcPr>
            <w:tcW w:w="8907" w:type="dxa"/>
            <w:vAlign w:val="center"/>
          </w:tcPr>
          <w:p>
            <w:pPr>
              <w:pStyle w:val="75"/>
              <w:keepLines w:val="0"/>
              <w:pageBreakBefore w:val="0"/>
              <w:kinsoku/>
              <w:wordWrap/>
              <w:overflowPunct/>
              <w:topLinePunct w:val="0"/>
              <w:bidi w:val="0"/>
              <w:spacing w:line="360" w:lineRule="auto"/>
              <w:ind w:firstLine="482"/>
              <w:rPr>
                <w:color w:val="auto"/>
                <w:highlight w:val="yellow"/>
              </w:rPr>
            </w:pPr>
            <w:r>
              <w:rPr>
                <w:rFonts w:hint="eastAsia"/>
                <w:color w:val="auto"/>
                <w:sz w:val="24"/>
                <w:highlight w:val="none"/>
                <w:lang w:val="en-US" w:eastAsia="zh-CN"/>
              </w:rPr>
              <w:t>本项目为新建项目</w:t>
            </w:r>
            <w:r>
              <w:rPr>
                <w:rFonts w:hint="eastAsia"/>
                <w:color w:val="auto"/>
                <w:sz w:val="24"/>
                <w:highlight w:val="none"/>
                <w:lang w:eastAsia="zh-CN"/>
              </w:rPr>
              <w:t>，无原有污染环境问题。</w:t>
            </w:r>
          </w:p>
        </w:tc>
      </w:tr>
    </w:tbl>
    <w:p>
      <w:pPr>
        <w:pStyle w:val="24"/>
        <w:jc w:val="center"/>
        <w:rPr>
          <w:rFonts w:ascii="Times New Roman" w:hAnsi="Times New Roman"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4"/>
        <w:jc w:val="center"/>
        <w:outlineLvl w:val="0"/>
        <w:rPr>
          <w:rFonts w:ascii="Times New Roman" w:hAnsi="Times New Roman" w:eastAsia="黑体"/>
          <w:snapToGrid w:val="0"/>
          <w:color w:val="auto"/>
          <w:sz w:val="30"/>
          <w:szCs w:val="30"/>
        </w:rPr>
      </w:pPr>
      <w:bookmarkStart w:id="25" w:name="_Toc19020"/>
      <w:r>
        <w:rPr>
          <w:rFonts w:ascii="Times New Roman" w:hAnsi="Times New Roman" w:eastAsia="黑体"/>
          <w:snapToGrid w:val="0"/>
          <w:color w:val="auto"/>
          <w:sz w:val="30"/>
          <w:szCs w:val="30"/>
        </w:rPr>
        <w:t>三、区域环境质量现状、环境保护目标及评价标准</w:t>
      </w:r>
      <w:bookmarkEnd w:id="25"/>
    </w:p>
    <w:tbl>
      <w:tblPr>
        <w:tblStyle w:val="29"/>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1"/>
        <w:gridCol w:w="91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6" w:hRule="atLeast"/>
          <w:jc w:val="center"/>
        </w:trPr>
        <w:tc>
          <w:tcPr>
            <w:tcW w:w="481" w:type="dxa"/>
            <w:vAlign w:val="center"/>
          </w:tcPr>
          <w:p>
            <w:pPr>
              <w:adjustRightInd w:val="0"/>
              <w:snapToGrid w:val="0"/>
              <w:jc w:val="center"/>
              <w:rPr>
                <w:color w:val="auto"/>
                <w:kern w:val="0"/>
                <w:sz w:val="24"/>
              </w:rPr>
            </w:pPr>
            <w:r>
              <w:rPr>
                <w:color w:val="auto"/>
                <w:kern w:val="0"/>
                <w:sz w:val="24"/>
              </w:rPr>
              <w:t>区域</w:t>
            </w:r>
          </w:p>
          <w:p>
            <w:pPr>
              <w:adjustRightInd w:val="0"/>
              <w:snapToGrid w:val="0"/>
              <w:jc w:val="center"/>
              <w:rPr>
                <w:color w:val="auto"/>
                <w:kern w:val="0"/>
                <w:sz w:val="24"/>
              </w:rPr>
            </w:pPr>
            <w:r>
              <w:rPr>
                <w:color w:val="auto"/>
                <w:kern w:val="0"/>
                <w:sz w:val="24"/>
              </w:rPr>
              <w:t>环境</w:t>
            </w:r>
          </w:p>
          <w:p>
            <w:pPr>
              <w:adjustRightInd w:val="0"/>
              <w:snapToGrid w:val="0"/>
              <w:jc w:val="center"/>
              <w:rPr>
                <w:color w:val="auto"/>
                <w:kern w:val="0"/>
                <w:sz w:val="24"/>
              </w:rPr>
            </w:pPr>
            <w:r>
              <w:rPr>
                <w:color w:val="auto"/>
                <w:kern w:val="0"/>
                <w:sz w:val="24"/>
              </w:rPr>
              <w:t>质量</w:t>
            </w:r>
          </w:p>
          <w:p>
            <w:pPr>
              <w:adjustRightInd w:val="0"/>
              <w:snapToGrid w:val="0"/>
              <w:jc w:val="center"/>
              <w:rPr>
                <w:color w:val="auto"/>
                <w:kern w:val="0"/>
                <w:sz w:val="24"/>
              </w:rPr>
            </w:pPr>
            <w:r>
              <w:rPr>
                <w:color w:val="auto"/>
                <w:kern w:val="0"/>
                <w:sz w:val="24"/>
              </w:rPr>
              <w:t>现状</w:t>
            </w:r>
          </w:p>
        </w:tc>
        <w:tc>
          <w:tcPr>
            <w:tcW w:w="9157" w:type="dxa"/>
          </w:tcPr>
          <w:p>
            <w:pPr>
              <w:numPr>
                <w:ilvl w:val="0"/>
                <w:numId w:val="2"/>
              </w:numPr>
              <w:spacing w:line="360" w:lineRule="auto"/>
              <w:rPr>
                <w:b/>
                <w:color w:val="auto"/>
                <w:sz w:val="24"/>
              </w:rPr>
            </w:pPr>
            <w:r>
              <w:rPr>
                <w:rFonts w:hint="eastAsia"/>
                <w:b/>
                <w:color w:val="auto"/>
                <w:sz w:val="24"/>
              </w:rPr>
              <w:t>大气环境</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本项目所在地属伊春市，</w:t>
            </w:r>
            <w:r>
              <w:rPr>
                <w:rFonts w:hint="default" w:ascii="Times New Roman" w:hAnsi="Times New Roman" w:eastAsia="宋体" w:cs="Times New Roman"/>
                <w:color w:val="auto"/>
                <w:kern w:val="0"/>
                <w:sz w:val="24"/>
                <w:szCs w:val="24"/>
                <w:highlight w:val="none"/>
                <w:u w:val="none" w:color="000000"/>
                <w:lang w:val="en-US" w:eastAsia="zh-CN" w:bidi="ar-SA"/>
              </w:rPr>
              <w:t>根据《202</w:t>
            </w:r>
            <w:r>
              <w:rPr>
                <w:rFonts w:hint="eastAsia" w:cs="Times New Roman"/>
                <w:color w:val="auto"/>
                <w:kern w:val="0"/>
                <w:sz w:val="24"/>
                <w:szCs w:val="24"/>
                <w:highlight w:val="none"/>
                <w:u w:val="none" w:color="000000"/>
                <w:lang w:val="en-US" w:eastAsia="zh-CN" w:bidi="ar-SA"/>
              </w:rPr>
              <w:t>5</w:t>
            </w:r>
            <w:r>
              <w:rPr>
                <w:rFonts w:hint="default" w:ascii="Times New Roman" w:hAnsi="Times New Roman" w:eastAsia="宋体" w:cs="Times New Roman"/>
                <w:color w:val="auto"/>
                <w:kern w:val="0"/>
                <w:sz w:val="24"/>
                <w:szCs w:val="24"/>
                <w:highlight w:val="none"/>
                <w:u w:val="none" w:color="000000"/>
                <w:lang w:val="en-US" w:eastAsia="zh-CN" w:bidi="ar-SA"/>
              </w:rPr>
              <w:t>年</w:t>
            </w:r>
            <w:r>
              <w:rPr>
                <w:rFonts w:hint="eastAsia" w:cs="Times New Roman"/>
                <w:color w:val="auto"/>
                <w:kern w:val="0"/>
                <w:sz w:val="24"/>
                <w:szCs w:val="24"/>
                <w:highlight w:val="none"/>
                <w:u w:val="none" w:color="000000"/>
                <w:lang w:val="en-US" w:eastAsia="zh-CN" w:bidi="ar-SA"/>
              </w:rPr>
              <w:t>黑龙江省</w:t>
            </w:r>
            <w:r>
              <w:rPr>
                <w:rFonts w:hint="default" w:ascii="Times New Roman" w:hAnsi="Times New Roman" w:eastAsia="宋体" w:cs="Times New Roman"/>
                <w:color w:val="auto"/>
                <w:kern w:val="0"/>
                <w:sz w:val="24"/>
                <w:szCs w:val="24"/>
                <w:highlight w:val="none"/>
                <w:u w:val="none" w:color="000000"/>
                <w:lang w:val="en-US" w:eastAsia="zh-CN" w:bidi="ar-SA"/>
              </w:rPr>
              <w:t>生态环境质量</w:t>
            </w:r>
            <w:r>
              <w:rPr>
                <w:rFonts w:hint="eastAsia" w:cs="Times New Roman"/>
                <w:color w:val="auto"/>
                <w:kern w:val="0"/>
                <w:sz w:val="24"/>
                <w:szCs w:val="24"/>
                <w:highlight w:val="none"/>
                <w:u w:val="none" w:color="000000"/>
                <w:lang w:val="en-US" w:eastAsia="zh-CN" w:bidi="ar-SA"/>
              </w:rPr>
              <w:t>状况</w:t>
            </w:r>
            <w:r>
              <w:rPr>
                <w:rFonts w:hint="default" w:ascii="Times New Roman" w:hAnsi="Times New Roman" w:eastAsia="宋体" w:cs="Times New Roman"/>
                <w:color w:val="auto"/>
                <w:kern w:val="0"/>
                <w:sz w:val="24"/>
                <w:szCs w:val="24"/>
                <w:highlight w:val="none"/>
                <w:u w:val="none" w:color="000000"/>
                <w:lang w:val="en-US" w:eastAsia="zh-CN" w:bidi="ar-SA"/>
              </w:rPr>
              <w:t>》</w:t>
            </w:r>
            <w:r>
              <w:rPr>
                <w:rFonts w:hint="default" w:ascii="Times New Roman" w:hAnsi="Times New Roman" w:cs="Times New Roman"/>
                <w:color w:val="auto"/>
                <w:sz w:val="24"/>
                <w:szCs w:val="24"/>
              </w:rPr>
              <w:t>，202</w:t>
            </w:r>
            <w:r>
              <w:rPr>
                <w:rFonts w:hint="eastAsia" w:cs="Times New Roman"/>
                <w:color w:val="auto"/>
                <w:sz w:val="24"/>
                <w:szCs w:val="24"/>
                <w:lang w:val="en-US" w:eastAsia="zh-CN"/>
              </w:rPr>
              <w:t>5</w:t>
            </w:r>
            <w:r>
              <w:rPr>
                <w:rFonts w:hint="default" w:ascii="Times New Roman" w:hAnsi="Times New Roman" w:cs="Times New Roman"/>
                <w:color w:val="auto"/>
                <w:sz w:val="24"/>
                <w:szCs w:val="24"/>
              </w:rPr>
              <w:t>年，全市环境空气质量达标，二氧化硫、二氧化氮年均值、可吸入颗粒物PM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、细颗粒物 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、一氧化碳24小时平均第95百分位数和臭氧日最大8小时滑动平均值的第90百分位数共6项污染物年均值浓度均优于国家环境空气质量二级标准。本项目所在区域属于达标区。</w:t>
            </w:r>
          </w:p>
          <w:p>
            <w:pPr>
              <w:keepNext w:val="0"/>
              <w:keepLines w:val="0"/>
              <w:suppressLineNumbers w:val="0"/>
              <w:adjustRightInd w:val="0"/>
              <w:snapToGrid w:val="0"/>
              <w:spacing w:before="0" w:beforeAutospacing="0" w:after="0" w:afterAutospacing="0"/>
              <w:ind w:left="0" w:right="0" w:firstLine="422"/>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表3-</w:t>
            </w:r>
            <w:r>
              <w:rPr>
                <w:rFonts w:hint="eastAsia"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 xml:space="preserve">  202</w:t>
            </w:r>
            <w:r>
              <w:rPr>
                <w:rFonts w:hint="eastAsia" w:cs="Times New Roman"/>
                <w:b/>
                <w:bCs/>
                <w:color w:val="auto"/>
                <w:sz w:val="24"/>
                <w:szCs w:val="24"/>
                <w:lang w:val="en-US" w:eastAsia="zh-CN"/>
              </w:rPr>
              <w:t>5</w:t>
            </w:r>
            <w:r>
              <w:rPr>
                <w:rFonts w:hint="default" w:ascii="Times New Roman" w:hAnsi="Times New Roman" w:cs="Times New Roman"/>
                <w:b/>
                <w:bCs/>
                <w:color w:val="auto"/>
                <w:sz w:val="24"/>
                <w:szCs w:val="24"/>
              </w:rPr>
              <w:t>年环境空气各项污染物达标情况一览表   单位：μg/m</w:t>
            </w:r>
            <w:r>
              <w:rPr>
                <w:rFonts w:hint="default" w:ascii="Times New Roman" w:hAnsi="Times New Roman" w:cs="Times New Roman"/>
                <w:b/>
                <w:bCs/>
                <w:color w:val="auto"/>
                <w:sz w:val="24"/>
                <w:szCs w:val="24"/>
                <w:vertAlign w:val="superscript"/>
              </w:rPr>
              <w:t>3</w:t>
            </w:r>
          </w:p>
          <w:tbl>
            <w:tblPr>
              <w:tblStyle w:val="29"/>
              <w:tblW w:w="893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23"/>
              <w:gridCol w:w="3501"/>
              <w:gridCol w:w="1107"/>
              <w:gridCol w:w="1285"/>
              <w:gridCol w:w="1057"/>
              <w:gridCol w:w="11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823"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污染物</w:t>
                  </w:r>
                </w:p>
              </w:tc>
              <w:tc>
                <w:tcPr>
                  <w:tcW w:w="3501"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年评价指标</w:t>
                  </w:r>
                </w:p>
              </w:tc>
              <w:tc>
                <w:tcPr>
                  <w:tcW w:w="1107"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现状浓度/（μg/m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w:t>
                  </w:r>
                </w:p>
              </w:tc>
              <w:tc>
                <w:tcPr>
                  <w:tcW w:w="1285"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标准值/（μg/m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w:t>
                  </w:r>
                </w:p>
              </w:tc>
              <w:tc>
                <w:tcPr>
                  <w:tcW w:w="1057"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占标率/%</w:t>
                  </w:r>
                </w:p>
              </w:tc>
              <w:tc>
                <w:tcPr>
                  <w:tcW w:w="1164"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823"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PM</w:t>
                  </w:r>
                  <w:r>
                    <w:rPr>
                      <w:rFonts w:hint="default" w:ascii="Times New Roman" w:hAnsi="Times New Roman" w:cs="Times New Roman"/>
                      <w:color w:val="auto"/>
                      <w:sz w:val="21"/>
                      <w:szCs w:val="21"/>
                      <w:vertAlign w:val="subscript"/>
                      <w:lang w:bidi="ar"/>
                    </w:rPr>
                    <w:t>2.5</w:t>
                  </w:r>
                </w:p>
              </w:tc>
              <w:tc>
                <w:tcPr>
                  <w:tcW w:w="3501"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107"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24</w:t>
                  </w:r>
                </w:p>
              </w:tc>
              <w:tc>
                <w:tcPr>
                  <w:tcW w:w="1285"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bidi="ar"/>
                    </w:rPr>
                    <w:t>30</w:t>
                  </w:r>
                </w:p>
              </w:tc>
              <w:tc>
                <w:tcPr>
                  <w:tcW w:w="1057"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1164"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823"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PM</w:t>
                  </w:r>
                  <w:r>
                    <w:rPr>
                      <w:rFonts w:hint="default" w:ascii="Times New Roman" w:hAnsi="Times New Roman" w:cs="Times New Roman"/>
                      <w:color w:val="auto"/>
                      <w:sz w:val="21"/>
                      <w:szCs w:val="21"/>
                      <w:vertAlign w:val="subscript"/>
                      <w:lang w:bidi="ar"/>
                    </w:rPr>
                    <w:t>10</w:t>
                  </w:r>
                </w:p>
              </w:tc>
              <w:tc>
                <w:tcPr>
                  <w:tcW w:w="3501"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107"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bidi="ar"/>
                    </w:rPr>
                    <w:t>3</w:t>
                  </w:r>
                  <w:r>
                    <w:rPr>
                      <w:rFonts w:hint="eastAsia" w:ascii="Times New Roman" w:hAnsi="Times New Roman" w:cs="Times New Roman"/>
                      <w:color w:val="auto"/>
                      <w:sz w:val="21"/>
                      <w:szCs w:val="21"/>
                      <w:lang w:val="en-US" w:eastAsia="zh-CN" w:bidi="ar"/>
                    </w:rPr>
                    <w:t>2</w:t>
                  </w:r>
                </w:p>
              </w:tc>
              <w:tc>
                <w:tcPr>
                  <w:tcW w:w="1285"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bidi="ar"/>
                    </w:rPr>
                    <w:t>60</w:t>
                  </w:r>
                </w:p>
              </w:tc>
              <w:tc>
                <w:tcPr>
                  <w:tcW w:w="1057"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53.33</w:t>
                  </w:r>
                </w:p>
              </w:tc>
              <w:tc>
                <w:tcPr>
                  <w:tcW w:w="1164"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823"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SO</w:t>
                  </w:r>
                  <w:r>
                    <w:rPr>
                      <w:rFonts w:hint="default" w:ascii="Times New Roman" w:hAnsi="Times New Roman" w:cs="Times New Roman"/>
                      <w:color w:val="auto"/>
                      <w:sz w:val="21"/>
                      <w:szCs w:val="21"/>
                      <w:vertAlign w:val="subscript"/>
                      <w:lang w:bidi="ar"/>
                    </w:rPr>
                    <w:t>2</w:t>
                  </w:r>
                </w:p>
              </w:tc>
              <w:tc>
                <w:tcPr>
                  <w:tcW w:w="3501"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107"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bidi="ar"/>
                    </w:rPr>
                    <w:t>5</w:t>
                  </w:r>
                </w:p>
              </w:tc>
              <w:tc>
                <w:tcPr>
                  <w:tcW w:w="1285"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60</w:t>
                  </w:r>
                </w:p>
              </w:tc>
              <w:tc>
                <w:tcPr>
                  <w:tcW w:w="1057"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8.33</w:t>
                  </w:r>
                </w:p>
              </w:tc>
              <w:tc>
                <w:tcPr>
                  <w:tcW w:w="1164"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823"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NO</w:t>
                  </w:r>
                  <w:r>
                    <w:rPr>
                      <w:rFonts w:hint="default" w:ascii="Times New Roman" w:hAnsi="Times New Roman" w:cs="Times New Roman"/>
                      <w:color w:val="auto"/>
                      <w:sz w:val="21"/>
                      <w:szCs w:val="21"/>
                      <w:vertAlign w:val="subscript"/>
                      <w:lang w:bidi="ar"/>
                    </w:rPr>
                    <w:t>2</w:t>
                  </w:r>
                </w:p>
              </w:tc>
              <w:tc>
                <w:tcPr>
                  <w:tcW w:w="3501"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107"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bidi="ar"/>
                    </w:rPr>
                    <w:t>11</w:t>
                  </w:r>
                </w:p>
              </w:tc>
              <w:tc>
                <w:tcPr>
                  <w:tcW w:w="1285"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40</w:t>
                  </w:r>
                </w:p>
              </w:tc>
              <w:tc>
                <w:tcPr>
                  <w:tcW w:w="1057"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27.5</w:t>
                  </w:r>
                </w:p>
              </w:tc>
              <w:tc>
                <w:tcPr>
                  <w:tcW w:w="1164"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823"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CO</w:t>
                  </w:r>
                </w:p>
              </w:tc>
              <w:tc>
                <w:tcPr>
                  <w:tcW w:w="3501"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第95百分位数日平均浓度（mg/m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w:t>
                  </w:r>
                </w:p>
              </w:tc>
              <w:tc>
                <w:tcPr>
                  <w:tcW w:w="1107"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bidi="ar"/>
                    </w:rPr>
                    <w:t>1.0</w:t>
                  </w:r>
                </w:p>
              </w:tc>
              <w:tc>
                <w:tcPr>
                  <w:tcW w:w="1285"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4.0</w:t>
                  </w:r>
                </w:p>
              </w:tc>
              <w:tc>
                <w:tcPr>
                  <w:tcW w:w="1057"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w:t>
                  </w:r>
                  <w:r>
                    <w:rPr>
                      <w:rFonts w:hint="eastAsia" w:ascii="Times New Roman" w:hAnsi="Times New Roman" w:cs="Times New Roman"/>
                      <w:color w:val="auto"/>
                      <w:sz w:val="21"/>
                      <w:szCs w:val="21"/>
                      <w:lang w:val="en-US" w:eastAsia="zh-CN" w:bidi="ar"/>
                    </w:rPr>
                    <w:t>5</w:t>
                  </w:r>
                  <w:r>
                    <w:rPr>
                      <w:rFonts w:hint="default" w:ascii="Times New Roman" w:hAnsi="Times New Roman" w:cs="Times New Roman"/>
                      <w:color w:val="auto"/>
                      <w:sz w:val="21"/>
                      <w:szCs w:val="21"/>
                      <w:lang w:bidi="ar"/>
                    </w:rPr>
                    <w:t>.00</w:t>
                  </w:r>
                </w:p>
              </w:tc>
              <w:tc>
                <w:tcPr>
                  <w:tcW w:w="1164"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823"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O</w:t>
                  </w:r>
                  <w:r>
                    <w:rPr>
                      <w:rFonts w:hint="default" w:ascii="Times New Roman" w:hAnsi="Times New Roman" w:cs="Times New Roman"/>
                      <w:color w:val="auto"/>
                      <w:sz w:val="21"/>
                      <w:szCs w:val="21"/>
                      <w:vertAlign w:val="subscript"/>
                      <w:lang w:bidi="ar"/>
                    </w:rPr>
                    <w:t>3</w:t>
                  </w:r>
                </w:p>
              </w:tc>
              <w:tc>
                <w:tcPr>
                  <w:tcW w:w="3501"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第90百分位数8h平均质量浓度</w:t>
                  </w:r>
                </w:p>
              </w:tc>
              <w:tc>
                <w:tcPr>
                  <w:tcW w:w="1107"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bidi="ar"/>
                    </w:rPr>
                    <w:t>10</w:t>
                  </w:r>
                  <w:r>
                    <w:rPr>
                      <w:rFonts w:hint="eastAsia" w:ascii="Times New Roman" w:hAnsi="Times New Roman" w:cs="Times New Roman"/>
                      <w:color w:val="auto"/>
                      <w:sz w:val="21"/>
                      <w:szCs w:val="21"/>
                      <w:lang w:val="en-US" w:eastAsia="zh-CN" w:bidi="ar"/>
                    </w:rPr>
                    <w:t>2</w:t>
                  </w:r>
                </w:p>
              </w:tc>
              <w:tc>
                <w:tcPr>
                  <w:tcW w:w="1285"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160</w:t>
                  </w:r>
                </w:p>
              </w:tc>
              <w:tc>
                <w:tcPr>
                  <w:tcW w:w="1057"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63.75</w:t>
                  </w:r>
                </w:p>
              </w:tc>
              <w:tc>
                <w:tcPr>
                  <w:tcW w:w="1164" w:type="dxa"/>
                  <w:noWrap w:val="0"/>
                  <w:vAlign w:val="center"/>
                </w:tcPr>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18"/>
                <w:szCs w:val="18"/>
              </w:rPr>
              <w:t>注：日均值第X百分位数按照《</w:t>
            </w:r>
            <w:r>
              <w:rPr>
                <w:rFonts w:hint="eastAsia" w:ascii="Times New Roman" w:hAnsi="Times New Roman" w:cs="Times New Roman"/>
                <w:color w:val="auto"/>
                <w:sz w:val="18"/>
                <w:szCs w:val="18"/>
                <w:lang w:eastAsia="zh-CN"/>
              </w:rPr>
              <w:t>环境空气质量评价技术规范</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eastAsia="zh-CN"/>
              </w:rPr>
              <w:t>HJ 663-2026</w:t>
            </w:r>
            <w:r>
              <w:rPr>
                <w:rFonts w:hint="default" w:ascii="Times New Roman" w:hAnsi="Times New Roman" w:cs="Times New Roman"/>
                <w:color w:val="auto"/>
                <w:sz w:val="18"/>
                <w:szCs w:val="18"/>
              </w:rPr>
              <w:t>），二氧化氮、二氧化硫X为98，PM</w:t>
            </w:r>
            <w:r>
              <w:rPr>
                <w:rFonts w:hint="default" w:ascii="Times New Roman" w:hAnsi="Times New Roman" w:cs="Times New Roman"/>
                <w:color w:val="auto"/>
                <w:sz w:val="18"/>
                <w:szCs w:val="18"/>
                <w:vertAlign w:val="subscript"/>
              </w:rPr>
              <w:t>2.5</w:t>
            </w:r>
            <w:r>
              <w:rPr>
                <w:rFonts w:hint="default" w:ascii="Times New Roman" w:hAnsi="Times New Roman" w:cs="Times New Roman"/>
                <w:color w:val="auto"/>
                <w:sz w:val="18"/>
                <w:szCs w:val="18"/>
              </w:rPr>
              <w:t>、PM</w:t>
            </w:r>
            <w:r>
              <w:rPr>
                <w:rFonts w:hint="default" w:ascii="Times New Roman" w:hAnsi="Times New Roman" w:cs="Times New Roman"/>
                <w:color w:val="auto"/>
                <w:sz w:val="18"/>
                <w:szCs w:val="18"/>
                <w:vertAlign w:val="subscript"/>
              </w:rPr>
              <w:t>10</w:t>
            </w:r>
            <w:r>
              <w:rPr>
                <w:rFonts w:hint="default" w:ascii="Times New Roman" w:hAnsi="Times New Roman" w:cs="Times New Roman"/>
                <w:color w:val="auto"/>
                <w:sz w:val="18"/>
                <w:szCs w:val="18"/>
              </w:rPr>
              <w:t>、一氧化碳X为95，臭氧日最大8小时平均X为90。</w:t>
            </w:r>
          </w:p>
          <w:p>
            <w:pPr>
              <w:spacing w:line="360" w:lineRule="auto"/>
              <w:ind w:firstLine="480" w:firstLineChars="200"/>
              <w:rPr>
                <w:rFonts w:hint="eastAsia" w:ascii="宋体" w:hAnsi="宋体" w:cs="宋体"/>
                <w:b/>
                <w:color w:val="auto"/>
                <w:kern w:val="0"/>
                <w:sz w:val="24"/>
                <w:highlight w:val="yellow"/>
              </w:rPr>
            </w:pPr>
            <w:r>
              <w:rPr>
                <w:rFonts w:hint="default" w:ascii="Times New Roman" w:hAnsi="Times New Roman" w:cs="Times New Roman"/>
                <w:color w:val="auto"/>
                <w:sz w:val="24"/>
                <w:szCs w:val="24"/>
                <w:highlight w:val="none"/>
                <w:lang w:val="en-US" w:eastAsia="zh-CN"/>
              </w:rPr>
              <w:t>由表3-1可知，本项目区域属于环境空气质量达标区。</w:t>
            </w:r>
          </w:p>
          <w:p>
            <w:pPr>
              <w:spacing w:line="360" w:lineRule="auto"/>
              <w:ind w:firstLine="482" w:firstLineChars="200"/>
              <w:rPr>
                <w:rFonts w:hint="eastAsia"/>
                <w:b/>
                <w:color w:val="auto"/>
                <w:sz w:val="24"/>
              </w:rPr>
            </w:pPr>
            <w:r>
              <w:rPr>
                <w:rFonts w:hint="eastAsia"/>
                <w:b/>
                <w:color w:val="auto"/>
                <w:sz w:val="24"/>
              </w:rPr>
              <w:t>二</w:t>
            </w:r>
            <w:r>
              <w:rPr>
                <w:b/>
                <w:color w:val="auto"/>
                <w:sz w:val="24"/>
              </w:rPr>
              <w:t>、</w:t>
            </w:r>
            <w:r>
              <w:rPr>
                <w:rFonts w:hint="eastAsia"/>
                <w:b/>
                <w:color w:val="auto"/>
                <w:sz w:val="24"/>
              </w:rPr>
              <w:t>地表水环境</w:t>
            </w:r>
          </w:p>
          <w:p>
            <w:pPr>
              <w:pStyle w:val="27"/>
              <w:keepNext w:val="0"/>
              <w:keepLines w:val="0"/>
              <w:pageBreakBefore w:val="0"/>
              <w:widowControl w:val="0"/>
              <w:kinsoku/>
              <w:wordWrap/>
              <w:overflowPunct/>
              <w:topLinePunct w:val="0"/>
              <w:autoSpaceDE/>
              <w:autoSpaceDN/>
              <w:bidi w:val="0"/>
              <w:adjustRightInd/>
              <w:snapToGrid/>
              <w:spacing w:before="0" w:after="0" w:line="360" w:lineRule="auto"/>
              <w:ind w:left="0" w:leftChars="0" w:right="0" w:firstLine="480" w:firstLineChars="200"/>
              <w:textAlignment w:val="auto"/>
              <w:rPr>
                <w:b/>
                <w:bCs/>
                <w:color w:val="auto"/>
                <w:sz w:val="24"/>
                <w:szCs w:val="24"/>
              </w:rPr>
            </w:pPr>
            <w:r>
              <w:rPr>
                <w:rFonts w:hint="default" w:ascii="Times New Roman" w:hAnsi="Times New Roman" w:eastAsia="宋体" w:cs="Times New Roman"/>
                <w:color w:val="auto"/>
                <w:kern w:val="0"/>
                <w:sz w:val="24"/>
                <w:szCs w:val="24"/>
                <w:highlight w:val="none"/>
                <w:lang w:val="en-US" w:eastAsia="zh-CN"/>
              </w:rPr>
              <w:t>根据《2025年黑龙江省生态环境质量状况》，伊春市参与国家考核计算的断面共11个，Ⅰ~Ⅲ类水质比例为63.6%，无劣V类水质断面。与上年同期相比，Ⅰ~Ⅲ类水质比例上升9.1个百分点，均无劣V类水质断面。伊春市饮用水水源地扣除自然本底因素影响后水量达标率为100%。</w:t>
            </w:r>
            <w:r>
              <w:rPr>
                <w:rFonts w:hint="default" w:ascii="Times New Roman" w:hAnsi="Times New Roman" w:eastAsia="宋体" w:cs="Times New Roman"/>
                <w:color w:val="auto"/>
                <w:sz w:val="24"/>
                <w:szCs w:val="24"/>
              </w:rPr>
              <w:t>本项目附近地表水体属于黑龙江干流嘉荫断面，黑龙江干流嘉荫断面为Ⅳ类水体，该监测断面202</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年水质现状满足《地表水环境质量标准》（GB3838-2002）Ⅳ类标准要求。</w:t>
            </w:r>
          </w:p>
          <w:p>
            <w:pPr>
              <w:spacing w:line="360" w:lineRule="auto"/>
              <w:ind w:firstLine="482" w:firstLineChars="200"/>
              <w:rPr>
                <w:b/>
                <w:color w:val="auto"/>
                <w:sz w:val="24"/>
              </w:rPr>
            </w:pPr>
            <w:r>
              <w:rPr>
                <w:rFonts w:hint="eastAsia"/>
                <w:b/>
                <w:color w:val="auto"/>
                <w:sz w:val="24"/>
              </w:rPr>
              <w:t>三</w:t>
            </w:r>
            <w:r>
              <w:rPr>
                <w:b/>
                <w:color w:val="auto"/>
                <w:sz w:val="24"/>
              </w:rPr>
              <w:t>、声环境</w:t>
            </w:r>
          </w:p>
          <w:p>
            <w:pPr>
              <w:pStyle w:val="21"/>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敏感点声环境质量现状监测数据来自黑龙江汇川检测有限公司出具的《</w:t>
            </w:r>
            <w:r>
              <w:rPr>
                <w:rFonts w:hint="eastAsia" w:cs="Times New Roman"/>
                <w:color w:val="auto"/>
                <w:sz w:val="24"/>
                <w:szCs w:val="24"/>
                <w:highlight w:val="none"/>
                <w:lang w:val="en-US" w:eastAsia="zh-CN"/>
              </w:rPr>
              <w:t>黑龙江省伊春市嘉荫县保兴镇前岗村蜂蜜加工项目</w:t>
            </w:r>
            <w:r>
              <w:rPr>
                <w:rFonts w:hint="default" w:ascii="Times New Roman" w:hAnsi="Times New Roman" w:cs="Times New Roman"/>
                <w:color w:val="auto"/>
                <w:sz w:val="24"/>
                <w:szCs w:val="24"/>
                <w:highlight w:val="none"/>
                <w:lang w:val="en-US" w:eastAsia="zh-CN"/>
              </w:rPr>
              <w:t>检测报告</w:t>
            </w:r>
            <w:r>
              <w:rPr>
                <w:rFonts w:hint="eastAsia" w:cs="Times New Roman"/>
                <w:color w:val="auto"/>
                <w:sz w:val="24"/>
                <w:szCs w:val="24"/>
                <w:highlight w:val="none"/>
                <w:lang w:val="en-US" w:eastAsia="zh-CN"/>
              </w:rPr>
              <w:t>》。</w:t>
            </w:r>
          </w:p>
          <w:p>
            <w:pPr>
              <w:pStyle w:val="21"/>
              <w:spacing w:after="0" w:line="240" w:lineRule="auto"/>
              <w:ind w:left="0"/>
              <w:jc w:val="center"/>
              <w:rPr>
                <w:rFonts w:hint="eastAsia"/>
                <w:color w:val="auto"/>
                <w:highlight w:val="yellow"/>
              </w:rPr>
            </w:pPr>
            <w:r>
              <w:rPr>
                <w:rFonts w:hAnsiTheme="minorEastAsia" w:eastAsiaTheme="minorEastAsia"/>
                <w:b/>
                <w:sz w:val="32"/>
                <w:szCs w:val="32"/>
              </w:rPr>
              <w:drawing>
                <wp:inline distT="0" distB="0" distL="0" distR="0">
                  <wp:extent cx="4199255" cy="3752850"/>
                  <wp:effectExtent l="0" t="0" r="10795" b="0"/>
                  <wp:docPr id="12" name="图片 12" descr="d:\xwechat_files\wxid_wiad8k6i2fya21_6bac\temp\InputTemp\ff5a3346-56c3-4ca0-b736-64c9687bd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xwechat_files\wxid_wiad8k6i2fya21_6bac\temp\InputTemp\ff5a3346-56c3-4ca0-b736-64c9687bd88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09530" cy="3762382"/>
                          </a:xfrm>
                          <a:prstGeom prst="rect">
                            <a:avLst/>
                          </a:prstGeom>
                          <a:noFill/>
                          <a:ln>
                            <a:noFill/>
                          </a:ln>
                        </pic:spPr>
                      </pic:pic>
                    </a:graphicData>
                  </a:graphic>
                </wp:inline>
              </w:drawing>
            </w:r>
          </w:p>
          <w:p>
            <w:pPr>
              <w:adjustRightInd w:val="0"/>
              <w:snapToGrid w:val="0"/>
              <w:spacing w:line="360" w:lineRule="auto"/>
              <w:jc w:val="center"/>
              <w:rPr>
                <w:b/>
                <w:bCs/>
                <w:snapToGrid w:val="0"/>
                <w:color w:val="auto"/>
                <w:kern w:val="0"/>
                <w:szCs w:val="21"/>
                <w:highlight w:val="none"/>
              </w:rPr>
            </w:pPr>
            <w:r>
              <w:rPr>
                <w:rFonts w:hint="eastAsia"/>
                <w:b/>
                <w:bCs/>
                <w:snapToGrid w:val="0"/>
                <w:color w:val="auto"/>
                <w:kern w:val="0"/>
                <w:szCs w:val="21"/>
                <w:highlight w:val="none"/>
              </w:rPr>
              <w:t>图</w:t>
            </w:r>
            <w:r>
              <w:rPr>
                <w:b/>
                <w:bCs/>
                <w:snapToGrid w:val="0"/>
                <w:color w:val="auto"/>
                <w:kern w:val="0"/>
                <w:szCs w:val="21"/>
                <w:highlight w:val="none"/>
              </w:rPr>
              <w:t>3-</w:t>
            </w:r>
            <w:r>
              <w:rPr>
                <w:rFonts w:hint="eastAsia"/>
                <w:b/>
                <w:bCs/>
                <w:snapToGrid w:val="0"/>
                <w:color w:val="auto"/>
                <w:kern w:val="0"/>
                <w:szCs w:val="21"/>
                <w:highlight w:val="none"/>
              </w:rPr>
              <w:t>1</w:t>
            </w:r>
            <w:r>
              <w:rPr>
                <w:b/>
                <w:bCs/>
                <w:snapToGrid w:val="0"/>
                <w:color w:val="auto"/>
                <w:kern w:val="0"/>
                <w:szCs w:val="21"/>
                <w:highlight w:val="none"/>
              </w:rPr>
              <w:t xml:space="preserve"> 声环境质量监测点位</w:t>
            </w:r>
            <w:r>
              <w:rPr>
                <w:rFonts w:hint="eastAsia"/>
                <w:b/>
                <w:bCs/>
                <w:snapToGrid w:val="0"/>
                <w:color w:val="auto"/>
                <w:kern w:val="0"/>
                <w:szCs w:val="21"/>
                <w:highlight w:val="none"/>
              </w:rPr>
              <w:t>图</w:t>
            </w:r>
          </w:p>
          <w:p>
            <w:pPr>
              <w:adjustRightInd w:val="0"/>
              <w:snapToGrid w:val="0"/>
              <w:jc w:val="center"/>
              <w:rPr>
                <w:b/>
                <w:bCs/>
                <w:snapToGrid w:val="0"/>
                <w:color w:val="auto"/>
                <w:kern w:val="0"/>
                <w:szCs w:val="21"/>
                <w:highlight w:val="none"/>
              </w:rPr>
            </w:pPr>
            <w:r>
              <w:rPr>
                <w:b/>
                <w:bCs/>
                <w:snapToGrid w:val="0"/>
                <w:color w:val="auto"/>
                <w:kern w:val="0"/>
                <w:szCs w:val="21"/>
                <w:highlight w:val="none"/>
              </w:rPr>
              <w:t>表3-2 声环境质量监测点位</w:t>
            </w:r>
          </w:p>
          <w:tbl>
            <w:tblPr>
              <w:tblStyle w:val="29"/>
              <w:tblW w:w="893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60" w:type="dxa"/>
                <w:bottom w:w="0" w:type="dxa"/>
                <w:right w:w="60" w:type="dxa"/>
              </w:tblCellMar>
            </w:tblPr>
            <w:tblGrid>
              <w:gridCol w:w="2125"/>
              <w:gridCol w:w="4084"/>
              <w:gridCol w:w="27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60" w:type="dxa"/>
                  <w:bottom w:w="0" w:type="dxa"/>
                  <w:right w:w="60" w:type="dxa"/>
                </w:tblCellMar>
              </w:tblPrEx>
              <w:trPr>
                <w:cantSplit/>
                <w:trHeight w:val="260" w:hRule="atLeast"/>
                <w:jc w:val="center"/>
              </w:trPr>
              <w:tc>
                <w:tcPr>
                  <w:tcW w:w="2125" w:type="dxa"/>
                  <w:noWrap w:val="0"/>
                  <w:vAlign w:val="center"/>
                </w:tcPr>
                <w:p>
                  <w:pPr>
                    <w:pStyle w:val="79"/>
                    <w:keepNext w:val="0"/>
                    <w:keepLines w:val="0"/>
                    <w:pageBreakBefore w:val="0"/>
                    <w:widowControl w:val="0"/>
                    <w:kinsoku w:val="0"/>
                    <w:wordWrap/>
                    <w:overflowPunct w:val="0"/>
                    <w:topLinePunct w:val="0"/>
                    <w:autoSpaceDE w:val="0"/>
                    <w:autoSpaceDN w:val="0"/>
                    <w:bidi w:val="0"/>
                    <w:adjustRightInd w:val="0"/>
                    <w:snapToGrid w:val="0"/>
                    <w:spacing w:before="0" w:after="0"/>
                    <w:ind w:left="0" w:firstLine="0" w:firstLineChars="0"/>
                    <w:textAlignment w:val="auto"/>
                    <w:rPr>
                      <w:rFonts w:ascii="Times New Roman" w:hAnsi="Times New Roman" w:eastAsia="宋体"/>
                      <w:b/>
                      <w:color w:val="auto"/>
                      <w:sz w:val="21"/>
                      <w:szCs w:val="21"/>
                      <w:highlight w:val="none"/>
                    </w:rPr>
                  </w:pPr>
                  <w:bookmarkStart w:id="26" w:name="_Toc31671"/>
                  <w:bookmarkStart w:id="27" w:name="_Toc22387"/>
                  <w:bookmarkStart w:id="28" w:name="_Toc27044"/>
                  <w:r>
                    <w:rPr>
                      <w:rFonts w:ascii="Times New Roman" w:hAnsi="Times New Roman" w:eastAsia="宋体"/>
                      <w:b/>
                      <w:color w:val="auto"/>
                      <w:sz w:val="21"/>
                      <w:szCs w:val="21"/>
                      <w:highlight w:val="none"/>
                    </w:rPr>
                    <w:t>监测点位</w:t>
                  </w:r>
                  <w:bookmarkEnd w:id="26"/>
                  <w:bookmarkEnd w:id="27"/>
                  <w:bookmarkEnd w:id="28"/>
                </w:p>
              </w:tc>
              <w:tc>
                <w:tcPr>
                  <w:tcW w:w="4084" w:type="dxa"/>
                  <w:noWrap w:val="0"/>
                  <w:vAlign w:val="center"/>
                </w:tcPr>
                <w:p>
                  <w:pPr>
                    <w:pStyle w:val="79"/>
                    <w:keepNext w:val="0"/>
                    <w:keepLines w:val="0"/>
                    <w:pageBreakBefore w:val="0"/>
                    <w:widowControl w:val="0"/>
                    <w:kinsoku w:val="0"/>
                    <w:wordWrap/>
                    <w:overflowPunct w:val="0"/>
                    <w:topLinePunct w:val="0"/>
                    <w:autoSpaceDE w:val="0"/>
                    <w:autoSpaceDN w:val="0"/>
                    <w:bidi w:val="0"/>
                    <w:adjustRightInd w:val="0"/>
                    <w:snapToGrid w:val="0"/>
                    <w:spacing w:before="0" w:after="0"/>
                    <w:ind w:left="0" w:firstLine="0" w:firstLineChars="0"/>
                    <w:textAlignment w:val="auto"/>
                    <w:rPr>
                      <w:rFonts w:ascii="Times New Roman" w:hAnsi="Times New Roman" w:eastAsia="宋体"/>
                      <w:b/>
                      <w:color w:val="auto"/>
                      <w:sz w:val="21"/>
                      <w:szCs w:val="21"/>
                      <w:highlight w:val="none"/>
                    </w:rPr>
                  </w:pPr>
                  <w:bookmarkStart w:id="29" w:name="_Toc4556"/>
                  <w:bookmarkStart w:id="30" w:name="_Toc30351"/>
                  <w:bookmarkStart w:id="31" w:name="_Toc322"/>
                  <w:r>
                    <w:rPr>
                      <w:rFonts w:ascii="Times New Roman" w:hAnsi="Times New Roman" w:eastAsia="宋体"/>
                      <w:b/>
                      <w:color w:val="auto"/>
                      <w:sz w:val="21"/>
                      <w:szCs w:val="21"/>
                      <w:highlight w:val="none"/>
                    </w:rPr>
                    <w:t>点位位置</w:t>
                  </w:r>
                  <w:bookmarkEnd w:id="29"/>
                  <w:bookmarkEnd w:id="30"/>
                  <w:bookmarkEnd w:id="31"/>
                </w:p>
              </w:tc>
              <w:tc>
                <w:tcPr>
                  <w:tcW w:w="2727" w:type="dxa"/>
                  <w:noWrap w:val="0"/>
                  <w:vAlign w:val="center"/>
                </w:tcPr>
                <w:p>
                  <w:pPr>
                    <w:pStyle w:val="79"/>
                    <w:keepNext w:val="0"/>
                    <w:keepLines w:val="0"/>
                    <w:pageBreakBefore w:val="0"/>
                    <w:widowControl w:val="0"/>
                    <w:kinsoku w:val="0"/>
                    <w:wordWrap/>
                    <w:overflowPunct w:val="0"/>
                    <w:topLinePunct w:val="0"/>
                    <w:autoSpaceDE w:val="0"/>
                    <w:autoSpaceDN w:val="0"/>
                    <w:bidi w:val="0"/>
                    <w:adjustRightInd w:val="0"/>
                    <w:snapToGrid w:val="0"/>
                    <w:spacing w:before="0" w:after="0"/>
                    <w:ind w:left="0" w:firstLine="0" w:firstLineChars="0"/>
                    <w:textAlignment w:val="auto"/>
                    <w:rPr>
                      <w:rFonts w:ascii="Times New Roman" w:hAnsi="Times New Roman" w:eastAsia="宋体"/>
                      <w:b/>
                      <w:color w:val="auto"/>
                      <w:sz w:val="21"/>
                      <w:szCs w:val="21"/>
                      <w:highlight w:val="none"/>
                    </w:rPr>
                  </w:pPr>
                  <w:bookmarkStart w:id="32" w:name="_Toc16818"/>
                  <w:bookmarkStart w:id="33" w:name="_Toc17676"/>
                  <w:bookmarkStart w:id="34" w:name="_Toc228"/>
                  <w:r>
                    <w:rPr>
                      <w:rFonts w:ascii="Times New Roman" w:hAnsi="Times New Roman" w:eastAsia="宋体"/>
                      <w:b/>
                      <w:color w:val="auto"/>
                      <w:sz w:val="21"/>
                      <w:szCs w:val="21"/>
                      <w:highlight w:val="none"/>
                    </w:rPr>
                    <w:t>监测内容</w:t>
                  </w:r>
                  <w:bookmarkEnd w:id="32"/>
                  <w:bookmarkEnd w:id="33"/>
                  <w:bookmarkEnd w:id="34"/>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60" w:type="dxa"/>
                  <w:bottom w:w="0" w:type="dxa"/>
                  <w:right w:w="60" w:type="dxa"/>
                </w:tblCellMar>
              </w:tblPrEx>
              <w:trPr>
                <w:cantSplit/>
                <w:trHeight w:val="90" w:hRule="atLeast"/>
                <w:jc w:val="center"/>
              </w:trPr>
              <w:tc>
                <w:tcPr>
                  <w:tcW w:w="2125" w:type="dxa"/>
                  <w:noWrap w:val="0"/>
                  <w:vAlign w:val="center"/>
                </w:tcPr>
                <w:p>
                  <w:pPr>
                    <w:keepNext w:val="0"/>
                    <w:keepLines w:val="0"/>
                    <w:pageBreakBefore w:val="0"/>
                    <w:widowControl/>
                    <w:wordWrap/>
                    <w:topLinePunct w:val="0"/>
                    <w:bidi w:val="0"/>
                    <w:ind w:left="0" w:firstLine="0" w:firstLineChars="0"/>
                    <w:jc w:val="center"/>
                    <w:textAlignment w:val="auto"/>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1</w:t>
                  </w:r>
                </w:p>
              </w:tc>
              <w:tc>
                <w:tcPr>
                  <w:tcW w:w="4084" w:type="dxa"/>
                  <w:noWrap w:val="0"/>
                  <w:vAlign w:val="center"/>
                </w:tcPr>
                <w:p>
                  <w:pPr>
                    <w:keepNext w:val="0"/>
                    <w:keepLines w:val="0"/>
                    <w:pageBreakBefore w:val="0"/>
                    <w:widowControl/>
                    <w:wordWrap/>
                    <w:topLinePunct w:val="0"/>
                    <w:bidi w:val="0"/>
                    <w:ind w:left="0" w:firstLine="0" w:firstLineChars="0"/>
                    <w:jc w:val="center"/>
                    <w:textAlignment w:val="auto"/>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rPr>
                    <w:t>厂界东侧居民1#</w:t>
                  </w:r>
                </w:p>
              </w:tc>
              <w:tc>
                <w:tcPr>
                  <w:tcW w:w="2727" w:type="dxa"/>
                  <w:vMerge w:val="restart"/>
                  <w:noWrap w:val="0"/>
                  <w:vAlign w:val="center"/>
                </w:tcPr>
                <w:p>
                  <w:pPr>
                    <w:keepNext w:val="0"/>
                    <w:keepLines w:val="0"/>
                    <w:pageBreakBefore w:val="0"/>
                    <w:widowControl/>
                    <w:wordWrap/>
                    <w:topLinePunct w:val="0"/>
                    <w:bidi w:val="0"/>
                    <w:ind w:left="0" w:firstLine="0" w:firstLineChars="0"/>
                    <w:jc w:val="center"/>
                    <w:textAlignment w:val="auto"/>
                    <w:rPr>
                      <w:bCs/>
                      <w:color w:val="auto"/>
                      <w:szCs w:val="21"/>
                      <w:highlight w:val="none"/>
                    </w:rPr>
                  </w:pPr>
                  <w:r>
                    <w:rPr>
                      <w:bCs/>
                      <w:color w:val="auto"/>
                      <w:szCs w:val="21"/>
                      <w:highlight w:val="none"/>
                    </w:rPr>
                    <w:t>昼/夜 Leq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60" w:type="dxa"/>
                  <w:bottom w:w="0" w:type="dxa"/>
                  <w:right w:w="60" w:type="dxa"/>
                </w:tblCellMar>
              </w:tblPrEx>
              <w:trPr>
                <w:cantSplit/>
                <w:trHeight w:val="90" w:hRule="atLeast"/>
                <w:jc w:val="center"/>
              </w:trPr>
              <w:tc>
                <w:tcPr>
                  <w:tcW w:w="2125" w:type="dxa"/>
                  <w:noWrap w:val="0"/>
                  <w:vAlign w:val="center"/>
                </w:tcPr>
                <w:p>
                  <w:pPr>
                    <w:keepNext w:val="0"/>
                    <w:keepLines w:val="0"/>
                    <w:pageBreakBefore w:val="0"/>
                    <w:widowControl/>
                    <w:wordWrap/>
                    <w:topLinePunct w:val="0"/>
                    <w:bidi w:val="0"/>
                    <w:ind w:left="0" w:firstLine="0" w:firstLineChars="0"/>
                    <w:jc w:val="center"/>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2</w:t>
                  </w:r>
                </w:p>
              </w:tc>
              <w:tc>
                <w:tcPr>
                  <w:tcW w:w="4084" w:type="dxa"/>
                  <w:noWrap w:val="0"/>
                  <w:vAlign w:val="center"/>
                </w:tcPr>
                <w:p>
                  <w:pPr>
                    <w:keepNext w:val="0"/>
                    <w:keepLines w:val="0"/>
                    <w:pageBreakBefore w:val="0"/>
                    <w:widowControl/>
                    <w:wordWrap/>
                    <w:topLinePunct w:val="0"/>
                    <w:bidi w:val="0"/>
                    <w:ind w:left="0" w:firstLine="0" w:firstLineChars="0"/>
                    <w:jc w:val="center"/>
                    <w:textAlignment w:val="auto"/>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rPr>
                    <w:t>厂界东南侧居民2#</w:t>
                  </w:r>
                </w:p>
              </w:tc>
              <w:tc>
                <w:tcPr>
                  <w:tcW w:w="2727" w:type="dxa"/>
                  <w:vMerge w:val="continue"/>
                  <w:noWrap w:val="0"/>
                  <w:vAlign w:val="center"/>
                </w:tcPr>
                <w:p>
                  <w:pPr>
                    <w:keepNext w:val="0"/>
                    <w:keepLines w:val="0"/>
                    <w:pageBreakBefore w:val="0"/>
                    <w:widowControl/>
                    <w:wordWrap/>
                    <w:topLinePunct w:val="0"/>
                    <w:bidi w:val="0"/>
                    <w:ind w:left="0" w:firstLine="0" w:firstLineChars="0"/>
                    <w:jc w:val="center"/>
                    <w:textAlignment w:val="auto"/>
                    <w:rPr>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60" w:type="dxa"/>
                  <w:bottom w:w="0" w:type="dxa"/>
                  <w:right w:w="60" w:type="dxa"/>
                </w:tblCellMar>
              </w:tblPrEx>
              <w:trPr>
                <w:cantSplit/>
                <w:trHeight w:val="90" w:hRule="atLeast"/>
                <w:jc w:val="center"/>
              </w:trPr>
              <w:tc>
                <w:tcPr>
                  <w:tcW w:w="2125" w:type="dxa"/>
                  <w:noWrap w:val="0"/>
                  <w:vAlign w:val="center"/>
                </w:tcPr>
                <w:p>
                  <w:pPr>
                    <w:keepNext w:val="0"/>
                    <w:keepLines w:val="0"/>
                    <w:pageBreakBefore w:val="0"/>
                    <w:widowControl/>
                    <w:wordWrap/>
                    <w:topLinePunct w:val="0"/>
                    <w:bidi w:val="0"/>
                    <w:ind w:left="0" w:firstLine="0" w:firstLineChars="0"/>
                    <w:jc w:val="center"/>
                    <w:textAlignment w:val="auto"/>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3</w:t>
                  </w:r>
                </w:p>
              </w:tc>
              <w:tc>
                <w:tcPr>
                  <w:tcW w:w="4084" w:type="dxa"/>
                  <w:noWrap w:val="0"/>
                  <w:vAlign w:val="center"/>
                </w:tcPr>
                <w:p>
                  <w:pPr>
                    <w:keepNext w:val="0"/>
                    <w:keepLines w:val="0"/>
                    <w:pageBreakBefore w:val="0"/>
                    <w:widowControl/>
                    <w:wordWrap/>
                    <w:topLinePunct w:val="0"/>
                    <w:bidi w:val="0"/>
                    <w:ind w:left="0" w:firstLine="0" w:firstLineChars="0"/>
                    <w:jc w:val="center"/>
                    <w:textAlignment w:val="auto"/>
                    <w:rPr>
                      <w:rFonts w:hint="eastAsia"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厂界西侧</w:t>
                  </w:r>
                  <w:r>
                    <w:rPr>
                      <w:rFonts w:hint="eastAsia" w:ascii="Times New Roman" w:hAnsi="Times New Roman" w:eastAsia="宋体" w:cs="Times New Roman"/>
                      <w:bCs/>
                      <w:color w:val="auto"/>
                      <w:szCs w:val="21"/>
                      <w:highlight w:val="none"/>
                      <w:lang w:val="en-US" w:eastAsia="zh-CN"/>
                    </w:rPr>
                    <w:t>居民</w:t>
                  </w:r>
                  <w:r>
                    <w:rPr>
                      <w:rFonts w:hint="eastAsia" w:ascii="Times New Roman" w:hAnsi="Times New Roman" w:eastAsia="宋体" w:cs="Times New Roman"/>
                      <w:bCs/>
                      <w:color w:val="auto"/>
                      <w:szCs w:val="21"/>
                      <w:highlight w:val="none"/>
                    </w:rPr>
                    <w:t>3#</w:t>
                  </w:r>
                </w:p>
              </w:tc>
              <w:tc>
                <w:tcPr>
                  <w:tcW w:w="2727" w:type="dxa"/>
                  <w:vMerge w:val="continue"/>
                  <w:noWrap w:val="0"/>
                  <w:vAlign w:val="center"/>
                </w:tcPr>
                <w:p>
                  <w:pPr>
                    <w:keepNext w:val="0"/>
                    <w:keepLines w:val="0"/>
                    <w:pageBreakBefore w:val="0"/>
                    <w:widowControl/>
                    <w:wordWrap/>
                    <w:topLinePunct w:val="0"/>
                    <w:bidi w:val="0"/>
                    <w:ind w:left="0" w:firstLine="0" w:firstLineChars="0"/>
                    <w:jc w:val="center"/>
                    <w:textAlignment w:val="auto"/>
                    <w:rPr>
                      <w:bCs/>
                      <w:color w:val="auto"/>
                      <w:szCs w:val="21"/>
                      <w:highlight w:val="none"/>
                    </w:rPr>
                  </w:pPr>
                </w:p>
              </w:tc>
            </w:tr>
          </w:tbl>
          <w:p>
            <w:pPr>
              <w:spacing w:line="360" w:lineRule="auto"/>
              <w:ind w:firstLine="480" w:firstLineChars="200"/>
              <w:rPr>
                <w:color w:val="auto"/>
                <w:sz w:val="24"/>
                <w:highlight w:val="none"/>
              </w:rPr>
            </w:pPr>
            <w:r>
              <w:rPr>
                <w:rFonts w:ascii="Times New Roman" w:hAnsi="Times New Roman" w:eastAsia="宋体" w:cs="Times New Roman"/>
                <w:color w:val="auto"/>
                <w:sz w:val="24"/>
                <w:highlight w:val="none"/>
              </w:rPr>
              <w:t>监测结果</w:t>
            </w:r>
            <w:r>
              <w:rPr>
                <w:color w:val="auto"/>
                <w:sz w:val="24"/>
                <w:highlight w:val="none"/>
              </w:rPr>
              <w:t>见表3-3。</w:t>
            </w:r>
          </w:p>
          <w:p>
            <w:pPr>
              <w:adjustRightInd w:val="0"/>
              <w:snapToGrid w:val="0"/>
              <w:jc w:val="center"/>
              <w:rPr>
                <w:b/>
                <w:bCs/>
                <w:snapToGrid w:val="0"/>
                <w:color w:val="auto"/>
                <w:kern w:val="0"/>
                <w:szCs w:val="21"/>
                <w:highlight w:val="none"/>
              </w:rPr>
            </w:pPr>
            <w:r>
              <w:rPr>
                <w:b/>
                <w:bCs/>
                <w:snapToGrid w:val="0"/>
                <w:color w:val="auto"/>
                <w:kern w:val="0"/>
                <w:szCs w:val="21"/>
                <w:highlight w:val="none"/>
              </w:rPr>
              <w:t>表3-3 声环境现状监测值</w:t>
            </w:r>
          </w:p>
          <w:tbl>
            <w:tblPr>
              <w:tblStyle w:val="29"/>
              <w:tblW w:w="894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03"/>
              <w:gridCol w:w="2251"/>
              <w:gridCol w:w="2252"/>
              <w:gridCol w:w="15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903" w:type="dxa"/>
                  <w:vMerge w:val="restart"/>
                  <w:tcBorders>
                    <w:top w:val="single" w:color="auto" w:sz="12" w:space="0"/>
                  </w:tcBorders>
                  <w:vAlign w:val="center"/>
                </w:tcPr>
                <w:p>
                  <w:pPr>
                    <w:spacing w:after="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检测点位</w:t>
                  </w:r>
                </w:p>
              </w:tc>
              <w:tc>
                <w:tcPr>
                  <w:tcW w:w="4503" w:type="dxa"/>
                  <w:gridSpan w:val="2"/>
                  <w:tcBorders>
                    <w:top w:val="single" w:color="auto" w:sz="12" w:space="0"/>
                    <w:bottom w:val="single" w:color="auto" w:sz="4" w:space="0"/>
                  </w:tcBorders>
                  <w:vAlign w:val="center"/>
                </w:tcPr>
                <w:p>
                  <w:pPr>
                    <w:spacing w:after="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检测结果</w:t>
                  </w:r>
                </w:p>
              </w:tc>
              <w:tc>
                <w:tcPr>
                  <w:tcW w:w="1535" w:type="dxa"/>
                  <w:vMerge w:val="restart"/>
                  <w:tcBorders>
                    <w:top w:val="single" w:color="auto" w:sz="12" w:space="0"/>
                  </w:tcBorders>
                  <w:vAlign w:val="center"/>
                </w:tcPr>
                <w:p>
                  <w:pPr>
                    <w:spacing w:after="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903" w:type="dxa"/>
                  <w:vMerge w:val="continue"/>
                  <w:tcBorders>
                    <w:top w:val="single" w:color="auto" w:sz="12" w:space="0"/>
                  </w:tcBorders>
                  <w:vAlign w:val="center"/>
                </w:tcPr>
                <w:p>
                  <w:pPr>
                    <w:spacing w:after="0"/>
                    <w:jc w:val="center"/>
                    <w:rPr>
                      <w:rFonts w:hint="default" w:ascii="Times New Roman" w:hAnsi="Times New Roman" w:eastAsia="宋体" w:cs="Times New Roman"/>
                      <w:b/>
                      <w:sz w:val="21"/>
                      <w:szCs w:val="21"/>
                    </w:rPr>
                  </w:pPr>
                </w:p>
              </w:tc>
              <w:tc>
                <w:tcPr>
                  <w:tcW w:w="4503" w:type="dxa"/>
                  <w:gridSpan w:val="2"/>
                  <w:tcBorders>
                    <w:top w:val="single" w:color="auto" w:sz="4" w:space="0"/>
                    <w:bottom w:val="single" w:color="auto" w:sz="4" w:space="0"/>
                  </w:tcBorders>
                  <w:vAlign w:val="center"/>
                </w:tcPr>
                <w:p>
                  <w:pPr>
                    <w:spacing w:after="0" w:line="220" w:lineRule="atLeast"/>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2026.03.27</w:t>
                  </w:r>
                </w:p>
              </w:tc>
              <w:tc>
                <w:tcPr>
                  <w:tcW w:w="1535" w:type="dxa"/>
                  <w:vMerge w:val="continue"/>
                  <w:tcBorders>
                    <w:top w:val="single" w:color="auto" w:sz="12" w:space="0"/>
                  </w:tcBorders>
                  <w:vAlign w:val="center"/>
                </w:tcPr>
                <w:p>
                  <w:pPr>
                    <w:spacing w:after="0"/>
                    <w:jc w:val="center"/>
                    <w:rPr>
                      <w:rFonts w:hint="default" w:ascii="Times New Roman" w:hAnsi="Times New Roman" w:eastAsia="宋体" w:cs="Times New Roman"/>
                      <w:b/>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903" w:type="dxa"/>
                  <w:vMerge w:val="continue"/>
                  <w:tcBorders>
                    <w:bottom w:val="single" w:color="auto" w:sz="4" w:space="0"/>
                  </w:tcBorders>
                  <w:vAlign w:val="center"/>
                </w:tcPr>
                <w:p>
                  <w:pPr>
                    <w:spacing w:after="0"/>
                    <w:jc w:val="center"/>
                    <w:rPr>
                      <w:rFonts w:hint="default" w:ascii="Times New Roman" w:hAnsi="Times New Roman" w:eastAsia="宋体" w:cs="Times New Roman"/>
                      <w:b/>
                      <w:sz w:val="21"/>
                      <w:szCs w:val="21"/>
                    </w:rPr>
                  </w:pPr>
                </w:p>
              </w:tc>
              <w:tc>
                <w:tcPr>
                  <w:tcW w:w="2251" w:type="dxa"/>
                  <w:tcBorders>
                    <w:top w:val="single" w:color="auto" w:sz="4" w:space="0"/>
                    <w:bottom w:val="single" w:color="auto" w:sz="12" w:space="0"/>
                  </w:tcBorders>
                  <w:vAlign w:val="center"/>
                </w:tcPr>
                <w:p>
                  <w:pPr>
                    <w:spacing w:after="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昼间</w:t>
                  </w:r>
                </w:p>
              </w:tc>
              <w:tc>
                <w:tcPr>
                  <w:tcW w:w="2252" w:type="dxa"/>
                  <w:tcBorders>
                    <w:top w:val="single" w:color="auto" w:sz="4" w:space="0"/>
                    <w:bottom w:val="single" w:color="auto" w:sz="12" w:space="0"/>
                  </w:tcBorders>
                  <w:vAlign w:val="center"/>
                </w:tcPr>
                <w:p>
                  <w:pPr>
                    <w:spacing w:after="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夜间</w:t>
                  </w:r>
                </w:p>
              </w:tc>
              <w:tc>
                <w:tcPr>
                  <w:tcW w:w="1535" w:type="dxa"/>
                  <w:vMerge w:val="continue"/>
                  <w:tcBorders>
                    <w:bottom w:val="single" w:color="auto" w:sz="4" w:space="0"/>
                  </w:tcBorders>
                  <w:vAlign w:val="center"/>
                </w:tcPr>
                <w:p>
                  <w:pPr>
                    <w:spacing w:after="0"/>
                    <w:jc w:val="center"/>
                    <w:rPr>
                      <w:rFonts w:hint="default" w:ascii="Times New Roman" w:hAnsi="Times New Roman" w:eastAsia="宋体" w:cs="Times New Roman"/>
                      <w:b/>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03" w:type="dxa"/>
                  <w:tcBorders>
                    <w:top w:val="single" w:color="auto" w:sz="12" w:space="0"/>
                  </w:tcBorders>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厂界东侧居民1#</w:t>
                  </w:r>
                </w:p>
              </w:tc>
              <w:tc>
                <w:tcPr>
                  <w:tcW w:w="2251" w:type="dxa"/>
                  <w:tcBorders>
                    <w:top w:val="single" w:color="auto" w:sz="12" w:space="0"/>
                  </w:tcBorders>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w:t>
                  </w:r>
                </w:p>
              </w:tc>
              <w:tc>
                <w:tcPr>
                  <w:tcW w:w="2252" w:type="dxa"/>
                  <w:tcBorders>
                    <w:top w:val="single" w:color="auto" w:sz="12" w:space="0"/>
                  </w:tcBorders>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w:t>
                  </w:r>
                </w:p>
              </w:tc>
              <w:tc>
                <w:tcPr>
                  <w:tcW w:w="1535" w:type="dxa"/>
                  <w:vMerge w:val="restart"/>
                  <w:tcBorders>
                    <w:top w:val="single" w:color="auto" w:sz="12" w:space="0"/>
                  </w:tcBorders>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03"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厂界东南侧居民2#</w:t>
                  </w:r>
                </w:p>
              </w:tc>
              <w:tc>
                <w:tcPr>
                  <w:tcW w:w="2251"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w:t>
                  </w:r>
                </w:p>
              </w:tc>
              <w:tc>
                <w:tcPr>
                  <w:tcW w:w="2252"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1535" w:type="dxa"/>
                  <w:vMerge w:val="continue"/>
                  <w:vAlign w:val="center"/>
                </w:tcPr>
                <w:p>
                  <w:pPr>
                    <w:spacing w:after="0"/>
                    <w:jc w:val="center"/>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903"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厂界西侧3#</w:t>
                  </w:r>
                </w:p>
              </w:tc>
              <w:tc>
                <w:tcPr>
                  <w:tcW w:w="2251"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w:t>
                  </w:r>
                </w:p>
              </w:tc>
              <w:tc>
                <w:tcPr>
                  <w:tcW w:w="2252" w:type="dxa"/>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1535" w:type="dxa"/>
                  <w:vMerge w:val="continue"/>
                  <w:vAlign w:val="center"/>
                </w:tcPr>
                <w:p>
                  <w:pPr>
                    <w:spacing w:after="0"/>
                    <w:jc w:val="center"/>
                    <w:rPr>
                      <w:rFonts w:hint="default" w:ascii="Times New Roman" w:hAnsi="Times New Roman" w:eastAsia="宋体" w:cs="Times New Roman"/>
                      <w:sz w:val="21"/>
                      <w:szCs w:val="21"/>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rPr>
            </w:pPr>
            <w:r>
              <w:rPr>
                <w:rFonts w:ascii="Times New Roman" w:hAnsi="Times New Roman" w:eastAsia="宋体" w:cs="Times New Roman"/>
                <w:color w:val="auto"/>
                <w:kern w:val="21"/>
                <w:sz w:val="24"/>
                <w:highlight w:val="none"/>
              </w:rPr>
              <w:t>监测结果表明：区域</w:t>
            </w:r>
            <w:r>
              <w:rPr>
                <w:rFonts w:hint="eastAsia" w:ascii="Times New Roman" w:hAnsi="Times New Roman" w:eastAsia="宋体" w:cs="Times New Roman"/>
                <w:color w:val="auto"/>
                <w:kern w:val="21"/>
                <w:sz w:val="24"/>
                <w:highlight w:val="none"/>
              </w:rPr>
              <w:t>敏感目标处</w:t>
            </w:r>
            <w:r>
              <w:rPr>
                <w:rFonts w:ascii="Times New Roman" w:hAnsi="Times New Roman" w:eastAsia="宋体" w:cs="Times New Roman"/>
                <w:color w:val="auto"/>
                <w:kern w:val="21"/>
                <w:sz w:val="24"/>
                <w:highlight w:val="none"/>
              </w:rPr>
              <w:t>声环境满足《声环境质量标准》</w:t>
            </w:r>
            <w:r>
              <w:rPr>
                <w:rFonts w:hint="eastAsia" w:ascii="Times New Roman" w:hAnsi="Times New Roman" w:eastAsia="宋体" w:cs="Times New Roman"/>
                <w:color w:val="auto"/>
                <w:kern w:val="21"/>
                <w:sz w:val="24"/>
                <w:highlight w:val="none"/>
                <w:lang w:eastAsia="zh-CN"/>
              </w:rPr>
              <w:t>（</w:t>
            </w:r>
            <w:r>
              <w:rPr>
                <w:rFonts w:ascii="Times New Roman" w:hAnsi="Times New Roman" w:eastAsia="宋体" w:cs="Times New Roman"/>
                <w:color w:val="auto"/>
                <w:kern w:val="21"/>
                <w:sz w:val="24"/>
                <w:highlight w:val="none"/>
              </w:rPr>
              <w:t>GB3096-2008</w:t>
            </w:r>
            <w:r>
              <w:rPr>
                <w:rFonts w:hint="eastAsia" w:ascii="Times New Roman" w:hAnsi="Times New Roman" w:eastAsia="宋体" w:cs="Times New Roman"/>
                <w:color w:val="auto"/>
                <w:kern w:val="21"/>
                <w:sz w:val="24"/>
                <w:highlight w:val="none"/>
                <w:lang w:eastAsia="zh-CN"/>
              </w:rPr>
              <w:t>）</w:t>
            </w:r>
            <w:r>
              <w:rPr>
                <w:rFonts w:ascii="Times New Roman" w:hAnsi="Times New Roman" w:eastAsia="宋体" w:cs="Times New Roman"/>
                <w:color w:val="auto"/>
                <w:kern w:val="21"/>
                <w:sz w:val="24"/>
                <w:highlight w:val="none"/>
              </w:rPr>
              <w:t>中</w:t>
            </w:r>
            <w:r>
              <w:rPr>
                <w:rFonts w:hint="eastAsia" w:ascii="Times New Roman" w:hAnsi="Times New Roman" w:eastAsia="宋体" w:cs="Times New Roman"/>
                <w:color w:val="auto"/>
                <w:kern w:val="21"/>
                <w:sz w:val="24"/>
                <w:highlight w:val="none"/>
                <w:lang w:val="en-US" w:eastAsia="zh-CN"/>
              </w:rPr>
              <w:t>2</w:t>
            </w:r>
            <w:r>
              <w:rPr>
                <w:rFonts w:ascii="Times New Roman" w:hAnsi="Times New Roman" w:eastAsia="宋体" w:cs="Times New Roman"/>
                <w:color w:val="auto"/>
                <w:kern w:val="21"/>
                <w:sz w:val="24"/>
                <w:highlight w:val="none"/>
              </w:rPr>
              <w:t>类标准</w:t>
            </w:r>
            <w:r>
              <w:rPr>
                <w:rFonts w:hint="eastAsia" w:ascii="Times New Roman" w:hAnsi="Times New Roman" w:eastAsia="宋体" w:cs="Times New Roman"/>
                <w:color w:val="auto"/>
                <w:kern w:val="21"/>
                <w:sz w:val="24"/>
                <w:highlight w:val="none"/>
                <w:lang w:val="en-US" w:eastAsia="zh-CN"/>
              </w:rPr>
              <w:t>要求</w:t>
            </w:r>
            <w:r>
              <w:rPr>
                <w:rFonts w:ascii="Times New Roman" w:hAnsi="Times New Roman" w:eastAsia="宋体" w:cs="Times New Roman"/>
                <w:color w:val="auto"/>
                <w:kern w:val="21"/>
                <w:sz w:val="24"/>
                <w:highlight w:val="none"/>
              </w:rPr>
              <w:t>，项目所在区域声环境质量较好。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11" w:hRule="atLeast"/>
          <w:jc w:val="center"/>
        </w:trPr>
        <w:tc>
          <w:tcPr>
            <w:tcW w:w="481" w:type="dxa"/>
            <w:vAlign w:val="center"/>
          </w:tcPr>
          <w:p>
            <w:pPr>
              <w:adjustRightInd w:val="0"/>
              <w:snapToGrid w:val="0"/>
              <w:jc w:val="center"/>
              <w:rPr>
                <w:color w:val="auto"/>
                <w:kern w:val="0"/>
                <w:sz w:val="24"/>
              </w:rPr>
            </w:pPr>
            <w:r>
              <w:rPr>
                <w:color w:val="auto"/>
                <w:kern w:val="0"/>
                <w:sz w:val="24"/>
              </w:rPr>
              <w:t>环境</w:t>
            </w:r>
          </w:p>
          <w:p>
            <w:pPr>
              <w:adjustRightInd w:val="0"/>
              <w:snapToGrid w:val="0"/>
              <w:jc w:val="center"/>
              <w:rPr>
                <w:color w:val="auto"/>
                <w:kern w:val="0"/>
                <w:sz w:val="24"/>
              </w:rPr>
            </w:pPr>
            <w:r>
              <w:rPr>
                <w:color w:val="auto"/>
                <w:kern w:val="0"/>
                <w:sz w:val="24"/>
              </w:rPr>
              <w:t>保护</w:t>
            </w:r>
          </w:p>
          <w:p>
            <w:pPr>
              <w:adjustRightInd w:val="0"/>
              <w:snapToGrid w:val="0"/>
              <w:jc w:val="center"/>
              <w:rPr>
                <w:color w:val="auto"/>
                <w:kern w:val="0"/>
                <w:szCs w:val="21"/>
              </w:rPr>
            </w:pPr>
            <w:r>
              <w:rPr>
                <w:color w:val="auto"/>
                <w:kern w:val="0"/>
                <w:sz w:val="24"/>
              </w:rPr>
              <w:t>目标</w:t>
            </w:r>
          </w:p>
        </w:tc>
        <w:tc>
          <w:tcPr>
            <w:tcW w:w="9157" w:type="dxa"/>
            <w:vAlign w:val="center"/>
          </w:tcPr>
          <w:p>
            <w:pPr>
              <w:pStyle w:val="67"/>
              <w:keepNext w:val="0"/>
              <w:keepLines w:val="0"/>
              <w:suppressLineNumbers w:val="0"/>
              <w:spacing w:before="0" w:beforeAutospacing="0" w:after="0" w:afterAutospacing="0"/>
              <w:ind w:left="0" w:right="0" w:firstLine="480"/>
              <w:rPr>
                <w:rFonts w:hint="default" w:cs="Times New Roman"/>
                <w:color w:val="000000" w:themeColor="text1"/>
                <w:highlight w:val="none"/>
                <w:u w:val="none" w:color="auto"/>
                <w14:textFill>
                  <w14:solidFill>
                    <w14:schemeClr w14:val="tx1"/>
                  </w14:solidFill>
                </w14:textFill>
              </w:rPr>
            </w:pPr>
            <w:bookmarkStart w:id="35" w:name="_Ref369164422"/>
            <w:r>
              <w:rPr>
                <w:rFonts w:hint="default" w:cs="Times New Roman"/>
                <w:color w:val="000000" w:themeColor="text1"/>
                <w:highlight w:val="none"/>
                <w:u w:val="none" w:color="auto"/>
                <w14:textFill>
                  <w14:solidFill>
                    <w14:schemeClr w14:val="tx1"/>
                  </w14:solidFill>
                </w14:textFill>
              </w:rPr>
              <w:t>1、大气环境保护目标</w:t>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t>本项目厂界外500米范围内</w:t>
            </w:r>
            <w:r>
              <w:rPr>
                <w:rFonts w:hint="eastAsia" w:cs="Times New Roman"/>
                <w:bCs/>
                <w:color w:val="000000" w:themeColor="text1"/>
                <w:kern w:val="2"/>
                <w:sz w:val="24"/>
                <w:szCs w:val="24"/>
                <w:u w:val="none" w:color="auto"/>
                <w:lang w:val="en-US" w:eastAsia="zh-CN" w:bidi="ar-SA"/>
                <w14:textFill>
                  <w14:solidFill>
                    <w14:schemeClr w14:val="tx1"/>
                  </w14:solidFill>
                </w14:textFill>
              </w:rPr>
              <w:t>大气</w:t>
            </w:r>
            <w:r>
              <w:rPr>
                <w:rFonts w:hint="default"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t>环境保护目标如下表</w:t>
            </w:r>
            <w:r>
              <w:rPr>
                <w:rFonts w:hint="eastAsia" w:ascii="Times New Roman" w:hAnsi="Times New Roman" w:eastAsia="宋体" w:cs="Times New Roman"/>
                <w:bCs/>
                <w:color w:val="000000" w:themeColor="text1"/>
                <w:kern w:val="2"/>
                <w:sz w:val="24"/>
                <w:szCs w:val="24"/>
                <w:u w:val="none" w:color="auto"/>
                <w:lang w:val="en-US" w:eastAsia="zh-CN" w:bidi="ar-SA"/>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color w:val="000000" w:themeColor="text1"/>
                <w:sz w:val="21"/>
                <w:szCs w:val="21"/>
                <w:highlight w:val="none"/>
                <w:u w:val="none" w:color="auto"/>
                <w14:textFill>
                  <w14:solidFill>
                    <w14:schemeClr w14:val="tx1"/>
                  </w14:solidFill>
                </w14:textFill>
              </w:rPr>
            </w:pPr>
            <w:r>
              <w:rPr>
                <w:rFonts w:hint="default" w:ascii="Times New Roman" w:hAnsi="Times New Roman" w:cs="Times New Roman"/>
                <w:b/>
                <w:color w:val="000000" w:themeColor="text1"/>
                <w:sz w:val="21"/>
                <w:szCs w:val="21"/>
                <w:highlight w:val="none"/>
                <w:u w:val="none" w:color="auto"/>
                <w14:textFill>
                  <w14:solidFill>
                    <w14:schemeClr w14:val="tx1"/>
                  </w14:solidFill>
                </w14:textFill>
              </w:rPr>
              <w:t>表3-</w:t>
            </w:r>
            <w:r>
              <w:rPr>
                <w:rFonts w:hint="eastAsia" w:ascii="Times New Roman" w:hAnsi="Times New Roman" w:cs="Times New Roman"/>
                <w:b/>
                <w:color w:val="000000" w:themeColor="text1"/>
                <w:sz w:val="21"/>
                <w:szCs w:val="21"/>
                <w:highlight w:val="none"/>
                <w:u w:val="none" w:color="auto"/>
                <w:lang w:eastAsia="zh-CN"/>
                <w14:textFill>
                  <w14:solidFill>
                    <w14:schemeClr w14:val="tx1"/>
                  </w14:solidFill>
                </w14:textFill>
              </w:rPr>
              <w:t>4</w:t>
            </w:r>
            <w:r>
              <w:rPr>
                <w:rFonts w:hint="eastAsia" w:cs="Times New Roman"/>
                <w:b/>
                <w:color w:val="000000" w:themeColor="text1"/>
                <w:sz w:val="21"/>
                <w:szCs w:val="21"/>
                <w:highlight w:val="none"/>
                <w:u w:val="none" w:color="auto"/>
                <w:lang w:val="en-US" w:eastAsia="zh-CN"/>
                <w14:textFill>
                  <w14:solidFill>
                    <w14:schemeClr w14:val="tx1"/>
                  </w14:solidFill>
                </w14:textFill>
              </w:rPr>
              <w:t xml:space="preserve"> </w:t>
            </w:r>
            <w:r>
              <w:rPr>
                <w:rFonts w:hint="default" w:ascii="Times New Roman" w:hAnsi="Times New Roman" w:cs="Times New Roman"/>
                <w:b/>
                <w:color w:val="000000" w:themeColor="text1"/>
                <w:sz w:val="21"/>
                <w:szCs w:val="21"/>
                <w:highlight w:val="none"/>
                <w:u w:val="none" w:color="auto"/>
                <w14:textFill>
                  <w14:solidFill>
                    <w14:schemeClr w14:val="tx1"/>
                  </w14:solidFill>
                </w14:textFill>
              </w:rPr>
              <w:t xml:space="preserve"> </w:t>
            </w:r>
            <w:r>
              <w:rPr>
                <w:rFonts w:hint="eastAsia" w:cs="Times New Roman"/>
                <w:b/>
                <w:color w:val="000000" w:themeColor="text1"/>
                <w:sz w:val="21"/>
                <w:szCs w:val="21"/>
                <w:highlight w:val="none"/>
                <w:u w:val="none" w:color="auto"/>
                <w:lang w:val="en-US" w:eastAsia="zh-CN"/>
                <w14:textFill>
                  <w14:solidFill>
                    <w14:schemeClr w14:val="tx1"/>
                  </w14:solidFill>
                </w14:textFill>
              </w:rPr>
              <w:t>大气</w:t>
            </w:r>
            <w:r>
              <w:rPr>
                <w:rFonts w:hint="default" w:ascii="Times New Roman" w:hAnsi="Times New Roman" w:cs="Times New Roman"/>
                <w:b/>
                <w:color w:val="000000" w:themeColor="text1"/>
                <w:sz w:val="21"/>
                <w:szCs w:val="21"/>
                <w:highlight w:val="none"/>
                <w:u w:val="none" w:color="auto"/>
                <w14:textFill>
                  <w14:solidFill>
                    <w14:schemeClr w14:val="tx1"/>
                  </w14:solidFill>
                </w14:textFill>
              </w:rPr>
              <w:t>环境保护目标</w:t>
            </w:r>
          </w:p>
          <w:tbl>
            <w:tblPr>
              <w:tblStyle w:val="29"/>
              <w:tblW w:w="893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57"/>
              <w:gridCol w:w="1636"/>
              <w:gridCol w:w="1506"/>
              <w:gridCol w:w="674"/>
              <w:gridCol w:w="713"/>
              <w:gridCol w:w="867"/>
              <w:gridCol w:w="1136"/>
              <w:gridCol w:w="13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150" w:hRule="atLeast"/>
                <w:tblHeader/>
              </w:trPr>
              <w:tc>
                <w:tcPr>
                  <w:tcW w:w="1057" w:type="dxa"/>
                  <w:vMerge w:val="restart"/>
                  <w:vAlign w:val="center"/>
                </w:tcPr>
                <w:p>
                  <w:pPr>
                    <w:pStyle w:val="148"/>
                    <w:keepNext w:val="0"/>
                    <w:keepLines w:val="0"/>
                    <w:suppressLineNumbers w:val="0"/>
                    <w:spacing w:before="0" w:beforeAutospacing="0" w:after="0" w:afterAutospacing="0"/>
                    <w:ind w:right="0"/>
                    <w:rPr>
                      <w:rFonts w:hint="default"/>
                      <w:color w:val="000000" w:themeColor="text1"/>
                      <w:sz w:val="21"/>
                      <w:szCs w:val="20"/>
                      <w:highlight w:val="none"/>
                      <w:u w:val="none" w:color="auto"/>
                      <w14:textFill>
                        <w14:solidFill>
                          <w14:schemeClr w14:val="tx1"/>
                        </w14:solidFill>
                      </w14:textFill>
                    </w:rPr>
                  </w:pPr>
                  <w:r>
                    <w:rPr>
                      <w:rFonts w:hint="default"/>
                      <w:color w:val="000000" w:themeColor="text1"/>
                      <w:sz w:val="21"/>
                      <w:szCs w:val="20"/>
                      <w:highlight w:val="none"/>
                      <w:u w:val="none" w:color="auto"/>
                      <w14:textFill>
                        <w14:solidFill>
                          <w14:schemeClr w14:val="tx1"/>
                        </w14:solidFill>
                      </w14:textFill>
                    </w:rPr>
                    <w:t>名称</w:t>
                  </w:r>
                </w:p>
              </w:tc>
              <w:tc>
                <w:tcPr>
                  <w:tcW w:w="3142" w:type="dxa"/>
                  <w:gridSpan w:val="2"/>
                  <w:vAlign w:val="center"/>
                </w:tcPr>
                <w:p>
                  <w:pPr>
                    <w:pStyle w:val="148"/>
                    <w:keepNext w:val="0"/>
                    <w:keepLines w:val="0"/>
                    <w:suppressLineNumbers w:val="0"/>
                    <w:spacing w:before="0" w:beforeAutospacing="0" w:after="0" w:afterAutospacing="0"/>
                    <w:ind w:right="0"/>
                    <w:rPr>
                      <w:rFonts w:hint="default"/>
                      <w:color w:val="000000" w:themeColor="text1"/>
                      <w:sz w:val="21"/>
                      <w:szCs w:val="20"/>
                      <w:highlight w:val="none"/>
                      <w:u w:val="none" w:color="auto"/>
                      <w14:textFill>
                        <w14:solidFill>
                          <w14:schemeClr w14:val="tx1"/>
                        </w14:solidFill>
                      </w14:textFill>
                    </w:rPr>
                  </w:pPr>
                  <w:r>
                    <w:rPr>
                      <w:rFonts w:hint="default"/>
                      <w:color w:val="000000" w:themeColor="text1"/>
                      <w:sz w:val="21"/>
                      <w:szCs w:val="20"/>
                      <w:highlight w:val="none"/>
                      <w:u w:val="none" w:color="auto"/>
                      <w14:textFill>
                        <w14:solidFill>
                          <w14:schemeClr w14:val="tx1"/>
                        </w14:solidFill>
                      </w14:textFill>
                    </w:rPr>
                    <w:t>坐标</w:t>
                  </w:r>
                </w:p>
              </w:tc>
              <w:tc>
                <w:tcPr>
                  <w:tcW w:w="674" w:type="dxa"/>
                  <w:vMerge w:val="restart"/>
                  <w:vAlign w:val="center"/>
                </w:tcPr>
                <w:p>
                  <w:pPr>
                    <w:pStyle w:val="148"/>
                    <w:keepNext w:val="0"/>
                    <w:keepLines w:val="0"/>
                    <w:suppressLineNumbers w:val="0"/>
                    <w:spacing w:before="0" w:beforeAutospacing="0" w:after="0" w:afterAutospacing="0"/>
                    <w:ind w:right="0"/>
                    <w:rPr>
                      <w:rFonts w:hint="default"/>
                      <w:color w:val="000000" w:themeColor="text1"/>
                      <w:sz w:val="21"/>
                      <w:szCs w:val="20"/>
                      <w:highlight w:val="none"/>
                      <w:u w:val="none" w:color="auto"/>
                      <w14:textFill>
                        <w14:solidFill>
                          <w14:schemeClr w14:val="tx1"/>
                        </w14:solidFill>
                      </w14:textFill>
                    </w:rPr>
                  </w:pPr>
                  <w:r>
                    <w:rPr>
                      <w:rFonts w:hint="default"/>
                      <w:color w:val="000000" w:themeColor="text1"/>
                      <w:sz w:val="21"/>
                      <w:szCs w:val="20"/>
                      <w:highlight w:val="none"/>
                      <w:u w:val="none" w:color="auto"/>
                      <w14:textFill>
                        <w14:solidFill>
                          <w14:schemeClr w14:val="tx1"/>
                        </w14:solidFill>
                      </w14:textFill>
                    </w:rPr>
                    <w:t>保护对象</w:t>
                  </w:r>
                </w:p>
              </w:tc>
              <w:tc>
                <w:tcPr>
                  <w:tcW w:w="713" w:type="dxa"/>
                  <w:vMerge w:val="restart"/>
                  <w:vAlign w:val="center"/>
                </w:tcPr>
                <w:p>
                  <w:pPr>
                    <w:pStyle w:val="148"/>
                    <w:keepNext w:val="0"/>
                    <w:keepLines w:val="0"/>
                    <w:suppressLineNumbers w:val="0"/>
                    <w:spacing w:before="0" w:beforeAutospacing="0" w:after="0" w:afterAutospacing="0"/>
                    <w:ind w:right="0"/>
                    <w:rPr>
                      <w:rFonts w:hint="default"/>
                      <w:color w:val="000000" w:themeColor="text1"/>
                      <w:sz w:val="21"/>
                      <w:szCs w:val="20"/>
                      <w:highlight w:val="none"/>
                      <w:u w:val="none" w:color="auto"/>
                      <w14:textFill>
                        <w14:solidFill>
                          <w14:schemeClr w14:val="tx1"/>
                        </w14:solidFill>
                      </w14:textFill>
                    </w:rPr>
                  </w:pPr>
                  <w:r>
                    <w:rPr>
                      <w:rFonts w:hint="default"/>
                      <w:color w:val="000000" w:themeColor="text1"/>
                      <w:sz w:val="21"/>
                      <w:szCs w:val="20"/>
                      <w:highlight w:val="none"/>
                      <w:u w:val="none" w:color="auto"/>
                      <w14:textFill>
                        <w14:solidFill>
                          <w14:schemeClr w14:val="tx1"/>
                        </w14:solidFill>
                      </w14:textFill>
                    </w:rPr>
                    <w:t>保护内容</w:t>
                  </w:r>
                </w:p>
              </w:tc>
              <w:tc>
                <w:tcPr>
                  <w:tcW w:w="867" w:type="dxa"/>
                  <w:vMerge w:val="restart"/>
                  <w:vAlign w:val="center"/>
                </w:tcPr>
                <w:p>
                  <w:pPr>
                    <w:pStyle w:val="148"/>
                    <w:keepNext w:val="0"/>
                    <w:keepLines w:val="0"/>
                    <w:suppressLineNumbers w:val="0"/>
                    <w:spacing w:before="0" w:beforeAutospacing="0" w:after="0" w:afterAutospacing="0"/>
                    <w:ind w:right="0"/>
                    <w:rPr>
                      <w:rFonts w:hint="default"/>
                      <w:color w:val="000000" w:themeColor="text1"/>
                      <w:sz w:val="21"/>
                      <w:szCs w:val="20"/>
                      <w:highlight w:val="none"/>
                      <w:u w:val="none" w:color="auto"/>
                      <w14:textFill>
                        <w14:solidFill>
                          <w14:schemeClr w14:val="tx1"/>
                        </w14:solidFill>
                      </w14:textFill>
                    </w:rPr>
                  </w:pPr>
                  <w:r>
                    <w:rPr>
                      <w:rFonts w:hint="default"/>
                      <w:color w:val="000000" w:themeColor="text1"/>
                      <w:sz w:val="21"/>
                      <w:szCs w:val="20"/>
                      <w:highlight w:val="none"/>
                      <w:u w:val="none" w:color="auto"/>
                      <w14:textFill>
                        <w14:solidFill>
                          <w14:schemeClr w14:val="tx1"/>
                        </w14:solidFill>
                      </w14:textFill>
                    </w:rPr>
                    <w:t>环境功能区</w:t>
                  </w:r>
                </w:p>
              </w:tc>
              <w:tc>
                <w:tcPr>
                  <w:tcW w:w="1136" w:type="dxa"/>
                  <w:vMerge w:val="restart"/>
                  <w:vAlign w:val="center"/>
                </w:tcPr>
                <w:p>
                  <w:pPr>
                    <w:pStyle w:val="148"/>
                    <w:keepNext w:val="0"/>
                    <w:keepLines w:val="0"/>
                    <w:suppressLineNumbers w:val="0"/>
                    <w:spacing w:before="0" w:beforeAutospacing="0" w:after="0" w:afterAutospacing="0"/>
                    <w:ind w:right="0"/>
                    <w:rPr>
                      <w:rFonts w:hint="default"/>
                      <w:color w:val="000000" w:themeColor="text1"/>
                      <w:sz w:val="21"/>
                      <w:szCs w:val="20"/>
                      <w:highlight w:val="none"/>
                      <w:u w:val="none" w:color="auto"/>
                      <w14:textFill>
                        <w14:solidFill>
                          <w14:schemeClr w14:val="tx1"/>
                        </w14:solidFill>
                      </w14:textFill>
                    </w:rPr>
                  </w:pPr>
                  <w:r>
                    <w:rPr>
                      <w:rFonts w:hint="default"/>
                      <w:color w:val="000000" w:themeColor="text1"/>
                      <w:sz w:val="21"/>
                      <w:szCs w:val="20"/>
                      <w:highlight w:val="none"/>
                      <w:u w:val="none" w:color="auto"/>
                      <w14:textFill>
                        <w14:solidFill>
                          <w14:schemeClr w14:val="tx1"/>
                        </w14:solidFill>
                      </w14:textFill>
                    </w:rPr>
                    <w:t>相对厂址方位</w:t>
                  </w:r>
                </w:p>
              </w:tc>
              <w:tc>
                <w:tcPr>
                  <w:tcW w:w="1348" w:type="dxa"/>
                  <w:vMerge w:val="restart"/>
                  <w:vAlign w:val="center"/>
                </w:tcPr>
                <w:p>
                  <w:pPr>
                    <w:pStyle w:val="148"/>
                    <w:keepNext w:val="0"/>
                    <w:keepLines w:val="0"/>
                    <w:suppressLineNumbers w:val="0"/>
                    <w:spacing w:before="0" w:beforeAutospacing="0" w:after="0" w:afterAutospacing="0"/>
                    <w:ind w:right="0"/>
                    <w:rPr>
                      <w:rFonts w:hint="default"/>
                      <w:color w:val="000000" w:themeColor="text1"/>
                      <w:sz w:val="21"/>
                      <w:szCs w:val="20"/>
                      <w:highlight w:val="none"/>
                      <w:u w:val="none" w:color="auto"/>
                      <w14:textFill>
                        <w14:solidFill>
                          <w14:schemeClr w14:val="tx1"/>
                        </w14:solidFill>
                      </w14:textFill>
                    </w:rPr>
                  </w:pPr>
                  <w:r>
                    <w:rPr>
                      <w:rFonts w:hint="default"/>
                      <w:color w:val="000000" w:themeColor="text1"/>
                      <w:sz w:val="21"/>
                      <w:szCs w:val="20"/>
                      <w:highlight w:val="none"/>
                      <w:u w:val="none" w:color="auto"/>
                      <w14:textFill>
                        <w14:solidFill>
                          <w14:schemeClr w14:val="tx1"/>
                        </w14:solidFill>
                      </w14:textFill>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150" w:hRule="atLeast"/>
                <w:tblHeader/>
              </w:trPr>
              <w:tc>
                <w:tcPr>
                  <w:tcW w:w="1057" w:type="dxa"/>
                  <w:vMerge w:val="continue"/>
                  <w:vAlign w:val="center"/>
                </w:tcPr>
                <w:p>
                  <w:pPr>
                    <w:pStyle w:val="148"/>
                    <w:keepNext w:val="0"/>
                    <w:keepLines w:val="0"/>
                    <w:suppressLineNumbers w:val="0"/>
                    <w:spacing w:before="0" w:beforeAutospacing="0" w:after="0" w:afterAutospacing="0"/>
                    <w:ind w:right="0"/>
                    <w:rPr>
                      <w:rFonts w:hint="default"/>
                      <w:color w:val="000000" w:themeColor="text1"/>
                      <w:sz w:val="21"/>
                      <w:szCs w:val="20"/>
                      <w:highlight w:val="none"/>
                      <w:u w:val="none" w:color="auto"/>
                      <w14:textFill>
                        <w14:solidFill>
                          <w14:schemeClr w14:val="tx1"/>
                        </w14:solidFill>
                      </w14:textFill>
                    </w:rPr>
                  </w:pPr>
                </w:p>
              </w:tc>
              <w:tc>
                <w:tcPr>
                  <w:tcW w:w="1636" w:type="dxa"/>
                  <w:vAlign w:val="center"/>
                </w:tcPr>
                <w:p>
                  <w:pPr>
                    <w:pStyle w:val="148"/>
                    <w:keepNext w:val="0"/>
                    <w:keepLines w:val="0"/>
                    <w:suppressLineNumbers w:val="0"/>
                    <w:spacing w:before="0" w:beforeAutospacing="0" w:after="0" w:afterAutospacing="0"/>
                    <w:ind w:right="0"/>
                    <w:rPr>
                      <w:rFonts w:hint="default"/>
                      <w:color w:val="000000" w:themeColor="text1"/>
                      <w:sz w:val="21"/>
                      <w:szCs w:val="20"/>
                      <w:highlight w:val="none"/>
                      <w:u w:val="none" w:color="auto"/>
                      <w14:textFill>
                        <w14:solidFill>
                          <w14:schemeClr w14:val="tx1"/>
                        </w14:solidFill>
                      </w14:textFill>
                    </w:rPr>
                  </w:pPr>
                  <w:r>
                    <w:rPr>
                      <w:rFonts w:hint="default"/>
                      <w:color w:val="000000" w:themeColor="text1"/>
                      <w:sz w:val="21"/>
                      <w:szCs w:val="20"/>
                      <w:highlight w:val="none"/>
                      <w:u w:val="none" w:color="auto"/>
                      <w14:textFill>
                        <w14:solidFill>
                          <w14:schemeClr w14:val="tx1"/>
                        </w14:solidFill>
                      </w14:textFill>
                    </w:rPr>
                    <w:t>东经（°）</w:t>
                  </w:r>
                </w:p>
              </w:tc>
              <w:tc>
                <w:tcPr>
                  <w:tcW w:w="1506" w:type="dxa"/>
                  <w:vAlign w:val="center"/>
                </w:tcPr>
                <w:p>
                  <w:pPr>
                    <w:pStyle w:val="148"/>
                    <w:keepNext w:val="0"/>
                    <w:keepLines w:val="0"/>
                    <w:suppressLineNumbers w:val="0"/>
                    <w:spacing w:before="0" w:beforeAutospacing="0" w:after="0" w:afterAutospacing="0"/>
                    <w:ind w:right="0"/>
                    <w:rPr>
                      <w:rFonts w:hint="default"/>
                      <w:color w:val="000000" w:themeColor="text1"/>
                      <w:sz w:val="21"/>
                      <w:szCs w:val="20"/>
                      <w:highlight w:val="none"/>
                      <w:u w:val="none" w:color="auto"/>
                      <w14:textFill>
                        <w14:solidFill>
                          <w14:schemeClr w14:val="tx1"/>
                        </w14:solidFill>
                      </w14:textFill>
                    </w:rPr>
                  </w:pPr>
                  <w:r>
                    <w:rPr>
                      <w:rFonts w:hint="default"/>
                      <w:color w:val="000000" w:themeColor="text1"/>
                      <w:sz w:val="21"/>
                      <w:szCs w:val="20"/>
                      <w:highlight w:val="none"/>
                      <w:u w:val="none" w:color="auto"/>
                      <w14:textFill>
                        <w14:solidFill>
                          <w14:schemeClr w14:val="tx1"/>
                        </w14:solidFill>
                      </w14:textFill>
                    </w:rPr>
                    <w:t>北纬（°）</w:t>
                  </w:r>
                </w:p>
              </w:tc>
              <w:tc>
                <w:tcPr>
                  <w:tcW w:w="674" w:type="dxa"/>
                  <w:vMerge w:val="continue"/>
                  <w:vAlign w:val="center"/>
                </w:tcPr>
                <w:p>
                  <w:pPr>
                    <w:pStyle w:val="148"/>
                    <w:keepNext w:val="0"/>
                    <w:keepLines w:val="0"/>
                    <w:suppressLineNumbers w:val="0"/>
                    <w:spacing w:before="0" w:beforeAutospacing="0" w:after="0" w:afterAutospacing="0"/>
                    <w:ind w:right="0"/>
                    <w:rPr>
                      <w:rFonts w:hint="default"/>
                      <w:color w:val="000000" w:themeColor="text1"/>
                      <w:sz w:val="21"/>
                      <w:szCs w:val="20"/>
                      <w:highlight w:val="none"/>
                      <w:u w:val="none" w:color="auto"/>
                      <w14:textFill>
                        <w14:solidFill>
                          <w14:schemeClr w14:val="tx1"/>
                        </w14:solidFill>
                      </w14:textFill>
                    </w:rPr>
                  </w:pPr>
                </w:p>
              </w:tc>
              <w:tc>
                <w:tcPr>
                  <w:tcW w:w="713" w:type="dxa"/>
                  <w:vMerge w:val="continue"/>
                  <w:vAlign w:val="center"/>
                </w:tcPr>
                <w:p>
                  <w:pPr>
                    <w:pStyle w:val="148"/>
                    <w:keepNext w:val="0"/>
                    <w:keepLines w:val="0"/>
                    <w:suppressLineNumbers w:val="0"/>
                    <w:spacing w:before="0" w:beforeAutospacing="0" w:after="0" w:afterAutospacing="0"/>
                    <w:ind w:right="0"/>
                    <w:rPr>
                      <w:rFonts w:hint="default"/>
                      <w:color w:val="000000" w:themeColor="text1"/>
                      <w:sz w:val="21"/>
                      <w:szCs w:val="20"/>
                      <w:highlight w:val="none"/>
                      <w:u w:val="none" w:color="auto"/>
                      <w14:textFill>
                        <w14:solidFill>
                          <w14:schemeClr w14:val="tx1"/>
                        </w14:solidFill>
                      </w14:textFill>
                    </w:rPr>
                  </w:pPr>
                </w:p>
              </w:tc>
              <w:tc>
                <w:tcPr>
                  <w:tcW w:w="867" w:type="dxa"/>
                  <w:vMerge w:val="continue"/>
                  <w:vAlign w:val="center"/>
                </w:tcPr>
                <w:p>
                  <w:pPr>
                    <w:pStyle w:val="148"/>
                    <w:keepNext w:val="0"/>
                    <w:keepLines w:val="0"/>
                    <w:suppressLineNumbers w:val="0"/>
                    <w:spacing w:before="0" w:beforeAutospacing="0" w:after="0" w:afterAutospacing="0"/>
                    <w:ind w:right="0"/>
                    <w:rPr>
                      <w:rFonts w:hint="default"/>
                      <w:color w:val="000000" w:themeColor="text1"/>
                      <w:sz w:val="21"/>
                      <w:szCs w:val="20"/>
                      <w:highlight w:val="none"/>
                      <w:u w:val="none" w:color="auto"/>
                      <w14:textFill>
                        <w14:solidFill>
                          <w14:schemeClr w14:val="tx1"/>
                        </w14:solidFill>
                      </w14:textFill>
                    </w:rPr>
                  </w:pPr>
                </w:p>
              </w:tc>
              <w:tc>
                <w:tcPr>
                  <w:tcW w:w="1136" w:type="dxa"/>
                  <w:vMerge w:val="continue"/>
                  <w:vAlign w:val="center"/>
                </w:tcPr>
                <w:p>
                  <w:pPr>
                    <w:pStyle w:val="148"/>
                    <w:keepNext w:val="0"/>
                    <w:keepLines w:val="0"/>
                    <w:suppressLineNumbers w:val="0"/>
                    <w:spacing w:before="0" w:beforeAutospacing="0" w:after="0" w:afterAutospacing="0"/>
                    <w:ind w:right="0"/>
                    <w:rPr>
                      <w:rFonts w:hint="default"/>
                      <w:color w:val="000000" w:themeColor="text1"/>
                      <w:sz w:val="21"/>
                      <w:szCs w:val="20"/>
                      <w:highlight w:val="none"/>
                      <w:u w:val="none" w:color="auto"/>
                      <w14:textFill>
                        <w14:solidFill>
                          <w14:schemeClr w14:val="tx1"/>
                        </w14:solidFill>
                      </w14:textFill>
                    </w:rPr>
                  </w:pPr>
                </w:p>
              </w:tc>
              <w:tc>
                <w:tcPr>
                  <w:tcW w:w="1348" w:type="dxa"/>
                  <w:vMerge w:val="continue"/>
                  <w:vAlign w:val="center"/>
                </w:tcPr>
                <w:p>
                  <w:pPr>
                    <w:pStyle w:val="148"/>
                    <w:keepNext w:val="0"/>
                    <w:keepLines w:val="0"/>
                    <w:suppressLineNumbers w:val="0"/>
                    <w:spacing w:before="0" w:beforeAutospacing="0" w:after="0" w:afterAutospacing="0"/>
                    <w:ind w:right="0"/>
                    <w:rPr>
                      <w:rFonts w:hint="default"/>
                      <w:color w:val="000000" w:themeColor="text1"/>
                      <w:sz w:val="21"/>
                      <w:szCs w:val="20"/>
                      <w:highlight w:val="none"/>
                      <w:u w:val="none" w:color="auto"/>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68" w:hRule="atLeast"/>
                <w:tblHeader/>
              </w:trPr>
              <w:tc>
                <w:tcPr>
                  <w:tcW w:w="1057" w:type="dxa"/>
                  <w:vAlign w:val="center"/>
                </w:tcPr>
                <w:p>
                  <w:pPr>
                    <w:pStyle w:val="148"/>
                    <w:keepNext w:val="0"/>
                    <w:keepLines w:val="0"/>
                    <w:suppressLineNumbers w:val="0"/>
                    <w:spacing w:before="0" w:beforeAutospacing="0" w:after="0" w:afterAutospacing="0"/>
                    <w:ind w:right="0"/>
                    <w:rPr>
                      <w:rFonts w:hint="eastAsia" w:eastAsia="宋体"/>
                      <w:color w:val="000000" w:themeColor="text1"/>
                      <w:sz w:val="21"/>
                      <w:szCs w:val="20"/>
                      <w:highlight w:val="none"/>
                      <w:u w:val="none" w:color="auto"/>
                      <w:lang w:val="en-US" w:eastAsia="zh-CN"/>
                      <w14:textFill>
                        <w14:solidFill>
                          <w14:schemeClr w14:val="tx1"/>
                        </w14:solidFill>
                      </w14:textFill>
                    </w:rPr>
                  </w:pPr>
                  <w:r>
                    <w:rPr>
                      <w:rFonts w:hint="eastAsia"/>
                      <w:color w:val="000000" w:themeColor="text1"/>
                      <w:sz w:val="21"/>
                      <w:szCs w:val="20"/>
                      <w:highlight w:val="none"/>
                      <w:u w:val="none" w:color="auto"/>
                      <w:lang w:val="en-US" w:eastAsia="zh-CN"/>
                      <w14:textFill>
                        <w14:solidFill>
                          <w14:schemeClr w14:val="tx1"/>
                        </w14:solidFill>
                      </w14:textFill>
                    </w:rPr>
                    <w:t>前岗村</w:t>
                  </w:r>
                </w:p>
              </w:tc>
              <w:tc>
                <w:tcPr>
                  <w:tcW w:w="1636" w:type="dxa"/>
                  <w:vAlign w:val="center"/>
                </w:tcPr>
                <w:p>
                  <w:pPr>
                    <w:pStyle w:val="148"/>
                    <w:keepNext w:val="0"/>
                    <w:keepLines w:val="0"/>
                    <w:suppressLineNumbers w:val="0"/>
                    <w:spacing w:before="0" w:beforeAutospacing="0" w:after="0" w:afterAutospacing="0"/>
                    <w:ind w:right="0"/>
                    <w:rPr>
                      <w:rFonts w:hint="default"/>
                      <w:color w:val="000000" w:themeColor="text1"/>
                      <w:sz w:val="21"/>
                      <w:szCs w:val="20"/>
                      <w:highlight w:val="none"/>
                      <w:u w:val="none" w:color="auto"/>
                      <w14:textFill>
                        <w14:solidFill>
                          <w14:schemeClr w14:val="tx1"/>
                        </w14:solidFill>
                      </w14:textFill>
                    </w:rPr>
                  </w:pPr>
                  <w:r>
                    <w:rPr>
                      <w:rFonts w:hint="eastAsia"/>
                      <w:sz w:val="21"/>
                      <w:szCs w:val="20"/>
                    </w:rPr>
                    <w:t>130.44823766</w:t>
                  </w:r>
                </w:p>
              </w:tc>
              <w:tc>
                <w:tcPr>
                  <w:tcW w:w="1506" w:type="dxa"/>
                  <w:vAlign w:val="center"/>
                </w:tcPr>
                <w:p>
                  <w:pPr>
                    <w:pStyle w:val="148"/>
                    <w:keepNext w:val="0"/>
                    <w:keepLines w:val="0"/>
                    <w:suppressLineNumbers w:val="0"/>
                    <w:spacing w:before="0" w:beforeAutospacing="0" w:after="0" w:afterAutospacing="0"/>
                    <w:ind w:right="0"/>
                    <w:rPr>
                      <w:rFonts w:hint="default"/>
                      <w:color w:val="000000" w:themeColor="text1"/>
                      <w:sz w:val="21"/>
                      <w:szCs w:val="20"/>
                      <w:highlight w:val="none"/>
                      <w:u w:val="none" w:color="auto"/>
                      <w14:textFill>
                        <w14:solidFill>
                          <w14:schemeClr w14:val="tx1"/>
                        </w14:solidFill>
                      </w14:textFill>
                    </w:rPr>
                  </w:pPr>
                  <w:r>
                    <w:rPr>
                      <w:rFonts w:hint="eastAsia"/>
                      <w:sz w:val="21"/>
                      <w:szCs w:val="20"/>
                    </w:rPr>
                    <w:t>48.63855938</w:t>
                  </w:r>
                </w:p>
              </w:tc>
              <w:tc>
                <w:tcPr>
                  <w:tcW w:w="674" w:type="dxa"/>
                  <w:vAlign w:val="center"/>
                </w:tcPr>
                <w:p>
                  <w:pPr>
                    <w:pStyle w:val="148"/>
                    <w:keepNext w:val="0"/>
                    <w:keepLines w:val="0"/>
                    <w:suppressLineNumbers w:val="0"/>
                    <w:spacing w:before="0" w:beforeAutospacing="0" w:after="0" w:afterAutospacing="0"/>
                    <w:ind w:left="0" w:leftChars="0" w:right="0" w:firstLine="0" w:firstLineChars="0"/>
                    <w:rPr>
                      <w:rFonts w:hint="default"/>
                      <w:color w:val="000000" w:themeColor="text1"/>
                      <w:sz w:val="21"/>
                      <w:szCs w:val="20"/>
                      <w:highlight w:val="none"/>
                      <w:u w:val="none" w:color="auto"/>
                      <w14:textFill>
                        <w14:solidFill>
                          <w14:schemeClr w14:val="tx1"/>
                        </w14:solidFill>
                      </w14:textFill>
                    </w:rPr>
                  </w:pPr>
                  <w:r>
                    <w:rPr>
                      <w:rFonts w:hint="default"/>
                      <w:color w:val="000000" w:themeColor="text1"/>
                      <w:sz w:val="21"/>
                      <w:szCs w:val="20"/>
                      <w:highlight w:val="none"/>
                      <w:u w:val="none" w:color="auto"/>
                      <w14:textFill>
                        <w14:solidFill>
                          <w14:schemeClr w14:val="tx1"/>
                        </w14:solidFill>
                      </w14:textFill>
                    </w:rPr>
                    <w:t>居住区</w:t>
                  </w:r>
                </w:p>
              </w:tc>
              <w:tc>
                <w:tcPr>
                  <w:tcW w:w="713" w:type="dxa"/>
                  <w:vAlign w:val="center"/>
                </w:tcPr>
                <w:p>
                  <w:pPr>
                    <w:pStyle w:val="148"/>
                    <w:keepNext w:val="0"/>
                    <w:keepLines w:val="0"/>
                    <w:suppressLineNumbers w:val="0"/>
                    <w:spacing w:before="0" w:beforeAutospacing="0" w:after="0" w:afterAutospacing="0"/>
                    <w:ind w:right="0"/>
                    <w:rPr>
                      <w:rFonts w:hint="default"/>
                      <w:color w:val="000000" w:themeColor="text1"/>
                      <w:sz w:val="21"/>
                      <w:szCs w:val="20"/>
                      <w:highlight w:val="none"/>
                      <w:u w:val="none" w:color="auto"/>
                      <w14:textFill>
                        <w14:solidFill>
                          <w14:schemeClr w14:val="tx1"/>
                        </w14:solidFill>
                      </w14:textFill>
                    </w:rPr>
                  </w:pPr>
                  <w:r>
                    <w:rPr>
                      <w:rFonts w:hint="default"/>
                      <w:color w:val="000000" w:themeColor="text1"/>
                      <w:sz w:val="21"/>
                      <w:szCs w:val="20"/>
                      <w:highlight w:val="none"/>
                      <w:u w:val="none" w:color="auto"/>
                      <w14:textFill>
                        <w14:solidFill>
                          <w14:schemeClr w14:val="tx1"/>
                        </w14:solidFill>
                      </w14:textFill>
                    </w:rPr>
                    <w:t>人群</w:t>
                  </w:r>
                </w:p>
              </w:tc>
              <w:tc>
                <w:tcPr>
                  <w:tcW w:w="867" w:type="dxa"/>
                  <w:vAlign w:val="center"/>
                </w:tcPr>
                <w:p>
                  <w:pPr>
                    <w:pStyle w:val="148"/>
                    <w:keepNext w:val="0"/>
                    <w:keepLines w:val="0"/>
                    <w:suppressLineNumbers w:val="0"/>
                    <w:spacing w:before="0" w:beforeAutospacing="0" w:after="0" w:afterAutospacing="0"/>
                    <w:ind w:right="0"/>
                    <w:rPr>
                      <w:rFonts w:hint="default"/>
                      <w:color w:val="000000" w:themeColor="text1"/>
                      <w:sz w:val="21"/>
                      <w:szCs w:val="20"/>
                      <w:highlight w:val="none"/>
                      <w:u w:val="none" w:color="auto"/>
                      <w14:textFill>
                        <w14:solidFill>
                          <w14:schemeClr w14:val="tx1"/>
                        </w14:solidFill>
                      </w14:textFill>
                    </w:rPr>
                  </w:pPr>
                  <w:r>
                    <w:rPr>
                      <w:rFonts w:hint="default"/>
                      <w:color w:val="000000" w:themeColor="text1"/>
                      <w:sz w:val="21"/>
                      <w:szCs w:val="20"/>
                      <w:highlight w:val="none"/>
                      <w:u w:val="none" w:color="auto"/>
                      <w14:textFill>
                        <w14:solidFill>
                          <w14:schemeClr w14:val="tx1"/>
                        </w14:solidFill>
                      </w14:textFill>
                    </w:rPr>
                    <w:t>环境空气功能区二类区</w:t>
                  </w:r>
                </w:p>
              </w:tc>
              <w:tc>
                <w:tcPr>
                  <w:tcW w:w="1136" w:type="dxa"/>
                  <w:vAlign w:val="center"/>
                </w:tcPr>
                <w:p>
                  <w:pPr>
                    <w:pStyle w:val="148"/>
                    <w:keepNext w:val="0"/>
                    <w:keepLines w:val="0"/>
                    <w:suppressLineNumbers w:val="0"/>
                    <w:spacing w:before="0" w:beforeAutospacing="0" w:after="0" w:afterAutospacing="0"/>
                    <w:ind w:right="0"/>
                    <w:rPr>
                      <w:rFonts w:hint="eastAsia" w:eastAsia="宋体"/>
                      <w:color w:val="000000" w:themeColor="text1"/>
                      <w:sz w:val="21"/>
                      <w:szCs w:val="20"/>
                      <w:highlight w:val="none"/>
                      <w:u w:val="none" w:color="auto"/>
                      <w:lang w:eastAsia="zh-CN"/>
                      <w14:textFill>
                        <w14:solidFill>
                          <w14:schemeClr w14:val="tx1"/>
                        </w14:solidFill>
                      </w14:textFill>
                    </w:rPr>
                  </w:pPr>
                  <w:r>
                    <w:rPr>
                      <w:rFonts w:hint="eastAsia"/>
                      <w:color w:val="000000" w:themeColor="text1"/>
                      <w:sz w:val="21"/>
                      <w:szCs w:val="20"/>
                      <w:highlight w:val="none"/>
                      <w:u w:val="none" w:color="auto"/>
                      <w:lang w:val="en-US" w:eastAsia="zh-CN"/>
                      <w14:textFill>
                        <w14:solidFill>
                          <w14:schemeClr w14:val="tx1"/>
                        </w14:solidFill>
                      </w14:textFill>
                    </w:rPr>
                    <w:t>W</w:t>
                  </w:r>
                </w:p>
              </w:tc>
              <w:tc>
                <w:tcPr>
                  <w:tcW w:w="1348" w:type="dxa"/>
                  <w:vAlign w:val="center"/>
                </w:tcPr>
                <w:p>
                  <w:pPr>
                    <w:pStyle w:val="148"/>
                    <w:keepNext w:val="0"/>
                    <w:keepLines w:val="0"/>
                    <w:suppressLineNumbers w:val="0"/>
                    <w:spacing w:before="0" w:beforeAutospacing="0" w:after="0" w:afterAutospacing="0"/>
                    <w:ind w:right="0"/>
                    <w:rPr>
                      <w:rFonts w:hint="default" w:eastAsia="宋体"/>
                      <w:color w:val="000000" w:themeColor="text1"/>
                      <w:sz w:val="21"/>
                      <w:szCs w:val="20"/>
                      <w:highlight w:val="none"/>
                      <w:u w:val="none" w:color="auto"/>
                      <w:lang w:val="en-US" w:eastAsia="zh-CN"/>
                      <w14:textFill>
                        <w14:solidFill>
                          <w14:schemeClr w14:val="tx1"/>
                        </w14:solidFill>
                      </w14:textFill>
                    </w:rPr>
                  </w:pPr>
                  <w:r>
                    <w:rPr>
                      <w:rFonts w:hint="eastAsia"/>
                      <w:color w:val="000000" w:themeColor="text1"/>
                      <w:sz w:val="21"/>
                      <w:szCs w:val="20"/>
                      <w:highlight w:val="none"/>
                      <w:u w:val="none" w:color="auto"/>
                      <w:lang w:val="en-US" w:eastAsia="zh-CN"/>
                      <w14:textFill>
                        <w14:solidFill>
                          <w14:schemeClr w14:val="tx1"/>
                        </w14:solidFill>
                      </w14:textFill>
                    </w:rPr>
                    <w:t>2</w:t>
                  </w:r>
                </w:p>
              </w:tc>
            </w:tr>
          </w:tbl>
          <w:p>
            <w:pPr>
              <w:pStyle w:val="67"/>
              <w:keepNext w:val="0"/>
              <w:keepLines w:val="0"/>
              <w:suppressLineNumbers w:val="0"/>
              <w:spacing w:before="0" w:beforeAutospacing="0" w:after="0" w:afterAutospacing="0"/>
              <w:ind w:left="420" w:leftChars="200" w:right="0" w:firstLine="0" w:firstLineChars="0"/>
              <w:rPr>
                <w:rFonts w:hint="default" w:cs="Times New Roman"/>
                <w:color w:val="000000" w:themeColor="text1"/>
                <w:highlight w:val="none"/>
                <w:u w:val="none" w:color="auto"/>
                <w14:textFill>
                  <w14:solidFill>
                    <w14:schemeClr w14:val="tx1"/>
                  </w14:solidFill>
                </w14:textFill>
              </w:rPr>
            </w:pPr>
            <w:r>
              <w:rPr>
                <w:rFonts w:hint="default" w:cs="Times New Roman"/>
                <w:color w:val="000000" w:themeColor="text1"/>
                <w:highlight w:val="none"/>
                <w:u w:val="none" w:color="auto"/>
                <w14:textFill>
                  <w14:solidFill>
                    <w14:schemeClr w14:val="tx1"/>
                  </w14:solidFill>
                </w14:textFill>
              </w:rPr>
              <w:t>2、声环境保护目标</w:t>
            </w:r>
          </w:p>
          <w:p>
            <w:pPr>
              <w:pStyle w:val="67"/>
              <w:keepNext w:val="0"/>
              <w:keepLines w:val="0"/>
              <w:suppressLineNumbers w:val="0"/>
              <w:spacing w:before="0" w:beforeAutospacing="0" w:after="0" w:afterAutospacing="0"/>
              <w:ind w:left="0" w:right="0" w:firstLine="480"/>
              <w:rPr>
                <w:rFonts w:hint="default" w:cs="Times New Roman"/>
                <w:color w:val="000000" w:themeColor="text1"/>
                <w:highlight w:val="none"/>
                <w:u w:val="none" w:color="auto"/>
                <w14:textFill>
                  <w14:solidFill>
                    <w14:schemeClr w14:val="tx1"/>
                  </w14:solidFill>
                </w14:textFill>
              </w:rPr>
            </w:pPr>
            <w:r>
              <w:rPr>
                <w:rFonts w:hint="default" w:cs="Times New Roman"/>
                <w:color w:val="000000" w:themeColor="text1"/>
                <w:highlight w:val="none"/>
                <w:u w:val="none" w:color="auto"/>
                <w14:textFill>
                  <w14:solidFill>
                    <w14:schemeClr w14:val="tx1"/>
                  </w14:solidFill>
                </w14:textFill>
              </w:rPr>
              <w:t>根据《建设项目环境影响评价报告表编制技术指南》（污染影响类）及现状调查结果，本项目选址</w:t>
            </w:r>
            <w:r>
              <w:rPr>
                <w:rFonts w:hint="eastAsia" w:cs="Times New Roman"/>
                <w:color w:val="000000" w:themeColor="text1"/>
                <w:highlight w:val="none"/>
                <w:u w:val="none" w:color="auto"/>
                <w:lang w:val="en-US" w:eastAsia="zh-CN"/>
                <w14:textFill>
                  <w14:solidFill>
                    <w14:schemeClr w14:val="tx1"/>
                  </w14:solidFill>
                </w14:textFill>
              </w:rPr>
              <w:t>院</w:t>
            </w:r>
            <w:r>
              <w:rPr>
                <w:rFonts w:hint="default" w:cs="Times New Roman"/>
                <w:color w:val="000000" w:themeColor="text1"/>
                <w:highlight w:val="none"/>
                <w:u w:val="none" w:color="auto"/>
                <w14:textFill>
                  <w14:solidFill>
                    <w14:schemeClr w14:val="tx1"/>
                  </w14:solidFill>
                </w14:textFill>
              </w:rPr>
              <w:t>界外50m范围内主要声环境保护目标见下表。</w:t>
            </w:r>
          </w:p>
          <w:p>
            <w:pPr>
              <w:pStyle w:val="149"/>
              <w:keepLines w:val="0"/>
              <w:suppressLineNumbers w:val="0"/>
              <w:spacing w:before="0" w:beforeAutospacing="0" w:after="0" w:afterAutospacing="0"/>
              <w:ind w:right="0"/>
              <w:rPr>
                <w:rFonts w:hint="default"/>
                <w:color w:val="000000" w:themeColor="text1"/>
                <w:highlight w:val="none"/>
                <w:u w:val="none" w:color="auto"/>
                <w14:textFill>
                  <w14:solidFill>
                    <w14:schemeClr w14:val="tx1"/>
                  </w14:solidFill>
                </w14:textFill>
              </w:rPr>
            </w:pPr>
            <w:r>
              <w:rPr>
                <w:rFonts w:hint="default"/>
                <w:color w:val="000000" w:themeColor="text1"/>
                <w:highlight w:val="none"/>
                <w:u w:val="none" w:color="auto"/>
                <w14:textFill>
                  <w14:solidFill>
                    <w14:schemeClr w14:val="tx1"/>
                  </w14:solidFill>
                </w14:textFill>
              </w:rPr>
              <w:t>表3-</w:t>
            </w:r>
            <w:r>
              <w:rPr>
                <w:rFonts w:hint="eastAsia"/>
                <w:color w:val="000000" w:themeColor="text1"/>
                <w:highlight w:val="none"/>
                <w:u w:val="none" w:color="auto"/>
                <w:lang w:val="en-US" w:eastAsia="zh-CN"/>
                <w14:textFill>
                  <w14:solidFill>
                    <w14:schemeClr w14:val="tx1"/>
                  </w14:solidFill>
                </w14:textFill>
              </w:rPr>
              <w:t>4</w:t>
            </w:r>
            <w:r>
              <w:rPr>
                <w:rFonts w:hint="default"/>
                <w:color w:val="000000" w:themeColor="text1"/>
                <w:highlight w:val="none"/>
                <w:u w:val="none" w:color="auto"/>
                <w14:textFill>
                  <w14:solidFill>
                    <w14:schemeClr w14:val="tx1"/>
                  </w14:solidFill>
                </w14:textFill>
              </w:rPr>
              <w:t xml:space="preserve"> 环境保护目标（声环境）</w:t>
            </w:r>
          </w:p>
          <w:tbl>
            <w:tblPr>
              <w:tblStyle w:val="30"/>
              <w:tblW w:w="893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7"/>
              <w:gridCol w:w="1352"/>
              <w:gridCol w:w="646"/>
              <w:gridCol w:w="799"/>
              <w:gridCol w:w="1266"/>
              <w:gridCol w:w="1305"/>
              <w:gridCol w:w="798"/>
              <w:gridCol w:w="1035"/>
              <w:gridCol w:w="11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47" w:type="dxa"/>
                  <w:vMerge w:val="restart"/>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r>
                    <w:rPr>
                      <w:rFonts w:hint="default"/>
                      <w:color w:val="000000" w:themeColor="text1"/>
                      <w:sz w:val="21"/>
                      <w:szCs w:val="21"/>
                      <w:highlight w:val="none"/>
                      <w:u w:val="none" w:color="auto"/>
                      <w14:textFill>
                        <w14:solidFill>
                          <w14:schemeClr w14:val="tx1"/>
                        </w14:solidFill>
                      </w14:textFill>
                    </w:rPr>
                    <w:t>序号</w:t>
                  </w:r>
                </w:p>
              </w:tc>
              <w:tc>
                <w:tcPr>
                  <w:tcW w:w="1352" w:type="dxa"/>
                  <w:vMerge w:val="restart"/>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r>
                    <w:rPr>
                      <w:rFonts w:hint="default"/>
                      <w:color w:val="000000" w:themeColor="text1"/>
                      <w:sz w:val="21"/>
                      <w:szCs w:val="21"/>
                      <w:highlight w:val="none"/>
                      <w:u w:val="none" w:color="auto"/>
                      <w14:textFill>
                        <w14:solidFill>
                          <w14:schemeClr w14:val="tx1"/>
                        </w14:solidFill>
                      </w14:textFill>
                    </w:rPr>
                    <w:t>声环境保护目标名称</w:t>
                  </w:r>
                </w:p>
              </w:tc>
              <w:tc>
                <w:tcPr>
                  <w:tcW w:w="2711" w:type="dxa"/>
                  <w:gridSpan w:val="3"/>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r>
                    <w:rPr>
                      <w:rFonts w:hint="default"/>
                      <w:color w:val="000000" w:themeColor="text1"/>
                      <w:sz w:val="21"/>
                      <w:szCs w:val="21"/>
                      <w:highlight w:val="none"/>
                      <w:u w:val="none" w:color="auto"/>
                      <w14:textFill>
                        <w14:solidFill>
                          <w14:schemeClr w14:val="tx1"/>
                        </w14:solidFill>
                      </w14:textFill>
                    </w:rPr>
                    <w:t>空间相对位置/m</w:t>
                  </w:r>
                </w:p>
              </w:tc>
              <w:tc>
                <w:tcPr>
                  <w:tcW w:w="1305" w:type="dxa"/>
                  <w:vMerge w:val="restart"/>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r>
                    <w:rPr>
                      <w:rFonts w:hint="default"/>
                      <w:color w:val="000000" w:themeColor="text1"/>
                      <w:sz w:val="21"/>
                      <w:szCs w:val="21"/>
                      <w:highlight w:val="none"/>
                      <w:u w:val="none" w:color="auto"/>
                      <w14:textFill>
                        <w14:solidFill>
                          <w14:schemeClr w14:val="tx1"/>
                        </w14:solidFill>
                      </w14:textFill>
                    </w:rPr>
                    <w:t>距厂界最近距离/m</w:t>
                  </w:r>
                </w:p>
              </w:tc>
              <w:tc>
                <w:tcPr>
                  <w:tcW w:w="798" w:type="dxa"/>
                  <w:vMerge w:val="restart"/>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r>
                    <w:rPr>
                      <w:rFonts w:hint="default"/>
                      <w:color w:val="000000" w:themeColor="text1"/>
                      <w:sz w:val="21"/>
                      <w:szCs w:val="21"/>
                      <w:highlight w:val="none"/>
                      <w:u w:val="none" w:color="auto"/>
                      <w14:textFill>
                        <w14:solidFill>
                          <w14:schemeClr w14:val="tx1"/>
                        </w14:solidFill>
                      </w14:textFill>
                    </w:rPr>
                    <w:t>方位</w:t>
                  </w:r>
                </w:p>
              </w:tc>
              <w:tc>
                <w:tcPr>
                  <w:tcW w:w="1035" w:type="dxa"/>
                  <w:vMerge w:val="restart"/>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r>
                    <w:rPr>
                      <w:rFonts w:hint="default"/>
                      <w:color w:val="000000" w:themeColor="text1"/>
                      <w:sz w:val="21"/>
                      <w:szCs w:val="21"/>
                      <w:highlight w:val="none"/>
                      <w:u w:val="none" w:color="auto"/>
                      <w14:textFill>
                        <w14:solidFill>
                          <w14:schemeClr w14:val="tx1"/>
                        </w14:solidFill>
                      </w14:textFill>
                    </w:rPr>
                    <w:t>执行标准/功能区类别</w:t>
                  </w:r>
                </w:p>
              </w:tc>
              <w:tc>
                <w:tcPr>
                  <w:tcW w:w="1188" w:type="dxa"/>
                  <w:vMerge w:val="restart"/>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r>
                    <w:rPr>
                      <w:rFonts w:hint="default"/>
                      <w:color w:val="000000" w:themeColor="text1"/>
                      <w:sz w:val="21"/>
                      <w:szCs w:val="21"/>
                      <w:highlight w:val="none"/>
                      <w:u w:val="none" w:color="auto"/>
                      <w14:textFill>
                        <w14:solidFill>
                          <w14:schemeClr w14:val="tx1"/>
                        </w14:solidFill>
                      </w14:textFill>
                    </w:rPr>
                    <w:t>声环境保护目标情况说明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47" w:type="dxa"/>
                  <w:vMerge w:val="continue"/>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p>
              </w:tc>
              <w:tc>
                <w:tcPr>
                  <w:tcW w:w="1352" w:type="dxa"/>
                  <w:vMerge w:val="continue"/>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p>
              </w:tc>
              <w:tc>
                <w:tcPr>
                  <w:tcW w:w="646" w:type="dxa"/>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r>
                    <w:rPr>
                      <w:rFonts w:hint="default"/>
                      <w:color w:val="000000" w:themeColor="text1"/>
                      <w:sz w:val="21"/>
                      <w:szCs w:val="21"/>
                      <w:highlight w:val="none"/>
                      <w:u w:val="none" w:color="auto"/>
                      <w14:textFill>
                        <w14:solidFill>
                          <w14:schemeClr w14:val="tx1"/>
                        </w14:solidFill>
                      </w14:textFill>
                    </w:rPr>
                    <w:t>X</w:t>
                  </w:r>
                </w:p>
              </w:tc>
              <w:tc>
                <w:tcPr>
                  <w:tcW w:w="799" w:type="dxa"/>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r>
                    <w:rPr>
                      <w:rFonts w:hint="default"/>
                      <w:color w:val="000000" w:themeColor="text1"/>
                      <w:sz w:val="21"/>
                      <w:szCs w:val="21"/>
                      <w:highlight w:val="none"/>
                      <w:u w:val="none" w:color="auto"/>
                      <w14:textFill>
                        <w14:solidFill>
                          <w14:schemeClr w14:val="tx1"/>
                        </w14:solidFill>
                      </w14:textFill>
                    </w:rPr>
                    <w:t>Y</w:t>
                  </w:r>
                </w:p>
              </w:tc>
              <w:tc>
                <w:tcPr>
                  <w:tcW w:w="1266" w:type="dxa"/>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r>
                    <w:rPr>
                      <w:rFonts w:hint="default"/>
                      <w:color w:val="000000" w:themeColor="text1"/>
                      <w:sz w:val="21"/>
                      <w:szCs w:val="21"/>
                      <w:highlight w:val="none"/>
                      <w:u w:val="none" w:color="auto"/>
                      <w14:textFill>
                        <w14:solidFill>
                          <w14:schemeClr w14:val="tx1"/>
                        </w14:solidFill>
                      </w14:textFill>
                    </w:rPr>
                    <w:t>Z</w:t>
                  </w:r>
                </w:p>
              </w:tc>
              <w:tc>
                <w:tcPr>
                  <w:tcW w:w="1305" w:type="dxa"/>
                  <w:vMerge w:val="continue"/>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p>
              </w:tc>
              <w:tc>
                <w:tcPr>
                  <w:tcW w:w="798" w:type="dxa"/>
                  <w:vMerge w:val="continue"/>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p>
              </w:tc>
              <w:tc>
                <w:tcPr>
                  <w:tcW w:w="1035" w:type="dxa"/>
                  <w:vMerge w:val="continue"/>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p>
              </w:tc>
              <w:tc>
                <w:tcPr>
                  <w:tcW w:w="1188" w:type="dxa"/>
                  <w:vMerge w:val="continue"/>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7" w:type="dxa"/>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r>
                    <w:rPr>
                      <w:rFonts w:hint="default"/>
                      <w:color w:val="000000" w:themeColor="text1"/>
                      <w:sz w:val="21"/>
                      <w:szCs w:val="21"/>
                      <w:highlight w:val="none"/>
                      <w:u w:val="none" w:color="auto"/>
                      <w14:textFill>
                        <w14:solidFill>
                          <w14:schemeClr w14:val="tx1"/>
                        </w14:solidFill>
                      </w14:textFill>
                    </w:rPr>
                    <w:t>1</w:t>
                  </w:r>
                </w:p>
              </w:tc>
              <w:tc>
                <w:tcPr>
                  <w:tcW w:w="1352" w:type="dxa"/>
                  <w:tcBorders>
                    <w:tl2br w:val="nil"/>
                    <w:tr2bl w:val="nil"/>
                  </w:tcBorders>
                  <w:vAlign w:val="center"/>
                </w:tcPr>
                <w:p>
                  <w:pPr>
                    <w:spacing w:after="0"/>
                    <w:jc w:val="center"/>
                    <w:rPr>
                      <w:rFonts w:hint="eastAsia" w:eastAsia="宋体"/>
                      <w:color w:val="000000" w:themeColor="text1"/>
                      <w:sz w:val="21"/>
                      <w:szCs w:val="21"/>
                      <w:highlight w:val="none"/>
                      <w:u w:val="none" w:color="auto"/>
                      <w:lang w:val="en-US" w:eastAsia="zh-CN"/>
                      <w14:textFill>
                        <w14:solidFill>
                          <w14:schemeClr w14:val="tx1"/>
                        </w14:solidFill>
                      </w14:textFill>
                    </w:rPr>
                  </w:pPr>
                  <w:r>
                    <w:rPr>
                      <w:rFonts w:hint="default" w:ascii="Times New Roman" w:hAnsi="Times New Roman" w:eastAsia="宋体" w:cs="Times New Roman"/>
                      <w:sz w:val="21"/>
                      <w:szCs w:val="21"/>
                    </w:rPr>
                    <w:t>厂界东侧</w:t>
                  </w:r>
                  <w:r>
                    <w:rPr>
                      <w:rFonts w:hint="eastAsia"/>
                      <w:color w:val="000000" w:themeColor="text1"/>
                      <w:sz w:val="21"/>
                      <w:szCs w:val="20"/>
                      <w:highlight w:val="none"/>
                      <w:u w:val="none" w:color="auto"/>
                      <w:lang w:val="en-US" w:eastAsia="zh-CN"/>
                      <w14:textFill>
                        <w14:solidFill>
                          <w14:schemeClr w14:val="tx1"/>
                        </w14:solidFill>
                      </w14:textFill>
                    </w:rPr>
                    <w:t>前岗村</w:t>
                  </w:r>
                  <w:r>
                    <w:rPr>
                      <w:rFonts w:hint="default" w:ascii="Times New Roman" w:hAnsi="Times New Roman" w:eastAsia="宋体" w:cs="Times New Roman"/>
                      <w:sz w:val="21"/>
                      <w:szCs w:val="21"/>
                    </w:rPr>
                    <w:t>居民1#</w:t>
                  </w:r>
                </w:p>
              </w:tc>
              <w:tc>
                <w:tcPr>
                  <w:tcW w:w="646" w:type="dxa"/>
                  <w:tcBorders>
                    <w:tl2br w:val="nil"/>
                    <w:tr2bl w:val="nil"/>
                  </w:tcBorders>
                  <w:vAlign w:val="center"/>
                </w:tcPr>
                <w:p>
                  <w:pPr>
                    <w:pStyle w:val="148"/>
                    <w:keepNext w:val="0"/>
                    <w:keepLines w:val="0"/>
                    <w:suppressLineNumbers w:val="0"/>
                    <w:spacing w:before="0" w:beforeAutospacing="0" w:after="0" w:afterAutospacing="0"/>
                    <w:ind w:right="0"/>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35</w:t>
                  </w:r>
                </w:p>
              </w:tc>
              <w:tc>
                <w:tcPr>
                  <w:tcW w:w="799" w:type="dxa"/>
                  <w:tcBorders>
                    <w:tl2br w:val="nil"/>
                    <w:tr2bl w:val="nil"/>
                  </w:tcBorders>
                  <w:vAlign w:val="center"/>
                </w:tcPr>
                <w:p>
                  <w:pPr>
                    <w:pStyle w:val="148"/>
                    <w:keepNext w:val="0"/>
                    <w:keepLines w:val="0"/>
                    <w:suppressLineNumbers w:val="0"/>
                    <w:spacing w:before="0" w:beforeAutospacing="0" w:after="0" w:afterAutospacing="0"/>
                    <w:ind w:right="0"/>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30</w:t>
                  </w:r>
                </w:p>
              </w:tc>
              <w:tc>
                <w:tcPr>
                  <w:tcW w:w="1266" w:type="dxa"/>
                  <w:tcBorders>
                    <w:tl2br w:val="nil"/>
                    <w:tr2bl w:val="nil"/>
                  </w:tcBorders>
                  <w:vAlign w:val="center"/>
                </w:tcPr>
                <w:p>
                  <w:pPr>
                    <w:pStyle w:val="148"/>
                    <w:keepNext w:val="0"/>
                    <w:keepLines w:val="0"/>
                    <w:suppressLineNumbers w:val="0"/>
                    <w:spacing w:before="0" w:beforeAutospacing="0" w:after="0" w:afterAutospacing="0"/>
                    <w:ind w:right="0"/>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1.5</w:t>
                  </w:r>
                </w:p>
              </w:tc>
              <w:tc>
                <w:tcPr>
                  <w:tcW w:w="1305" w:type="dxa"/>
                  <w:tcBorders>
                    <w:tl2br w:val="nil"/>
                    <w:tr2bl w:val="nil"/>
                  </w:tcBorders>
                  <w:vAlign w:val="center"/>
                </w:tcPr>
                <w:p>
                  <w:pPr>
                    <w:pStyle w:val="148"/>
                    <w:keepNext w:val="0"/>
                    <w:keepLines w:val="0"/>
                    <w:suppressLineNumbers w:val="0"/>
                    <w:spacing w:before="0" w:beforeAutospacing="0" w:after="0" w:afterAutospacing="0"/>
                    <w:ind w:right="0"/>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6</w:t>
                  </w:r>
                </w:p>
              </w:tc>
              <w:tc>
                <w:tcPr>
                  <w:tcW w:w="798" w:type="dxa"/>
                  <w:tcBorders>
                    <w:tl2br w:val="nil"/>
                    <w:tr2bl w:val="nil"/>
                  </w:tcBorders>
                  <w:vAlign w:val="center"/>
                </w:tcPr>
                <w:p>
                  <w:pPr>
                    <w:pStyle w:val="148"/>
                    <w:keepNext w:val="0"/>
                    <w:keepLines w:val="0"/>
                    <w:suppressLineNumbers w:val="0"/>
                    <w:spacing w:before="0" w:beforeAutospacing="0" w:after="0" w:afterAutospacing="0"/>
                    <w:ind w:right="0"/>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E</w:t>
                  </w:r>
                </w:p>
              </w:tc>
              <w:tc>
                <w:tcPr>
                  <w:tcW w:w="1035" w:type="dxa"/>
                  <w:vMerge w:val="restart"/>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w:t>
                  </w:r>
                  <w:r>
                    <w:rPr>
                      <w:rFonts w:hint="default"/>
                      <w:color w:val="000000" w:themeColor="text1"/>
                      <w:sz w:val="21"/>
                      <w:szCs w:val="21"/>
                      <w:highlight w:val="none"/>
                      <w:u w:val="none" w:color="auto"/>
                      <w14:textFill>
                        <w14:solidFill>
                          <w14:schemeClr w14:val="tx1"/>
                        </w14:solidFill>
                      </w14:textFill>
                    </w:rPr>
                    <w:t>类/</w:t>
                  </w:r>
                  <w:r>
                    <w:rPr>
                      <w:rFonts w:hint="eastAsia"/>
                      <w:color w:val="000000" w:themeColor="text1"/>
                      <w:sz w:val="21"/>
                      <w:szCs w:val="21"/>
                      <w:highlight w:val="none"/>
                      <w:u w:val="none" w:color="auto"/>
                      <w:lang w:val="en-US" w:eastAsia="zh-CN"/>
                      <w14:textFill>
                        <w14:solidFill>
                          <w14:schemeClr w14:val="tx1"/>
                        </w14:solidFill>
                      </w14:textFill>
                    </w:rPr>
                    <w:t>2</w:t>
                  </w:r>
                  <w:r>
                    <w:rPr>
                      <w:rFonts w:hint="default"/>
                      <w:color w:val="000000" w:themeColor="text1"/>
                      <w:sz w:val="21"/>
                      <w:szCs w:val="21"/>
                      <w:highlight w:val="none"/>
                      <w:u w:val="none" w:color="auto"/>
                      <w14:textFill>
                        <w14:solidFill>
                          <w14:schemeClr w14:val="tx1"/>
                        </w14:solidFill>
                      </w14:textFill>
                    </w:rPr>
                    <w:t>类</w:t>
                  </w:r>
                </w:p>
              </w:tc>
              <w:tc>
                <w:tcPr>
                  <w:tcW w:w="1188" w:type="dxa"/>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r>
                    <w:rPr>
                      <w:rFonts w:hint="default"/>
                      <w:color w:val="000000" w:themeColor="text1"/>
                      <w:sz w:val="21"/>
                      <w:szCs w:val="21"/>
                      <w:highlight w:val="none"/>
                      <w:u w:val="none" w:color="auto"/>
                      <w14:textFill>
                        <w14:solidFill>
                          <w14:schemeClr w14:val="tx1"/>
                        </w14:solidFill>
                      </w14:textFill>
                    </w:rPr>
                    <w:t>住宅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47" w:type="dxa"/>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r>
                    <w:rPr>
                      <w:rFonts w:hint="default"/>
                      <w:color w:val="000000" w:themeColor="text1"/>
                      <w:sz w:val="21"/>
                      <w:szCs w:val="21"/>
                      <w:highlight w:val="none"/>
                      <w:u w:val="none" w:color="auto"/>
                      <w14:textFill>
                        <w14:solidFill>
                          <w14:schemeClr w14:val="tx1"/>
                        </w14:solidFill>
                      </w14:textFill>
                    </w:rPr>
                    <w:t>2</w:t>
                  </w:r>
                </w:p>
              </w:tc>
              <w:tc>
                <w:tcPr>
                  <w:tcW w:w="1352" w:type="dxa"/>
                  <w:tcBorders>
                    <w:tl2br w:val="nil"/>
                    <w:tr2bl w:val="nil"/>
                  </w:tcBorders>
                  <w:vAlign w:val="center"/>
                </w:tcPr>
                <w:p>
                  <w:pPr>
                    <w:spacing w:after="0"/>
                    <w:jc w:val="center"/>
                    <w:rPr>
                      <w:rFonts w:hint="default"/>
                      <w:color w:val="000000" w:themeColor="text1"/>
                      <w:sz w:val="21"/>
                      <w:szCs w:val="21"/>
                      <w:highlight w:val="none"/>
                      <w:u w:val="none" w:color="auto"/>
                      <w14:textFill>
                        <w14:solidFill>
                          <w14:schemeClr w14:val="tx1"/>
                        </w14:solidFill>
                      </w14:textFill>
                    </w:rPr>
                  </w:pPr>
                  <w:r>
                    <w:rPr>
                      <w:rFonts w:hint="default" w:ascii="Times New Roman" w:hAnsi="Times New Roman" w:eastAsia="宋体" w:cs="Times New Roman"/>
                      <w:sz w:val="21"/>
                      <w:szCs w:val="21"/>
                    </w:rPr>
                    <w:t>厂界东南侧</w:t>
                  </w:r>
                  <w:r>
                    <w:rPr>
                      <w:rFonts w:hint="eastAsia"/>
                      <w:color w:val="000000" w:themeColor="text1"/>
                      <w:sz w:val="21"/>
                      <w:szCs w:val="20"/>
                      <w:highlight w:val="none"/>
                      <w:u w:val="none" w:color="auto"/>
                      <w:lang w:val="en-US" w:eastAsia="zh-CN"/>
                      <w14:textFill>
                        <w14:solidFill>
                          <w14:schemeClr w14:val="tx1"/>
                        </w14:solidFill>
                      </w14:textFill>
                    </w:rPr>
                    <w:t>前岗村</w:t>
                  </w:r>
                  <w:r>
                    <w:rPr>
                      <w:rFonts w:hint="default" w:ascii="Times New Roman" w:hAnsi="Times New Roman" w:eastAsia="宋体" w:cs="Times New Roman"/>
                      <w:sz w:val="21"/>
                      <w:szCs w:val="21"/>
                    </w:rPr>
                    <w:t>居民2#</w:t>
                  </w:r>
                </w:p>
              </w:tc>
              <w:tc>
                <w:tcPr>
                  <w:tcW w:w="646" w:type="dxa"/>
                  <w:tcBorders>
                    <w:tl2br w:val="nil"/>
                    <w:tr2bl w:val="nil"/>
                  </w:tcBorders>
                  <w:vAlign w:val="center"/>
                </w:tcPr>
                <w:p>
                  <w:pPr>
                    <w:pStyle w:val="148"/>
                    <w:keepNext w:val="0"/>
                    <w:keepLines w:val="0"/>
                    <w:suppressLineNumbers w:val="0"/>
                    <w:spacing w:before="0" w:beforeAutospacing="0" w:after="0" w:afterAutospacing="0"/>
                    <w:ind w:right="0"/>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48</w:t>
                  </w:r>
                </w:p>
              </w:tc>
              <w:tc>
                <w:tcPr>
                  <w:tcW w:w="799" w:type="dxa"/>
                  <w:tcBorders>
                    <w:tl2br w:val="nil"/>
                    <w:tr2bl w:val="nil"/>
                  </w:tcBorders>
                  <w:vAlign w:val="center"/>
                </w:tcPr>
                <w:p>
                  <w:pPr>
                    <w:pStyle w:val="148"/>
                    <w:keepNext w:val="0"/>
                    <w:keepLines w:val="0"/>
                    <w:suppressLineNumbers w:val="0"/>
                    <w:spacing w:before="0" w:beforeAutospacing="0" w:after="0" w:afterAutospacing="0"/>
                    <w:ind w:right="0"/>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-8</w:t>
                  </w:r>
                </w:p>
              </w:tc>
              <w:tc>
                <w:tcPr>
                  <w:tcW w:w="1266" w:type="dxa"/>
                  <w:tcBorders>
                    <w:tl2br w:val="nil"/>
                    <w:tr2bl w:val="nil"/>
                  </w:tcBorders>
                  <w:vAlign w:val="center"/>
                </w:tcPr>
                <w:p>
                  <w:pPr>
                    <w:pStyle w:val="148"/>
                    <w:keepNext w:val="0"/>
                    <w:keepLines w:val="0"/>
                    <w:suppressLineNumbers w:val="0"/>
                    <w:spacing w:before="0" w:beforeAutospacing="0" w:after="0" w:afterAutospacing="0"/>
                    <w:ind w:right="0"/>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1.5</w:t>
                  </w:r>
                </w:p>
              </w:tc>
              <w:tc>
                <w:tcPr>
                  <w:tcW w:w="1305" w:type="dxa"/>
                  <w:tcBorders>
                    <w:tl2br w:val="nil"/>
                    <w:tr2bl w:val="nil"/>
                  </w:tcBorders>
                  <w:vAlign w:val="center"/>
                </w:tcPr>
                <w:p>
                  <w:pPr>
                    <w:pStyle w:val="148"/>
                    <w:keepNext w:val="0"/>
                    <w:keepLines w:val="0"/>
                    <w:suppressLineNumbers w:val="0"/>
                    <w:spacing w:before="0" w:beforeAutospacing="0" w:after="0" w:afterAutospacing="0"/>
                    <w:ind w:right="0"/>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22</w:t>
                  </w:r>
                </w:p>
              </w:tc>
              <w:tc>
                <w:tcPr>
                  <w:tcW w:w="798" w:type="dxa"/>
                  <w:tcBorders>
                    <w:tl2br w:val="nil"/>
                    <w:tr2bl w:val="nil"/>
                  </w:tcBorders>
                  <w:vAlign w:val="center"/>
                </w:tcPr>
                <w:p>
                  <w:pPr>
                    <w:pStyle w:val="148"/>
                    <w:keepNext w:val="0"/>
                    <w:keepLines w:val="0"/>
                    <w:suppressLineNumbers w:val="0"/>
                    <w:spacing w:before="0" w:beforeAutospacing="0" w:after="0" w:afterAutospacing="0"/>
                    <w:ind w:right="0"/>
                    <w:rPr>
                      <w:rFonts w:hint="default"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SE</w:t>
                  </w:r>
                </w:p>
              </w:tc>
              <w:tc>
                <w:tcPr>
                  <w:tcW w:w="1035" w:type="dxa"/>
                  <w:vMerge w:val="continue"/>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p>
              </w:tc>
              <w:tc>
                <w:tcPr>
                  <w:tcW w:w="1188" w:type="dxa"/>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r>
                    <w:rPr>
                      <w:rFonts w:hint="default"/>
                      <w:color w:val="000000" w:themeColor="text1"/>
                      <w:sz w:val="21"/>
                      <w:szCs w:val="21"/>
                      <w:highlight w:val="none"/>
                      <w:u w:val="none" w:color="auto"/>
                      <w14:textFill>
                        <w14:solidFill>
                          <w14:schemeClr w14:val="tx1"/>
                        </w14:solidFill>
                      </w14:textFill>
                    </w:rPr>
                    <w:t>住宅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47" w:type="dxa"/>
                  <w:tcBorders>
                    <w:tl2br w:val="nil"/>
                    <w:tr2bl w:val="nil"/>
                  </w:tcBorders>
                  <w:vAlign w:val="center"/>
                </w:tcPr>
                <w:p>
                  <w:pPr>
                    <w:pStyle w:val="148"/>
                    <w:keepNext w:val="0"/>
                    <w:keepLines w:val="0"/>
                    <w:suppressLineNumbers w:val="0"/>
                    <w:spacing w:before="0" w:beforeAutospacing="0" w:after="0" w:afterAutospacing="0"/>
                    <w:ind w:right="0"/>
                    <w:rPr>
                      <w:rFonts w:hint="eastAsia"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3</w:t>
                  </w:r>
                </w:p>
              </w:tc>
              <w:tc>
                <w:tcPr>
                  <w:tcW w:w="1352" w:type="dxa"/>
                  <w:tcBorders>
                    <w:tl2br w:val="nil"/>
                    <w:tr2bl w:val="nil"/>
                  </w:tcBorders>
                  <w:vAlign w:val="center"/>
                </w:tcPr>
                <w:p>
                  <w:pPr>
                    <w:spacing w:after="0"/>
                    <w:jc w:val="center"/>
                    <w:rPr>
                      <w:rFonts w:hint="eastAsia" w:ascii="Times New Roman" w:hAnsi="Times New Roman" w:eastAsia="宋体"/>
                      <w:color w:val="000000" w:themeColor="text1"/>
                      <w:sz w:val="21"/>
                      <w:szCs w:val="21"/>
                      <w:u w:val="none" w:color="auto"/>
                      <w14:textFill>
                        <w14:solidFill>
                          <w14:schemeClr w14:val="tx1"/>
                        </w14:solidFill>
                      </w14:textFill>
                    </w:rPr>
                  </w:pPr>
                  <w:r>
                    <w:rPr>
                      <w:rFonts w:hint="default" w:ascii="Times New Roman" w:hAnsi="Times New Roman" w:eastAsia="宋体" w:cs="Times New Roman"/>
                      <w:sz w:val="21"/>
                      <w:szCs w:val="21"/>
                    </w:rPr>
                    <w:t>厂界西侧</w:t>
                  </w:r>
                  <w:r>
                    <w:rPr>
                      <w:rFonts w:hint="eastAsia"/>
                      <w:color w:val="000000" w:themeColor="text1"/>
                      <w:sz w:val="21"/>
                      <w:szCs w:val="20"/>
                      <w:highlight w:val="none"/>
                      <w:u w:val="none" w:color="auto"/>
                      <w:lang w:val="en-US" w:eastAsia="zh-CN"/>
                      <w14:textFill>
                        <w14:solidFill>
                          <w14:schemeClr w14:val="tx1"/>
                        </w14:solidFill>
                      </w14:textFill>
                    </w:rPr>
                    <w:t>前岗村</w:t>
                  </w:r>
                  <w:r>
                    <w:rPr>
                      <w:rFonts w:hint="default" w:ascii="Times New Roman" w:hAnsi="Times New Roman" w:eastAsia="宋体" w:cs="Times New Roman"/>
                      <w:sz w:val="21"/>
                      <w:szCs w:val="21"/>
                    </w:rPr>
                    <w:t>3#</w:t>
                  </w:r>
                </w:p>
              </w:tc>
              <w:tc>
                <w:tcPr>
                  <w:tcW w:w="646" w:type="dxa"/>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w:t>
                  </w:r>
                </w:p>
              </w:tc>
              <w:tc>
                <w:tcPr>
                  <w:tcW w:w="799" w:type="dxa"/>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0</w:t>
                  </w:r>
                </w:p>
              </w:tc>
              <w:tc>
                <w:tcPr>
                  <w:tcW w:w="1266" w:type="dxa"/>
                  <w:tcBorders>
                    <w:tl2br w:val="nil"/>
                    <w:tr2bl w:val="nil"/>
                  </w:tcBorders>
                  <w:vAlign w:val="center"/>
                </w:tcPr>
                <w:p>
                  <w:pPr>
                    <w:pStyle w:val="148"/>
                    <w:keepNext w:val="0"/>
                    <w:keepLines w:val="0"/>
                    <w:suppressLineNumbers w:val="0"/>
                    <w:spacing w:before="0" w:beforeAutospacing="0" w:after="0" w:afterAutospacing="0"/>
                    <w:ind w:right="0"/>
                    <w:rPr>
                      <w:rFonts w:hint="eastAsia" w:eastAsia="宋体"/>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w:t>
                  </w:r>
                </w:p>
              </w:tc>
              <w:tc>
                <w:tcPr>
                  <w:tcW w:w="1305" w:type="dxa"/>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2</w:t>
                  </w:r>
                </w:p>
              </w:tc>
              <w:tc>
                <w:tcPr>
                  <w:tcW w:w="798" w:type="dxa"/>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lang w:val="en-US" w:eastAsia="zh-CN"/>
                      <w14:textFill>
                        <w14:solidFill>
                          <w14:schemeClr w14:val="tx1"/>
                        </w14:solidFill>
                      </w14:textFill>
                    </w:rPr>
                  </w:pPr>
                  <w:r>
                    <w:rPr>
                      <w:rFonts w:hint="eastAsia"/>
                      <w:color w:val="000000" w:themeColor="text1"/>
                      <w:sz w:val="21"/>
                      <w:szCs w:val="21"/>
                      <w:highlight w:val="none"/>
                      <w:u w:val="none" w:color="auto"/>
                      <w:lang w:val="en-US" w:eastAsia="zh-CN"/>
                      <w14:textFill>
                        <w14:solidFill>
                          <w14:schemeClr w14:val="tx1"/>
                        </w14:solidFill>
                      </w14:textFill>
                    </w:rPr>
                    <w:t>W</w:t>
                  </w:r>
                </w:p>
              </w:tc>
              <w:tc>
                <w:tcPr>
                  <w:tcW w:w="1035" w:type="dxa"/>
                  <w:vMerge w:val="continue"/>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p>
              </w:tc>
              <w:tc>
                <w:tcPr>
                  <w:tcW w:w="1188" w:type="dxa"/>
                  <w:tcBorders>
                    <w:tl2br w:val="nil"/>
                    <w:tr2bl w:val="nil"/>
                  </w:tcBorders>
                  <w:vAlign w:val="center"/>
                </w:tcPr>
                <w:p>
                  <w:pPr>
                    <w:pStyle w:val="148"/>
                    <w:keepNext w:val="0"/>
                    <w:keepLines w:val="0"/>
                    <w:suppressLineNumbers w:val="0"/>
                    <w:spacing w:before="0" w:beforeAutospacing="0" w:after="0" w:afterAutospacing="0"/>
                    <w:ind w:right="0"/>
                    <w:rPr>
                      <w:rFonts w:hint="default"/>
                      <w:color w:val="000000" w:themeColor="text1"/>
                      <w:sz w:val="21"/>
                      <w:szCs w:val="21"/>
                      <w:highlight w:val="none"/>
                      <w:u w:val="none" w:color="auto"/>
                      <w14:textFill>
                        <w14:solidFill>
                          <w14:schemeClr w14:val="tx1"/>
                        </w14:solidFill>
                      </w14:textFill>
                    </w:rPr>
                  </w:pPr>
                  <w:r>
                    <w:rPr>
                      <w:rFonts w:hint="default"/>
                      <w:color w:val="000000" w:themeColor="text1"/>
                      <w:sz w:val="21"/>
                      <w:szCs w:val="21"/>
                      <w:highlight w:val="none"/>
                      <w:u w:val="none" w:color="auto"/>
                      <w14:textFill>
                        <w14:solidFill>
                          <w14:schemeClr w14:val="tx1"/>
                        </w14:solidFill>
                      </w14:textFill>
                    </w:rPr>
                    <w:t>住宅</w:t>
                  </w:r>
                </w:p>
              </w:tc>
            </w:tr>
          </w:tbl>
          <w:p>
            <w:pPr>
              <w:pStyle w:val="67"/>
              <w:keepNext w:val="0"/>
              <w:keepLines w:val="0"/>
              <w:suppressLineNumbers w:val="0"/>
              <w:spacing w:before="0" w:beforeAutospacing="0" w:after="0" w:afterAutospacing="0"/>
              <w:ind w:left="0" w:right="0" w:firstLine="480"/>
              <w:rPr>
                <w:rFonts w:hint="default" w:cs="Times New Roman"/>
                <w:color w:val="000000" w:themeColor="text1"/>
                <w:highlight w:val="none"/>
                <w:u w:val="none" w:color="auto"/>
                <w14:textFill>
                  <w14:solidFill>
                    <w14:schemeClr w14:val="tx1"/>
                  </w14:solidFill>
                </w14:textFill>
              </w:rPr>
            </w:pPr>
            <w:r>
              <w:rPr>
                <w:rFonts w:hint="default" w:cs="Times New Roman"/>
                <w:color w:val="000000" w:themeColor="text1"/>
                <w:highlight w:val="none"/>
                <w:u w:val="none" w:color="auto"/>
                <w14:textFill>
                  <w14:solidFill>
                    <w14:schemeClr w14:val="tx1"/>
                  </w14:solidFill>
                </w14:textFill>
              </w:rPr>
              <w:t>3、地下水环境保护目标</w:t>
            </w:r>
          </w:p>
          <w:p>
            <w:pPr>
              <w:pStyle w:val="69"/>
              <w:keepNext w:val="0"/>
              <w:keepLines w:val="0"/>
              <w:pageBreakBefore w:val="0"/>
              <w:widowControl w:val="0"/>
              <w:kinsoku/>
              <w:wordWrap/>
              <w:overflowPunct/>
              <w:topLinePunct w:val="0"/>
              <w:autoSpaceDE w:val="0"/>
              <w:autoSpaceDN w:val="0"/>
              <w:bidi w:val="0"/>
              <w:adjustRightInd w:val="0"/>
              <w:snapToGrid/>
              <w:spacing w:line="360" w:lineRule="auto"/>
              <w:ind w:left="0" w:firstLine="480" w:firstLineChars="200"/>
              <w:jc w:val="both"/>
              <w:textAlignment w:val="baseline"/>
              <w:rPr>
                <w:rFonts w:hint="default" w:ascii="Times New Roman" w:hAnsi="Times New Roman" w:cs="Times New Roman"/>
                <w:color w:val="auto"/>
                <w:sz w:val="24"/>
                <w:szCs w:val="24"/>
              </w:rPr>
            </w:pPr>
            <w:r>
              <w:rPr>
                <w:rFonts w:hint="default" w:cs="Times New Roman"/>
                <w:color w:val="000000" w:themeColor="text1"/>
                <w:highlight w:val="none"/>
                <w:u w:val="none" w:color="auto"/>
                <w14:textFill>
                  <w14:solidFill>
                    <w14:schemeClr w14:val="tx1"/>
                  </w14:solidFill>
                </w14:textFill>
              </w:rPr>
              <w:t>根据《建设</w:t>
            </w:r>
            <w:r>
              <w:rPr>
                <w:rFonts w:hint="default" w:ascii="Times New Roman" w:hAnsi="Times New Roman" w:cs="Times New Roman"/>
                <w:color w:val="000000" w:themeColor="text1"/>
                <w:highlight w:val="none"/>
                <w:u w:val="none" w:color="auto"/>
                <w14:textFill>
                  <w14:solidFill>
                    <w14:schemeClr w14:val="tx1"/>
                  </w14:solidFill>
                </w14:textFill>
              </w:rPr>
              <w:t>项目环境影响评价报告表编制技术指南》（污染影响类）及现状调查结果，厂界外500m范围内无地下</w:t>
            </w:r>
            <w:r>
              <w:rPr>
                <w:rFonts w:hint="default" w:cs="Times New Roman"/>
                <w:color w:val="000000" w:themeColor="text1"/>
                <w:highlight w:val="none"/>
                <w:u w:val="none" w:color="auto"/>
                <w14:textFill>
                  <w14:solidFill>
                    <w14:schemeClr w14:val="tx1"/>
                  </w14:solidFill>
                </w14:textFill>
              </w:rPr>
              <w:t>水集中式饮用水水源和热水、矿泉水、温泉等特殊地下水资源，无地下水环境保护目标。</w:t>
            </w:r>
          </w:p>
          <w:bookmarkEnd w:id="35"/>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center"/>
              <w:rPr>
                <w:rFonts w:hint="eastAsia"/>
                <w:color w:val="auto"/>
                <w:sz w:val="24"/>
                <w:highlight w:val="yellow"/>
              </w:rPr>
            </w:pPr>
            <w:r>
              <w:rPr>
                <w:sz w:val="21"/>
              </w:rPr>
              <mc:AlternateContent>
                <mc:Choice Requires="wpg">
                  <w:drawing>
                    <wp:anchor distT="0" distB="0" distL="114300" distR="114300" simplePos="0" relativeHeight="251666432" behindDoc="0" locked="0" layoutInCell="1" allowOverlap="1">
                      <wp:simplePos x="0" y="0"/>
                      <wp:positionH relativeFrom="column">
                        <wp:posOffset>4516755</wp:posOffset>
                      </wp:positionH>
                      <wp:positionV relativeFrom="paragraph">
                        <wp:posOffset>3528695</wp:posOffset>
                      </wp:positionV>
                      <wp:extent cx="1177925" cy="985520"/>
                      <wp:effectExtent l="4445" t="4445" r="17780" b="19685"/>
                      <wp:wrapNone/>
                      <wp:docPr id="29" name="组合 29"/>
                      <wp:cNvGraphicFramePr/>
                      <a:graphic xmlns:a="http://schemas.openxmlformats.org/drawingml/2006/main">
                        <a:graphicData uri="http://schemas.microsoft.com/office/word/2010/wordprocessingGroup">
                          <wpg:wgp>
                            <wpg:cNvGrpSpPr/>
                            <wpg:grpSpPr>
                              <a:xfrm>
                                <a:off x="0" y="0"/>
                                <a:ext cx="1177925" cy="985520"/>
                                <a:chOff x="8759" y="316225"/>
                                <a:chExt cx="1855" cy="1552"/>
                              </a:xfrm>
                            </wpg:grpSpPr>
                            <wps:wsp>
                              <wps:cNvPr id="7" name="文本框 7"/>
                              <wps:cNvSpPr txBox="1"/>
                              <wps:spPr>
                                <a:xfrm>
                                  <a:off x="8759" y="316225"/>
                                  <a:ext cx="1855" cy="15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kinsoku/>
                                      <w:wordWrap/>
                                      <w:overflowPunct/>
                                      <w:topLinePunct w:val="0"/>
                                      <w:bidi w:val="0"/>
                                      <w:adjustRightInd w:val="0"/>
                                      <w:spacing w:line="360" w:lineRule="auto"/>
                                      <w:ind w:right="0" w:firstLine="0" w:firstLineChars="0"/>
                                      <w:jc w:val="center"/>
                                      <w:textAlignment w:val="auto"/>
                                      <w:rPr>
                                        <w:rFonts w:hint="eastAsia"/>
                                        <w:sz w:val="18"/>
                                        <w:szCs w:val="18"/>
                                        <w:lang w:val="en-US" w:eastAsia="zh-CN"/>
                                      </w:rPr>
                                    </w:pPr>
                                    <w:r>
                                      <w:rPr>
                                        <w:rFonts w:hint="eastAsia"/>
                                        <w:sz w:val="18"/>
                                        <w:szCs w:val="18"/>
                                        <w:lang w:val="en-US" w:eastAsia="zh-CN"/>
                                      </w:rPr>
                                      <w:t>图例</w:t>
                                    </w:r>
                                  </w:p>
                                  <w:p>
                                    <w:pPr>
                                      <w:pStyle w:val="27"/>
                                      <w:keepNext w:val="0"/>
                                      <w:keepLines w:val="0"/>
                                      <w:pageBreakBefore w:val="0"/>
                                      <w:kinsoku/>
                                      <w:wordWrap/>
                                      <w:overflowPunct/>
                                      <w:topLinePunct w:val="0"/>
                                      <w:bidi w:val="0"/>
                                      <w:adjustRightInd w:val="0"/>
                                      <w:spacing w:before="0" w:after="0" w:line="360" w:lineRule="auto"/>
                                      <w:ind w:left="0" w:leftChars="0" w:right="0" w:firstLine="0" w:firstLineChars="0"/>
                                      <w:textAlignment w:val="auto"/>
                                      <w:rPr>
                                        <w:rFonts w:hint="eastAsia"/>
                                        <w:sz w:val="18"/>
                                        <w:szCs w:val="18"/>
                                        <w:lang w:val="en-US" w:eastAsia="zh-CN"/>
                                      </w:rPr>
                                    </w:pPr>
                                    <w:r>
                                      <w:rPr>
                                        <w:rFonts w:hint="eastAsia"/>
                                        <w:sz w:val="18"/>
                                        <w:szCs w:val="18"/>
                                        <w:lang w:val="en-US" w:eastAsia="zh-CN"/>
                                      </w:rPr>
                                      <w:t>项目所在地</w:t>
                                    </w:r>
                                  </w:p>
                                  <w:p>
                                    <w:pPr>
                                      <w:keepNext w:val="0"/>
                                      <w:keepLines w:val="0"/>
                                      <w:pageBreakBefore w:val="0"/>
                                      <w:kinsoku/>
                                      <w:wordWrap/>
                                      <w:overflowPunct/>
                                      <w:topLinePunct w:val="0"/>
                                      <w:bidi w:val="0"/>
                                      <w:adjustRightInd w:val="0"/>
                                      <w:spacing w:line="360" w:lineRule="auto"/>
                                      <w:ind w:right="0" w:firstLine="0" w:firstLineChars="0"/>
                                      <w:textAlignment w:val="auto"/>
                                      <w:rPr>
                                        <w:rFonts w:hint="eastAsia"/>
                                        <w:sz w:val="18"/>
                                        <w:szCs w:val="18"/>
                                        <w:lang w:val="en-US" w:eastAsia="zh-CN"/>
                                      </w:rPr>
                                    </w:pPr>
                                    <w:r>
                                      <w:rPr>
                                        <w:rFonts w:hint="eastAsia"/>
                                        <w:sz w:val="18"/>
                                        <w:szCs w:val="18"/>
                                        <w:lang w:val="en-US" w:eastAsia="zh-CN"/>
                                      </w:rPr>
                                      <w:t>声评价范围</w:t>
                                    </w:r>
                                  </w:p>
                                  <w:p>
                                    <w:pPr>
                                      <w:keepNext w:val="0"/>
                                      <w:keepLines w:val="0"/>
                                      <w:pageBreakBefore w:val="0"/>
                                      <w:kinsoku/>
                                      <w:wordWrap/>
                                      <w:overflowPunct/>
                                      <w:topLinePunct w:val="0"/>
                                      <w:bidi w:val="0"/>
                                      <w:adjustRightInd w:val="0"/>
                                      <w:spacing w:line="360" w:lineRule="auto"/>
                                      <w:ind w:right="0" w:firstLine="0" w:firstLineChars="0"/>
                                      <w:textAlignment w:val="auto"/>
                                      <w:rPr>
                                        <w:rFonts w:hint="default"/>
                                        <w:sz w:val="18"/>
                                        <w:szCs w:val="18"/>
                                        <w:lang w:val="en-US" w:eastAsia="zh-CN"/>
                                      </w:rPr>
                                    </w:pPr>
                                    <w:r>
                                      <w:rPr>
                                        <w:rFonts w:hint="eastAsia"/>
                                        <w:sz w:val="18"/>
                                        <w:szCs w:val="18"/>
                                        <w:lang w:val="en-US" w:eastAsia="zh-CN"/>
                                      </w:rPr>
                                      <w:t>大气评价范围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矩形 17"/>
                              <wps:cNvSpPr/>
                              <wps:spPr>
                                <a:xfrm>
                                  <a:off x="9977" y="316712"/>
                                  <a:ext cx="487" cy="206"/>
                                </a:xfrm>
                                <a:prstGeom prst="rect">
                                  <a:avLst/>
                                </a:prstGeom>
                                <a:solidFill>
                                  <a:srgbClr val="6F62D6"/>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矩形 42"/>
                              <wps:cNvSpPr/>
                              <wps:spPr>
                                <a:xfrm>
                                  <a:off x="10045" y="317025"/>
                                  <a:ext cx="450" cy="187"/>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 name="矩形 46"/>
                              <wps:cNvSpPr/>
                              <wps:spPr>
                                <a:xfrm>
                                  <a:off x="10074" y="317389"/>
                                  <a:ext cx="450" cy="187"/>
                                </a:xfrm>
                                <a:prstGeom prst="rect">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55.65pt;margin-top:277.85pt;height:77.6pt;width:92.75pt;z-index:251666432;mso-width-relative:page;mso-height-relative:page;" coordorigin="8759,316225" coordsize="1855,1552" o:gfxdata="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">
                      <o:lock v:ext="edit" aspectratio="f"/>
                      <v:shape id="_x0000_s1026" o:spid="_x0000_s1026" o:spt="202" type="#_x0000_t202" style="position:absolute;left:8759;top:316225;height:1552;width:1855;" fillcolor="#FFFFFF [3201]" filled="t" stroked="t" coordsize="21600,21600" o:gfxdata="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aHlYe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keepNext w:val="0"/>
                                <w:keepLines w:val="0"/>
                                <w:pageBreakBefore w:val="0"/>
                                <w:kinsoku/>
                                <w:wordWrap/>
                                <w:overflowPunct/>
                                <w:topLinePunct w:val="0"/>
                                <w:bidi w:val="0"/>
                                <w:adjustRightInd w:val="0"/>
                                <w:spacing w:line="360" w:lineRule="auto"/>
                                <w:ind w:right="0" w:firstLine="0" w:firstLineChars="0"/>
                                <w:jc w:val="center"/>
                                <w:textAlignment w:val="auto"/>
                                <w:rPr>
                                  <w:rFonts w:hint="eastAsia"/>
                                  <w:sz w:val="18"/>
                                  <w:szCs w:val="18"/>
                                  <w:lang w:val="en-US" w:eastAsia="zh-CN"/>
                                </w:rPr>
                              </w:pPr>
                              <w:r>
                                <w:rPr>
                                  <w:rFonts w:hint="eastAsia"/>
                                  <w:sz w:val="18"/>
                                  <w:szCs w:val="18"/>
                                  <w:lang w:val="en-US" w:eastAsia="zh-CN"/>
                                </w:rPr>
                                <w:t>图例</w:t>
                              </w:r>
                            </w:p>
                            <w:p>
                              <w:pPr>
                                <w:pStyle w:val="27"/>
                                <w:keepNext w:val="0"/>
                                <w:keepLines w:val="0"/>
                                <w:pageBreakBefore w:val="0"/>
                                <w:kinsoku/>
                                <w:wordWrap/>
                                <w:overflowPunct/>
                                <w:topLinePunct w:val="0"/>
                                <w:bidi w:val="0"/>
                                <w:adjustRightInd w:val="0"/>
                                <w:spacing w:before="0" w:after="0" w:line="360" w:lineRule="auto"/>
                                <w:ind w:left="0" w:leftChars="0" w:right="0" w:firstLine="0" w:firstLineChars="0"/>
                                <w:textAlignment w:val="auto"/>
                                <w:rPr>
                                  <w:rFonts w:hint="eastAsia"/>
                                  <w:sz w:val="18"/>
                                  <w:szCs w:val="18"/>
                                  <w:lang w:val="en-US" w:eastAsia="zh-CN"/>
                                </w:rPr>
                              </w:pPr>
                              <w:r>
                                <w:rPr>
                                  <w:rFonts w:hint="eastAsia"/>
                                  <w:sz w:val="18"/>
                                  <w:szCs w:val="18"/>
                                  <w:lang w:val="en-US" w:eastAsia="zh-CN"/>
                                </w:rPr>
                                <w:t>项目所在地</w:t>
                              </w:r>
                            </w:p>
                            <w:p>
                              <w:pPr>
                                <w:keepNext w:val="0"/>
                                <w:keepLines w:val="0"/>
                                <w:pageBreakBefore w:val="0"/>
                                <w:kinsoku/>
                                <w:wordWrap/>
                                <w:overflowPunct/>
                                <w:topLinePunct w:val="0"/>
                                <w:bidi w:val="0"/>
                                <w:adjustRightInd w:val="0"/>
                                <w:spacing w:line="360" w:lineRule="auto"/>
                                <w:ind w:right="0" w:firstLine="0" w:firstLineChars="0"/>
                                <w:textAlignment w:val="auto"/>
                                <w:rPr>
                                  <w:rFonts w:hint="eastAsia"/>
                                  <w:sz w:val="18"/>
                                  <w:szCs w:val="18"/>
                                  <w:lang w:val="en-US" w:eastAsia="zh-CN"/>
                                </w:rPr>
                              </w:pPr>
                              <w:r>
                                <w:rPr>
                                  <w:rFonts w:hint="eastAsia"/>
                                  <w:sz w:val="18"/>
                                  <w:szCs w:val="18"/>
                                  <w:lang w:val="en-US" w:eastAsia="zh-CN"/>
                                </w:rPr>
                                <w:t>声评价范围</w:t>
                              </w:r>
                            </w:p>
                            <w:p>
                              <w:pPr>
                                <w:keepNext w:val="0"/>
                                <w:keepLines w:val="0"/>
                                <w:pageBreakBefore w:val="0"/>
                                <w:kinsoku/>
                                <w:wordWrap/>
                                <w:overflowPunct/>
                                <w:topLinePunct w:val="0"/>
                                <w:bidi w:val="0"/>
                                <w:adjustRightInd w:val="0"/>
                                <w:spacing w:line="360" w:lineRule="auto"/>
                                <w:ind w:right="0" w:firstLine="0" w:firstLineChars="0"/>
                                <w:textAlignment w:val="auto"/>
                                <w:rPr>
                                  <w:rFonts w:hint="default"/>
                                  <w:sz w:val="18"/>
                                  <w:szCs w:val="18"/>
                                  <w:lang w:val="en-US" w:eastAsia="zh-CN"/>
                                </w:rPr>
                              </w:pPr>
                              <w:r>
                                <w:rPr>
                                  <w:rFonts w:hint="eastAsia"/>
                                  <w:sz w:val="18"/>
                                  <w:szCs w:val="18"/>
                                  <w:lang w:val="en-US" w:eastAsia="zh-CN"/>
                                </w:rPr>
                                <w:t>大气评价范围</w:t>
                              </w:r>
                            </w:p>
                          </w:txbxContent>
                        </v:textbox>
                      </v:shape>
                      <v:rect id="_x0000_s1026" o:spid="_x0000_s1026" o:spt="1" style="position:absolute;left:9977;top:316712;height:206;width:487;v-text-anchor:middle;" fillcolor="#6F62D6" filled="t" stroked="t" coordsize="21600,21600" o:gfxdata="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vEbXtwAAANsAAAAP&#10;AAAAAAAAAAEAIAAAACIAAABkcnMvZG93bnJldi54bWxQSwECFAAUAAAACACHTuJAMy8FnjsAAAA5&#10;AAAAEAAAAAAAAAABACAAAAAGAQAAZHJzL3NoYXBleG1sLnhtbFBLBQYAAAAABgAGAFsBAACwAwAA&#10;AAA=&#10;">
                        <v:fill on="t" focussize="0,0"/>
                        <v:stroke weight="1pt" color="#2E75B6 [2404]" miterlimit="8" joinstyle="miter"/>
                        <v:imagedata o:title=""/>
                        <o:lock v:ext="edit" aspectratio="f"/>
                      </v:rect>
                      <v:rect id="_x0000_s1026" o:spid="_x0000_s1026" o:spt="1" style="position:absolute;left:10045;top:317025;height:187;width:450;v-text-anchor:middle;" filled="f" stroked="t" coordsize="21600,21600" o:gfxdata="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YqDxvQAA&#10;ANsAAAAPAAAAAAAAAAEAIAAAACIAAABkcnMvZG93bnJldi54bWxQSwECFAAUAAAACACHTuJAMy8F&#10;njsAAAA5AAAAEAAAAAAAAAABACAAAAAMAQAAZHJzL3NoYXBleG1sLnhtbFBLBQYAAAAABgAGAFsB&#10;AAC2AwAAAAA=&#10;">
                        <v:fill on="f" focussize="0,0"/>
                        <v:stroke weight="1pt" color="#FF0000 [2404]" miterlimit="8" joinstyle="miter"/>
                        <v:imagedata o:title=""/>
                        <o:lock v:ext="edit" aspectratio="f"/>
                      </v:rect>
                      <v:rect id="_x0000_s1026" o:spid="_x0000_s1026" o:spt="1" style="position:absolute;left:10074;top:317389;height:187;width:450;v-text-anchor:middle;" filled="f" stroked="t" coordsize="21600,21600" o:gfxdata="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GyLb4A&#10;AADbAAAADwAAAAAAAAABACAAAAAiAAAAZHJzL2Rvd25yZXYueG1sUEsBAhQAFAAAAAgAh07iQDMv&#10;BZ47AAAAOQAAABAAAAAAAAAAAQAgAAAADQEAAGRycy9zaGFwZXhtbC54bWxQSwUGAAAAAAYABgBb&#10;AQAAtwMAAAAA&#10;">
                        <v:fill on="f" focussize="0,0"/>
                        <v:stroke weight="1pt" color="#FFFF00 [2404]" miterlimit="8" joinstyle="miter"/>
                        <v:imagedata o:title=""/>
                        <o:lock v:ext="edit" aspectratio="f"/>
                      </v:rect>
                    </v:group>
                  </w:pict>
                </mc:Fallback>
              </mc:AlternateContent>
            </w:r>
            <w:r>
              <w:drawing>
                <wp:inline distT="0" distB="0" distL="114300" distR="114300">
                  <wp:extent cx="5005070" cy="4518660"/>
                  <wp:effectExtent l="0" t="0" r="5080" b="1524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6"/>
                          <a:stretch>
                            <a:fillRect/>
                          </a:stretch>
                        </pic:blipFill>
                        <pic:spPr>
                          <a:xfrm>
                            <a:off x="0" y="0"/>
                            <a:ext cx="5005070" cy="4518660"/>
                          </a:xfrm>
                          <a:prstGeom prst="rect">
                            <a:avLst/>
                          </a:prstGeom>
                          <a:noFill/>
                          <a:ln>
                            <a:noFill/>
                          </a:ln>
                        </pic:spPr>
                      </pic:pic>
                    </a:graphicData>
                  </a:graphic>
                </wp:inline>
              </w:drawing>
            </w:r>
          </w:p>
          <w:p>
            <w:pPr>
              <w:spacing w:line="240" w:lineRule="auto"/>
              <w:jc w:val="center"/>
              <w:rPr>
                <w:color w:val="auto"/>
              </w:rPr>
            </w:pPr>
            <w:r>
              <w:rPr>
                <w:rFonts w:hint="default" w:ascii="Times New Roman" w:hAnsi="Times New Roman" w:cs="Times New Roman"/>
                <w:b/>
                <w:bCs/>
                <w:color w:val="auto"/>
                <w:kern w:val="0"/>
                <w:szCs w:val="21"/>
                <w:highlight w:val="none"/>
                <w:lang w:val="en-US" w:eastAsia="zh-CN"/>
              </w:rPr>
              <w:t>图3-</w:t>
            </w:r>
            <w:r>
              <w:rPr>
                <w:rFonts w:hint="eastAsia" w:cs="Times New Roman"/>
                <w:b/>
                <w:bCs/>
                <w:color w:val="auto"/>
                <w:kern w:val="0"/>
                <w:szCs w:val="21"/>
                <w:highlight w:val="none"/>
                <w:lang w:val="en-US" w:eastAsia="zh-CN"/>
              </w:rPr>
              <w:t xml:space="preserve">2 </w:t>
            </w:r>
            <w:r>
              <w:rPr>
                <w:rFonts w:hint="default" w:ascii="Times New Roman" w:hAnsi="Times New Roman" w:cs="Times New Roman"/>
                <w:b/>
                <w:bCs/>
                <w:color w:val="auto"/>
                <w:kern w:val="0"/>
                <w:szCs w:val="21"/>
                <w:highlight w:val="none"/>
                <w:lang w:val="en-US" w:eastAsia="zh-CN"/>
              </w:rPr>
              <w:t>项目</w:t>
            </w:r>
            <w:r>
              <w:rPr>
                <w:rFonts w:hint="default" w:ascii="Times New Roman" w:hAnsi="Times New Roman" w:eastAsia="宋体" w:cs="Times New Roman"/>
                <w:b/>
                <w:bCs/>
                <w:color w:val="auto"/>
                <w:kern w:val="0"/>
                <w:szCs w:val="21"/>
                <w:highlight w:val="none"/>
                <w:lang w:val="en-US" w:eastAsia="zh-CN"/>
              </w:rPr>
              <w:t>环境</w:t>
            </w:r>
            <w:r>
              <w:rPr>
                <w:rFonts w:hint="eastAsia" w:ascii="Times New Roman" w:hAnsi="Times New Roman" w:cs="Times New Roman"/>
                <w:b/>
                <w:bCs/>
                <w:color w:val="auto"/>
                <w:kern w:val="0"/>
                <w:szCs w:val="21"/>
                <w:highlight w:val="none"/>
                <w:lang w:val="en-US" w:eastAsia="zh-CN"/>
              </w:rPr>
              <w:t>敏感</w:t>
            </w:r>
            <w:r>
              <w:rPr>
                <w:rFonts w:hint="default" w:ascii="Times New Roman" w:hAnsi="Times New Roman" w:eastAsia="宋体" w:cs="Times New Roman"/>
                <w:b/>
                <w:bCs/>
                <w:color w:val="auto"/>
                <w:kern w:val="0"/>
                <w:szCs w:val="21"/>
                <w:highlight w:val="none"/>
                <w:lang w:val="en-US" w:eastAsia="zh-CN"/>
              </w:rPr>
              <w:t>目标</w:t>
            </w:r>
            <w:r>
              <w:rPr>
                <w:rFonts w:hint="default" w:ascii="Times New Roman" w:hAnsi="Times New Roman" w:cs="Times New Roman"/>
                <w:b/>
                <w:bCs/>
                <w:color w:val="auto"/>
                <w:kern w:val="0"/>
                <w:szCs w:val="21"/>
                <w:highlight w:val="none"/>
                <w:lang w:val="en-US" w:eastAsia="zh-CN"/>
              </w:rPr>
              <w:t>分布图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81" w:type="dxa"/>
            <w:tcMar>
              <w:left w:w="28" w:type="dxa"/>
              <w:right w:w="28" w:type="dxa"/>
            </w:tcMar>
            <w:vAlign w:val="center"/>
          </w:tcPr>
          <w:p>
            <w:pPr>
              <w:adjustRightInd w:val="0"/>
              <w:snapToGrid w:val="0"/>
              <w:jc w:val="center"/>
              <w:rPr>
                <w:color w:val="auto"/>
                <w:kern w:val="0"/>
                <w:sz w:val="24"/>
              </w:rPr>
            </w:pPr>
            <w:r>
              <w:rPr>
                <w:color w:val="auto"/>
                <w:kern w:val="0"/>
                <w:sz w:val="24"/>
              </w:rPr>
              <w:t>污染</w:t>
            </w:r>
          </w:p>
          <w:p>
            <w:pPr>
              <w:adjustRightInd w:val="0"/>
              <w:snapToGrid w:val="0"/>
              <w:jc w:val="center"/>
              <w:rPr>
                <w:color w:val="auto"/>
                <w:kern w:val="0"/>
                <w:sz w:val="24"/>
              </w:rPr>
            </w:pPr>
            <w:r>
              <w:rPr>
                <w:color w:val="auto"/>
                <w:kern w:val="0"/>
                <w:sz w:val="24"/>
              </w:rPr>
              <w:t>物排</w:t>
            </w:r>
          </w:p>
          <w:p>
            <w:pPr>
              <w:adjustRightInd w:val="0"/>
              <w:snapToGrid w:val="0"/>
              <w:jc w:val="center"/>
              <w:rPr>
                <w:color w:val="auto"/>
                <w:kern w:val="0"/>
                <w:sz w:val="24"/>
              </w:rPr>
            </w:pPr>
            <w:r>
              <w:rPr>
                <w:color w:val="auto"/>
                <w:kern w:val="0"/>
                <w:sz w:val="24"/>
              </w:rPr>
              <w:t>放控</w:t>
            </w:r>
          </w:p>
          <w:p>
            <w:pPr>
              <w:adjustRightInd w:val="0"/>
              <w:snapToGrid w:val="0"/>
              <w:jc w:val="center"/>
              <w:rPr>
                <w:color w:val="auto"/>
                <w:kern w:val="0"/>
                <w:sz w:val="24"/>
              </w:rPr>
            </w:pPr>
            <w:r>
              <w:rPr>
                <w:color w:val="auto"/>
                <w:kern w:val="0"/>
                <w:sz w:val="24"/>
              </w:rPr>
              <w:t>制标</w:t>
            </w:r>
          </w:p>
          <w:p>
            <w:pPr>
              <w:adjustRightInd w:val="0"/>
              <w:snapToGrid w:val="0"/>
              <w:jc w:val="center"/>
              <w:rPr>
                <w:color w:val="auto"/>
                <w:kern w:val="0"/>
                <w:sz w:val="24"/>
              </w:rPr>
            </w:pPr>
            <w:r>
              <w:rPr>
                <w:color w:val="auto"/>
                <w:kern w:val="0"/>
                <w:sz w:val="24"/>
              </w:rPr>
              <w:t>准</w:t>
            </w:r>
          </w:p>
        </w:tc>
        <w:tc>
          <w:tcPr>
            <w:tcW w:w="915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color w:val="auto"/>
                <w:sz w:val="24"/>
                <w:highlight w:val="none"/>
                <w:lang w:val="en-US" w:eastAsia="zh-CN"/>
              </w:rPr>
            </w:pPr>
            <w:r>
              <w:rPr>
                <w:rFonts w:hint="eastAsia"/>
                <w:color w:val="auto"/>
                <w:sz w:val="24"/>
                <w:highlight w:val="none"/>
                <w:lang w:val="en-US" w:eastAsia="zh-CN"/>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bCs/>
                <w:color w:val="auto"/>
                <w:highlight w:val="none"/>
              </w:rPr>
            </w:pPr>
            <w:r>
              <w:rPr>
                <w:rFonts w:hint="eastAsia"/>
                <w:color w:val="auto"/>
                <w:sz w:val="24"/>
                <w:highlight w:val="none"/>
                <w:lang w:eastAsia="zh-CN"/>
              </w:rPr>
              <w:t>污水处理站恶臭气体</w:t>
            </w:r>
            <w:r>
              <w:rPr>
                <w:rFonts w:hint="eastAsia"/>
                <w:color w:val="auto"/>
                <w:sz w:val="24"/>
                <w:highlight w:val="none"/>
                <w:lang w:val="en-US" w:eastAsia="zh-CN"/>
              </w:rPr>
              <w:t>有组织排放及污水站周界无组织废气</w:t>
            </w:r>
            <w:r>
              <w:rPr>
                <w:rFonts w:hint="eastAsia"/>
                <w:color w:val="auto"/>
                <w:sz w:val="24"/>
                <w:highlight w:val="none"/>
                <w:lang w:eastAsia="zh-CN"/>
              </w:rPr>
              <w:t>执行</w:t>
            </w:r>
            <w:r>
              <w:rPr>
                <w:rFonts w:hint="eastAsia"/>
                <w:color w:val="auto"/>
                <w:sz w:val="24"/>
                <w:szCs w:val="24"/>
                <w:highlight w:val="none"/>
                <w:lang w:eastAsia="zh-CN"/>
              </w:rPr>
              <w:t>《</w:t>
            </w:r>
            <w:r>
              <w:rPr>
                <w:rFonts w:hint="eastAsia"/>
                <w:bCs/>
                <w:color w:val="auto"/>
                <w:sz w:val="24"/>
                <w:szCs w:val="24"/>
                <w:highlight w:val="none"/>
              </w:rPr>
              <w:t>恶臭污染物排放标准》（GB14554-93）</w:t>
            </w:r>
            <w:r>
              <w:rPr>
                <w:rFonts w:hint="eastAsia"/>
                <w:bCs/>
                <w:color w:val="auto"/>
                <w:sz w:val="24"/>
                <w:szCs w:val="24"/>
                <w:highlight w:val="none"/>
                <w:lang w:eastAsia="zh-CN"/>
              </w:rPr>
              <w:t>，</w:t>
            </w:r>
            <w:r>
              <w:rPr>
                <w:color w:val="auto"/>
                <w:sz w:val="24"/>
                <w:szCs w:val="24"/>
                <w:highlight w:val="none"/>
              </w:rPr>
              <w:t>详见</w:t>
            </w:r>
            <w:r>
              <w:rPr>
                <w:rFonts w:hint="eastAsia"/>
                <w:color w:val="auto"/>
                <w:sz w:val="24"/>
                <w:szCs w:val="24"/>
                <w:highlight w:val="none"/>
                <w:lang w:val="en-US" w:eastAsia="zh-CN"/>
              </w:rPr>
              <w:t>下</w:t>
            </w:r>
            <w:r>
              <w:rPr>
                <w:rFonts w:hint="eastAsia"/>
                <w:color w:val="auto"/>
                <w:sz w:val="24"/>
                <w:highlight w:val="none"/>
                <w:lang w:val="en-US" w:eastAsia="zh-CN"/>
              </w:rPr>
              <w:t>表</w:t>
            </w:r>
            <w:r>
              <w:rPr>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highlight w:val="none"/>
              </w:rPr>
            </w:pPr>
            <w:r>
              <w:rPr>
                <w:b/>
                <w:bCs/>
                <w:color w:val="auto"/>
                <w:sz w:val="21"/>
                <w:szCs w:val="21"/>
                <w:highlight w:val="none"/>
              </w:rPr>
              <w:t>表3-</w:t>
            </w:r>
            <w:r>
              <w:rPr>
                <w:rFonts w:hint="eastAsia"/>
                <w:b/>
                <w:bCs/>
                <w:color w:val="auto"/>
                <w:sz w:val="21"/>
                <w:szCs w:val="21"/>
                <w:highlight w:val="none"/>
                <w:lang w:val="en-US" w:eastAsia="zh-CN"/>
              </w:rPr>
              <w:t xml:space="preserve">5 </w:t>
            </w:r>
            <w:r>
              <w:rPr>
                <w:rFonts w:hint="eastAsia"/>
                <w:b/>
                <w:bCs/>
                <w:color w:val="auto"/>
                <w:sz w:val="21"/>
                <w:szCs w:val="21"/>
                <w:highlight w:val="none"/>
              </w:rPr>
              <w:t>《恶臭污染物排放标准》（GB14554-93）</w:t>
            </w:r>
          </w:p>
          <w:tbl>
            <w:tblPr>
              <w:tblStyle w:val="29"/>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93"/>
              <w:gridCol w:w="1289"/>
              <w:gridCol w:w="2636"/>
              <w:gridCol w:w="993"/>
              <w:gridCol w:w="9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593" w:type="dxa"/>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r>
                    <w:rPr>
                      <w:rFonts w:ascii="Times New Roman" w:hAnsi="Times New Roman"/>
                      <w:bCs/>
                      <w:color w:val="auto"/>
                      <w:sz w:val="21"/>
                      <w:szCs w:val="21"/>
                    </w:rPr>
                    <w:t>标准名称及级（类）别</w:t>
                  </w:r>
                </w:p>
              </w:tc>
              <w:tc>
                <w:tcPr>
                  <w:tcW w:w="3925" w:type="dxa"/>
                  <w:gridSpan w:val="2"/>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r>
                    <w:rPr>
                      <w:rFonts w:ascii="Times New Roman" w:hAnsi="Times New Roman"/>
                      <w:bCs/>
                      <w:color w:val="auto"/>
                      <w:sz w:val="21"/>
                      <w:szCs w:val="21"/>
                    </w:rPr>
                    <w:t>项目</w:t>
                  </w:r>
                </w:p>
              </w:tc>
              <w:tc>
                <w:tcPr>
                  <w:tcW w:w="993" w:type="dxa"/>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r>
                    <w:rPr>
                      <w:rFonts w:ascii="Times New Roman" w:hAnsi="Times New Roman"/>
                      <w:bCs/>
                      <w:color w:val="auto"/>
                      <w:sz w:val="21"/>
                      <w:szCs w:val="21"/>
                    </w:rPr>
                    <w:t>单位</w:t>
                  </w:r>
                </w:p>
              </w:tc>
              <w:tc>
                <w:tcPr>
                  <w:tcW w:w="993" w:type="dxa"/>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r>
                    <w:rPr>
                      <w:rFonts w:ascii="Times New Roman" w:hAnsi="Times New Roman"/>
                      <w:bCs/>
                      <w:color w:val="auto"/>
                      <w:sz w:val="21"/>
                      <w:szCs w:val="21"/>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593" w:type="dxa"/>
                  <w:vMerge w:val="restart"/>
                  <w:tcBorders>
                    <w:tl2br w:val="nil"/>
                    <w:tr2bl w:val="nil"/>
                  </w:tcBorders>
                  <w:vAlign w:val="center"/>
                </w:tcPr>
                <w:p>
                  <w:pPr>
                    <w:jc w:val="center"/>
                    <w:rPr>
                      <w:bCs/>
                      <w:color w:val="auto"/>
                      <w:szCs w:val="21"/>
                    </w:rPr>
                  </w:pPr>
                  <w:bookmarkStart w:id="36" w:name="_Hlk20300256"/>
                  <w:r>
                    <w:rPr>
                      <w:bCs/>
                      <w:color w:val="auto"/>
                      <w:szCs w:val="21"/>
                    </w:rPr>
                    <w:t>《恶臭污染物排放标准》（GB14554-93）</w:t>
                  </w:r>
                  <w:bookmarkEnd w:id="36"/>
                </w:p>
              </w:tc>
              <w:tc>
                <w:tcPr>
                  <w:tcW w:w="1289" w:type="dxa"/>
                  <w:vMerge w:val="restart"/>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r>
                    <w:rPr>
                      <w:rFonts w:ascii="Times New Roman" w:hAnsi="Times New Roman"/>
                      <w:bCs/>
                      <w:color w:val="auto"/>
                      <w:sz w:val="21"/>
                      <w:szCs w:val="21"/>
                    </w:rPr>
                    <w:t>氨</w:t>
                  </w:r>
                </w:p>
              </w:tc>
              <w:tc>
                <w:tcPr>
                  <w:tcW w:w="2636" w:type="dxa"/>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r>
                    <w:rPr>
                      <w:rFonts w:ascii="Times New Roman" w:hAnsi="Times New Roman"/>
                      <w:bCs/>
                      <w:color w:val="auto"/>
                      <w:sz w:val="21"/>
                      <w:szCs w:val="21"/>
                    </w:rPr>
                    <w:t>厂界标准值</w:t>
                  </w:r>
                </w:p>
              </w:tc>
              <w:tc>
                <w:tcPr>
                  <w:tcW w:w="993" w:type="dxa"/>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r>
                    <w:rPr>
                      <w:rFonts w:ascii="Times New Roman" w:hAnsi="Times New Roman"/>
                      <w:bCs/>
                      <w:color w:val="auto"/>
                      <w:sz w:val="21"/>
                      <w:szCs w:val="21"/>
                    </w:rPr>
                    <w:t>mg/m</w:t>
                  </w:r>
                  <w:r>
                    <w:rPr>
                      <w:rFonts w:ascii="Times New Roman" w:hAnsi="Times New Roman"/>
                      <w:bCs/>
                      <w:color w:val="auto"/>
                      <w:sz w:val="21"/>
                      <w:szCs w:val="21"/>
                      <w:vertAlign w:val="superscript"/>
                    </w:rPr>
                    <w:t>3</w:t>
                  </w:r>
                </w:p>
              </w:tc>
              <w:tc>
                <w:tcPr>
                  <w:tcW w:w="993" w:type="dxa"/>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r>
                    <w:rPr>
                      <w:rFonts w:ascii="Times New Roman" w:hAnsi="Times New Roman"/>
                      <w:bCs/>
                      <w:color w:val="auto"/>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593" w:type="dxa"/>
                  <w:vMerge w:val="continue"/>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p>
              </w:tc>
              <w:tc>
                <w:tcPr>
                  <w:tcW w:w="1289" w:type="dxa"/>
                  <w:vMerge w:val="continue"/>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p>
              </w:tc>
              <w:tc>
                <w:tcPr>
                  <w:tcW w:w="2636" w:type="dxa"/>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r>
                    <w:rPr>
                      <w:rFonts w:ascii="Times New Roman" w:hAnsi="Times New Roman"/>
                      <w:bCs/>
                      <w:color w:val="auto"/>
                      <w:sz w:val="21"/>
                      <w:szCs w:val="21"/>
                    </w:rPr>
                    <w:t>最高允许排放速率（15m）</w:t>
                  </w:r>
                </w:p>
              </w:tc>
              <w:tc>
                <w:tcPr>
                  <w:tcW w:w="993" w:type="dxa"/>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r>
                    <w:rPr>
                      <w:rFonts w:ascii="Times New Roman" w:hAnsi="Times New Roman"/>
                      <w:bCs/>
                      <w:color w:val="auto"/>
                      <w:sz w:val="21"/>
                      <w:szCs w:val="21"/>
                    </w:rPr>
                    <w:t>kg/h</w:t>
                  </w:r>
                </w:p>
              </w:tc>
              <w:tc>
                <w:tcPr>
                  <w:tcW w:w="993" w:type="dxa"/>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r>
                    <w:rPr>
                      <w:rFonts w:ascii="Times New Roman" w:hAnsi="Times New Roman"/>
                      <w:bCs/>
                      <w:color w:val="auto"/>
                      <w:sz w:val="21"/>
                      <w:szCs w:val="21"/>
                    </w:rPr>
                    <w:t>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593" w:type="dxa"/>
                  <w:vMerge w:val="continue"/>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p>
              </w:tc>
              <w:tc>
                <w:tcPr>
                  <w:tcW w:w="1289" w:type="dxa"/>
                  <w:vMerge w:val="restart"/>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r>
                    <w:rPr>
                      <w:rFonts w:ascii="Times New Roman" w:hAnsi="Times New Roman"/>
                      <w:bCs/>
                      <w:color w:val="auto"/>
                      <w:sz w:val="21"/>
                      <w:szCs w:val="21"/>
                    </w:rPr>
                    <w:t>硫化氢</w:t>
                  </w:r>
                </w:p>
              </w:tc>
              <w:tc>
                <w:tcPr>
                  <w:tcW w:w="2636" w:type="dxa"/>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r>
                    <w:rPr>
                      <w:rFonts w:ascii="Times New Roman" w:hAnsi="Times New Roman"/>
                      <w:bCs/>
                      <w:color w:val="auto"/>
                      <w:sz w:val="21"/>
                      <w:szCs w:val="21"/>
                    </w:rPr>
                    <w:t>厂界标准值</w:t>
                  </w:r>
                </w:p>
              </w:tc>
              <w:tc>
                <w:tcPr>
                  <w:tcW w:w="993" w:type="dxa"/>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r>
                    <w:rPr>
                      <w:rFonts w:ascii="Times New Roman" w:hAnsi="Times New Roman"/>
                      <w:bCs/>
                      <w:color w:val="auto"/>
                      <w:sz w:val="21"/>
                      <w:szCs w:val="21"/>
                    </w:rPr>
                    <w:t>mg/m</w:t>
                  </w:r>
                  <w:r>
                    <w:rPr>
                      <w:rFonts w:ascii="Times New Roman" w:hAnsi="Times New Roman"/>
                      <w:bCs/>
                      <w:color w:val="auto"/>
                      <w:sz w:val="21"/>
                      <w:szCs w:val="21"/>
                      <w:vertAlign w:val="superscript"/>
                    </w:rPr>
                    <w:t>3</w:t>
                  </w:r>
                </w:p>
              </w:tc>
              <w:tc>
                <w:tcPr>
                  <w:tcW w:w="993" w:type="dxa"/>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r>
                    <w:rPr>
                      <w:rFonts w:ascii="Times New Roman" w:hAnsi="Times New Roman"/>
                      <w:bCs/>
                      <w:color w:val="auto"/>
                      <w:sz w:val="21"/>
                      <w:szCs w:val="21"/>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593" w:type="dxa"/>
                  <w:vMerge w:val="continue"/>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p>
              </w:tc>
              <w:tc>
                <w:tcPr>
                  <w:tcW w:w="1289" w:type="dxa"/>
                  <w:vMerge w:val="continue"/>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p>
              </w:tc>
              <w:tc>
                <w:tcPr>
                  <w:tcW w:w="2636" w:type="dxa"/>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r>
                    <w:rPr>
                      <w:rFonts w:ascii="Times New Roman" w:hAnsi="Times New Roman"/>
                      <w:bCs/>
                      <w:color w:val="auto"/>
                      <w:sz w:val="21"/>
                      <w:szCs w:val="21"/>
                    </w:rPr>
                    <w:t>最高允许排放速率（15m）</w:t>
                  </w:r>
                </w:p>
              </w:tc>
              <w:tc>
                <w:tcPr>
                  <w:tcW w:w="993" w:type="dxa"/>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r>
                    <w:rPr>
                      <w:rFonts w:ascii="Times New Roman" w:hAnsi="Times New Roman"/>
                      <w:bCs/>
                      <w:color w:val="auto"/>
                      <w:sz w:val="21"/>
                      <w:szCs w:val="21"/>
                    </w:rPr>
                    <w:t>kg/h</w:t>
                  </w:r>
                </w:p>
              </w:tc>
              <w:tc>
                <w:tcPr>
                  <w:tcW w:w="993" w:type="dxa"/>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r>
                    <w:rPr>
                      <w:rFonts w:ascii="Times New Roman" w:hAnsi="Times New Roman"/>
                      <w:bCs/>
                      <w:color w:val="auto"/>
                      <w:sz w:val="21"/>
                      <w:szCs w:val="21"/>
                    </w:rPr>
                    <w:t>0.33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593" w:type="dxa"/>
                  <w:vMerge w:val="continue"/>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p>
              </w:tc>
              <w:tc>
                <w:tcPr>
                  <w:tcW w:w="1289" w:type="dxa"/>
                  <w:vMerge w:val="restart"/>
                  <w:tcBorders>
                    <w:tl2br w:val="nil"/>
                    <w:tr2bl w:val="nil"/>
                  </w:tcBorders>
                  <w:vAlign w:val="center"/>
                </w:tcPr>
                <w:p>
                  <w:pPr>
                    <w:pStyle w:val="106"/>
                    <w:autoSpaceDE w:val="0"/>
                    <w:autoSpaceDN w:val="0"/>
                    <w:spacing w:line="240" w:lineRule="auto"/>
                    <w:contextualSpacing/>
                    <w:jc w:val="center"/>
                    <w:textAlignment w:val="bottom"/>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bCs/>
                      <w:color w:val="auto"/>
                      <w:sz w:val="21"/>
                      <w:szCs w:val="21"/>
                      <w:highlight w:val="none"/>
                      <w:lang w:eastAsia="zh-CN"/>
                    </w:rPr>
                    <w:t>臭气浓度</w:t>
                  </w:r>
                </w:p>
              </w:tc>
              <w:tc>
                <w:tcPr>
                  <w:tcW w:w="2636" w:type="dxa"/>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eastAsia="宋体" w:cs="Times New Roman"/>
                      <w:bCs/>
                      <w:color w:val="auto"/>
                      <w:kern w:val="0"/>
                      <w:sz w:val="21"/>
                      <w:szCs w:val="21"/>
                      <w:highlight w:val="none"/>
                      <w:lang w:val="en-US" w:eastAsia="zh-CN" w:bidi="ar-SA"/>
                    </w:rPr>
                  </w:pPr>
                  <w:r>
                    <w:rPr>
                      <w:rFonts w:ascii="Times New Roman" w:hAnsi="Times New Roman"/>
                      <w:bCs/>
                      <w:color w:val="auto"/>
                      <w:sz w:val="21"/>
                      <w:szCs w:val="21"/>
                      <w:highlight w:val="none"/>
                    </w:rPr>
                    <w:t>厂界标准值</w:t>
                  </w:r>
                </w:p>
              </w:tc>
              <w:tc>
                <w:tcPr>
                  <w:tcW w:w="993" w:type="dxa"/>
                  <w:tcBorders>
                    <w:tl2br w:val="nil"/>
                    <w:tr2bl w:val="nil"/>
                  </w:tcBorders>
                  <w:vAlign w:val="center"/>
                </w:tcPr>
                <w:p>
                  <w:pPr>
                    <w:pStyle w:val="106"/>
                    <w:autoSpaceDE w:val="0"/>
                    <w:autoSpaceDN w:val="0"/>
                    <w:spacing w:line="240" w:lineRule="auto"/>
                    <w:contextualSpacing/>
                    <w:jc w:val="center"/>
                    <w:textAlignment w:val="bottom"/>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bCs/>
                      <w:color w:val="auto"/>
                      <w:sz w:val="21"/>
                      <w:szCs w:val="21"/>
                      <w:highlight w:val="none"/>
                      <w:lang w:eastAsia="zh-CN"/>
                    </w:rPr>
                    <w:t>无量纲</w:t>
                  </w:r>
                </w:p>
              </w:tc>
              <w:tc>
                <w:tcPr>
                  <w:tcW w:w="993" w:type="dxa"/>
                  <w:tcBorders>
                    <w:tl2br w:val="nil"/>
                    <w:tr2bl w:val="nil"/>
                  </w:tcBorders>
                  <w:vAlign w:val="center"/>
                </w:tcPr>
                <w:p>
                  <w:pPr>
                    <w:pStyle w:val="106"/>
                    <w:autoSpaceDE w:val="0"/>
                    <w:autoSpaceDN w:val="0"/>
                    <w:spacing w:line="240" w:lineRule="auto"/>
                    <w:contextualSpacing/>
                    <w:jc w:val="center"/>
                    <w:textAlignment w:val="bottom"/>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bCs/>
                      <w:color w:val="auto"/>
                      <w:sz w:val="21"/>
                      <w:szCs w:val="21"/>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593" w:type="dxa"/>
                  <w:vMerge w:val="continue"/>
                  <w:tcBorders>
                    <w:tl2br w:val="nil"/>
                    <w:tr2bl w:val="nil"/>
                  </w:tcBorders>
                  <w:vAlign w:val="center"/>
                </w:tcPr>
                <w:p>
                  <w:pPr>
                    <w:pStyle w:val="106"/>
                    <w:autoSpaceDE w:val="0"/>
                    <w:autoSpaceDN w:val="0"/>
                    <w:spacing w:line="240" w:lineRule="auto"/>
                    <w:contextualSpacing/>
                    <w:jc w:val="center"/>
                    <w:textAlignment w:val="bottom"/>
                    <w:rPr>
                      <w:rFonts w:ascii="Times New Roman" w:hAnsi="Times New Roman"/>
                      <w:bCs/>
                      <w:color w:val="auto"/>
                      <w:sz w:val="21"/>
                      <w:szCs w:val="21"/>
                    </w:rPr>
                  </w:pPr>
                </w:p>
              </w:tc>
              <w:tc>
                <w:tcPr>
                  <w:tcW w:w="1289" w:type="dxa"/>
                  <w:vMerge w:val="continue"/>
                  <w:tcBorders>
                    <w:tl2br w:val="nil"/>
                    <w:tr2bl w:val="nil"/>
                  </w:tcBorders>
                  <w:vAlign w:val="center"/>
                </w:tcPr>
                <w:p>
                  <w:pPr>
                    <w:pStyle w:val="106"/>
                    <w:autoSpaceDE w:val="0"/>
                    <w:autoSpaceDN w:val="0"/>
                    <w:spacing w:line="240" w:lineRule="auto"/>
                    <w:contextualSpacing/>
                    <w:jc w:val="center"/>
                    <w:textAlignment w:val="bottom"/>
                    <w:rPr>
                      <w:rFonts w:hint="eastAsia" w:ascii="Times New Roman" w:hAnsi="Times New Roman"/>
                      <w:bCs/>
                      <w:color w:val="auto"/>
                      <w:sz w:val="21"/>
                      <w:szCs w:val="21"/>
                      <w:highlight w:val="none"/>
                      <w:lang w:eastAsia="zh-CN"/>
                    </w:rPr>
                  </w:pPr>
                </w:p>
              </w:tc>
              <w:tc>
                <w:tcPr>
                  <w:tcW w:w="2636" w:type="dxa"/>
                  <w:tcBorders>
                    <w:tl2br w:val="nil"/>
                    <w:tr2bl w:val="nil"/>
                  </w:tcBorders>
                  <w:shd w:val="clear" w:color="auto" w:fill="auto"/>
                  <w:vAlign w:val="center"/>
                </w:tcPr>
                <w:p>
                  <w:pPr>
                    <w:pStyle w:val="106"/>
                    <w:autoSpaceDE w:val="0"/>
                    <w:autoSpaceDN w:val="0"/>
                    <w:spacing w:line="240" w:lineRule="auto"/>
                    <w:contextualSpacing/>
                    <w:jc w:val="center"/>
                    <w:textAlignment w:val="bottom"/>
                    <w:rPr>
                      <w:rFonts w:ascii="Times New Roman" w:hAnsi="Times New Roman" w:eastAsia="宋体" w:cs="Times New Roman"/>
                      <w:bCs/>
                      <w:color w:val="auto"/>
                      <w:kern w:val="0"/>
                      <w:sz w:val="21"/>
                      <w:szCs w:val="21"/>
                      <w:lang w:val="en-US" w:eastAsia="zh-CN" w:bidi="ar-SA"/>
                    </w:rPr>
                  </w:pPr>
                  <w:r>
                    <w:rPr>
                      <w:rFonts w:ascii="Times New Roman" w:hAnsi="Times New Roman"/>
                      <w:bCs/>
                      <w:color w:val="auto"/>
                      <w:sz w:val="21"/>
                      <w:szCs w:val="21"/>
                    </w:rPr>
                    <w:t>最高允许排放</w:t>
                  </w:r>
                  <w:r>
                    <w:rPr>
                      <w:rFonts w:hint="eastAsia" w:ascii="Times New Roman" w:hAnsi="Times New Roman"/>
                      <w:bCs/>
                      <w:color w:val="auto"/>
                      <w:sz w:val="21"/>
                      <w:szCs w:val="21"/>
                      <w:lang w:val="en-US" w:eastAsia="zh-CN"/>
                    </w:rPr>
                    <w:t>标准</w:t>
                  </w:r>
                  <w:r>
                    <w:rPr>
                      <w:rFonts w:ascii="Times New Roman" w:hAnsi="Times New Roman"/>
                      <w:bCs/>
                      <w:color w:val="auto"/>
                      <w:sz w:val="21"/>
                      <w:szCs w:val="21"/>
                    </w:rPr>
                    <w:t>（15m）</w:t>
                  </w:r>
                </w:p>
              </w:tc>
              <w:tc>
                <w:tcPr>
                  <w:tcW w:w="993" w:type="dxa"/>
                  <w:tcBorders>
                    <w:tl2br w:val="nil"/>
                    <w:tr2bl w:val="nil"/>
                  </w:tcBorders>
                  <w:vAlign w:val="center"/>
                </w:tcPr>
                <w:p>
                  <w:pPr>
                    <w:pStyle w:val="106"/>
                    <w:autoSpaceDE w:val="0"/>
                    <w:autoSpaceDN w:val="0"/>
                    <w:spacing w:line="240" w:lineRule="auto"/>
                    <w:contextualSpacing/>
                    <w:jc w:val="center"/>
                    <w:textAlignment w:val="bottom"/>
                    <w:rPr>
                      <w:rFonts w:hint="eastAsia" w:ascii="Times New Roman" w:hAnsi="Times New Roman"/>
                      <w:bCs/>
                      <w:color w:val="auto"/>
                      <w:sz w:val="21"/>
                      <w:szCs w:val="21"/>
                      <w:highlight w:val="none"/>
                      <w:lang w:eastAsia="zh-CN"/>
                    </w:rPr>
                  </w:pPr>
                  <w:r>
                    <w:rPr>
                      <w:rFonts w:hint="eastAsia" w:ascii="Times New Roman" w:hAnsi="Times New Roman"/>
                      <w:bCs/>
                      <w:color w:val="auto"/>
                      <w:sz w:val="21"/>
                      <w:szCs w:val="21"/>
                      <w:highlight w:val="none"/>
                      <w:lang w:eastAsia="zh-CN"/>
                    </w:rPr>
                    <w:t>无量纲</w:t>
                  </w:r>
                </w:p>
              </w:tc>
              <w:tc>
                <w:tcPr>
                  <w:tcW w:w="993" w:type="dxa"/>
                  <w:tcBorders>
                    <w:tl2br w:val="nil"/>
                    <w:tr2bl w:val="nil"/>
                  </w:tcBorders>
                  <w:vAlign w:val="center"/>
                </w:tcPr>
                <w:p>
                  <w:pPr>
                    <w:pStyle w:val="106"/>
                    <w:autoSpaceDE w:val="0"/>
                    <w:autoSpaceDN w:val="0"/>
                    <w:spacing w:line="240" w:lineRule="auto"/>
                    <w:contextualSpacing/>
                    <w:jc w:val="center"/>
                    <w:textAlignment w:val="bottom"/>
                    <w:rPr>
                      <w:rFonts w:hint="default" w:ascii="Times New Roman" w:hAnsi="Times New Roman"/>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2000</w:t>
                  </w:r>
                </w:p>
              </w:tc>
            </w:tr>
          </w:tbl>
          <w:p>
            <w:pPr>
              <w:pStyle w:val="113"/>
              <w:numPr>
                <w:ilvl w:val="0"/>
                <w:numId w:val="3"/>
              </w:numPr>
              <w:spacing w:line="360" w:lineRule="auto"/>
              <w:ind w:firstLine="480"/>
              <w:rPr>
                <w:rFonts w:hint="eastAsia"/>
                <w:color w:val="auto"/>
                <w:sz w:val="24"/>
                <w:highlight w:val="none"/>
                <w:lang w:val="en-US" w:eastAsia="zh-CN"/>
              </w:rPr>
            </w:pPr>
            <w:r>
              <w:rPr>
                <w:rFonts w:hint="eastAsia"/>
                <w:color w:val="auto"/>
                <w:sz w:val="24"/>
                <w:highlight w:val="none"/>
                <w:lang w:val="en-US" w:eastAsia="zh-CN"/>
              </w:rPr>
              <w:t>废水</w:t>
            </w:r>
          </w:p>
          <w:p>
            <w:pPr>
              <w:pStyle w:val="11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color w:val="auto"/>
                <w:highlight w:val="none"/>
                <w:lang w:val="en-US" w:eastAsia="zh-CN"/>
              </w:rPr>
            </w:pPr>
            <w:r>
              <w:rPr>
                <w:color w:val="auto"/>
                <w:highlight w:val="none"/>
                <w:lang w:val="en-US" w:eastAsia="zh-CN"/>
              </w:rPr>
              <w:t>本项目废水执行</w:t>
            </w:r>
            <w:r>
              <w:rPr>
                <w:rFonts w:hint="eastAsia"/>
                <w:color w:val="auto"/>
              </w:rPr>
              <w:t>《食品加工制造业水污染物排放标准》（GB46817—2025）</w:t>
            </w:r>
            <w:r>
              <w:rPr>
                <w:rFonts w:hint="eastAsia"/>
                <w:color w:val="auto"/>
                <w:lang w:val="en-US" w:eastAsia="zh-CN"/>
              </w:rPr>
              <w:t>间接排放标准</w:t>
            </w:r>
            <w:r>
              <w:rPr>
                <w:color w:val="auto"/>
                <w:sz w:val="24"/>
                <w:highlight w:val="none"/>
              </w:rPr>
              <w:t>，详见</w:t>
            </w:r>
            <w:r>
              <w:rPr>
                <w:rFonts w:hint="eastAsia"/>
                <w:color w:val="auto"/>
                <w:sz w:val="24"/>
                <w:highlight w:val="none"/>
                <w:lang w:val="en-US" w:eastAsia="zh-CN"/>
              </w:rPr>
              <w:t>下表</w:t>
            </w:r>
            <w:r>
              <w:rPr>
                <w:color w:val="auto"/>
                <w:highlight w:val="none"/>
                <w:lang w:val="en-US" w:eastAsia="zh-CN"/>
              </w:rPr>
              <w:t>。</w:t>
            </w:r>
          </w:p>
          <w:p>
            <w:pPr>
              <w:ind w:firstLine="480"/>
              <w:jc w:val="center"/>
              <w:rPr>
                <w:rFonts w:eastAsia="黑体"/>
                <w:bCs/>
                <w:color w:val="auto"/>
                <w:highlight w:val="none"/>
              </w:rPr>
            </w:pPr>
            <w:r>
              <w:rPr>
                <w:b/>
                <w:color w:val="auto"/>
                <w:highlight w:val="none"/>
              </w:rPr>
              <w:t>表3-</w:t>
            </w:r>
            <w:r>
              <w:rPr>
                <w:rFonts w:hint="eastAsia"/>
                <w:b/>
                <w:color w:val="auto"/>
                <w:highlight w:val="none"/>
                <w:lang w:val="en-US" w:eastAsia="zh-CN"/>
              </w:rPr>
              <w:t>6</w:t>
            </w:r>
            <w:r>
              <w:rPr>
                <w:rFonts w:hint="eastAsia" w:ascii="宋体" w:hAnsi="宋体" w:cs="宋体"/>
                <w:bCs/>
                <w:color w:val="auto"/>
                <w:highlight w:val="none"/>
              </w:rPr>
              <w:t xml:space="preserve">  </w:t>
            </w:r>
            <w:r>
              <w:rPr>
                <w:rFonts w:hint="eastAsia" w:ascii="宋体" w:hAnsi="宋体" w:cs="宋体"/>
                <w:b/>
                <w:bCs/>
                <w:color w:val="auto"/>
                <w:kern w:val="0"/>
                <w:szCs w:val="21"/>
                <w:highlight w:val="none"/>
              </w:rPr>
              <w:t>《食品加工制造业水污染物排放标准》（</w:t>
            </w:r>
            <w:r>
              <w:rPr>
                <w:rFonts w:hint="eastAsia" w:ascii="宋体" w:hAnsi="宋体" w:cs="宋体"/>
                <w:b/>
                <w:bCs/>
                <w:color w:val="auto"/>
                <w:kern w:val="0"/>
                <w:szCs w:val="21"/>
                <w:highlight w:val="none"/>
                <w:lang w:eastAsia="zh-CN"/>
              </w:rPr>
              <w:t>GB 46817</w:t>
            </w:r>
            <w:r>
              <w:rPr>
                <w:rFonts w:hint="eastAsia" w:ascii="宋体" w:hAnsi="宋体" w:cs="宋体"/>
                <w:b/>
                <w:bCs/>
                <w:color w:val="auto"/>
                <w:kern w:val="0"/>
                <w:szCs w:val="21"/>
                <w:highlight w:val="none"/>
              </w:rPr>
              <w:t>—2025）</w:t>
            </w:r>
          </w:p>
          <w:tbl>
            <w:tblPr>
              <w:tblStyle w:val="29"/>
              <w:tblW w:w="8936"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2286"/>
              <w:gridCol w:w="2708"/>
              <w:gridCol w:w="2755"/>
            </w:tblGrid>
            <w:tr>
              <w:tblPrEx>
                <w:tblLayout w:type="fixed"/>
                <w:tblCellMar>
                  <w:top w:w="0" w:type="dxa"/>
                  <w:left w:w="108" w:type="dxa"/>
                  <w:bottom w:w="0" w:type="dxa"/>
                  <w:right w:w="108" w:type="dxa"/>
                </w:tblCellMar>
              </w:tblPrEx>
              <w:trPr>
                <w:trHeight w:val="415" w:hRule="atLeast"/>
                <w:jc w:val="center"/>
              </w:trPr>
              <w:tc>
                <w:tcPr>
                  <w:tcW w:w="1187" w:type="dxa"/>
                  <w:tcBorders>
                    <w:tl2br w:val="nil"/>
                    <w:tr2bl w:val="nil"/>
                  </w:tcBorders>
                  <w:vAlign w:val="center"/>
                </w:tcPr>
                <w:p>
                  <w:pPr>
                    <w:pStyle w:val="143"/>
                    <w:rPr>
                      <w:b/>
                      <w:bCs/>
                      <w:color w:val="auto"/>
                      <w:sz w:val="24"/>
                      <w:szCs w:val="24"/>
                    </w:rPr>
                  </w:pPr>
                  <w:r>
                    <w:rPr>
                      <w:b/>
                      <w:bCs/>
                      <w:color w:val="auto"/>
                      <w:sz w:val="24"/>
                      <w:szCs w:val="24"/>
                    </w:rPr>
                    <w:t>序号</w:t>
                  </w:r>
                </w:p>
              </w:tc>
              <w:tc>
                <w:tcPr>
                  <w:tcW w:w="2286" w:type="dxa"/>
                  <w:tcBorders>
                    <w:tl2br w:val="nil"/>
                    <w:tr2bl w:val="nil"/>
                  </w:tcBorders>
                  <w:vAlign w:val="center"/>
                </w:tcPr>
                <w:p>
                  <w:pPr>
                    <w:pStyle w:val="143"/>
                    <w:rPr>
                      <w:b/>
                      <w:bCs/>
                      <w:color w:val="auto"/>
                      <w:sz w:val="24"/>
                      <w:szCs w:val="24"/>
                    </w:rPr>
                  </w:pPr>
                  <w:r>
                    <w:rPr>
                      <w:b/>
                      <w:bCs/>
                      <w:color w:val="auto"/>
                      <w:sz w:val="24"/>
                      <w:szCs w:val="24"/>
                    </w:rPr>
                    <w:t>污染物</w:t>
                  </w:r>
                </w:p>
              </w:tc>
              <w:tc>
                <w:tcPr>
                  <w:tcW w:w="2708" w:type="dxa"/>
                  <w:tcBorders>
                    <w:tl2br w:val="nil"/>
                    <w:tr2bl w:val="nil"/>
                  </w:tcBorders>
                  <w:vAlign w:val="center"/>
                </w:tcPr>
                <w:p>
                  <w:pPr>
                    <w:pStyle w:val="143"/>
                    <w:rPr>
                      <w:rFonts w:hint="eastAsia" w:eastAsia="宋体"/>
                      <w:b/>
                      <w:bCs/>
                      <w:color w:val="auto"/>
                      <w:sz w:val="24"/>
                      <w:szCs w:val="24"/>
                      <w:lang w:eastAsia="zh-CN"/>
                    </w:rPr>
                  </w:pPr>
                  <w:r>
                    <w:rPr>
                      <w:b/>
                      <w:bCs/>
                      <w:color w:val="auto"/>
                      <w:sz w:val="24"/>
                      <w:szCs w:val="24"/>
                    </w:rPr>
                    <w:t>标准限值</w:t>
                  </w:r>
                  <w:r>
                    <w:rPr>
                      <w:rFonts w:hint="eastAsia"/>
                      <w:b/>
                      <w:bCs/>
                      <w:color w:val="auto"/>
                      <w:sz w:val="24"/>
                      <w:szCs w:val="24"/>
                      <w:lang w:eastAsia="zh-CN"/>
                    </w:rPr>
                    <w:t>（</w:t>
                  </w:r>
                  <w:r>
                    <w:rPr>
                      <w:rFonts w:hint="eastAsia"/>
                      <w:b/>
                      <w:bCs/>
                      <w:color w:val="auto"/>
                      <w:sz w:val="24"/>
                      <w:szCs w:val="24"/>
                      <w:lang w:val="en-US" w:eastAsia="zh-CN"/>
                    </w:rPr>
                    <w:t>综排标准/接管标准</w:t>
                  </w:r>
                  <w:r>
                    <w:rPr>
                      <w:rFonts w:hint="eastAsia"/>
                      <w:b/>
                      <w:bCs/>
                      <w:color w:val="auto"/>
                      <w:sz w:val="24"/>
                      <w:szCs w:val="24"/>
                      <w:lang w:eastAsia="zh-CN"/>
                    </w:rPr>
                    <w:t>）</w:t>
                  </w:r>
                </w:p>
              </w:tc>
              <w:tc>
                <w:tcPr>
                  <w:tcW w:w="2755" w:type="dxa"/>
                  <w:tcBorders>
                    <w:tl2br w:val="nil"/>
                    <w:tr2bl w:val="nil"/>
                  </w:tcBorders>
                  <w:vAlign w:val="center"/>
                </w:tcPr>
                <w:p>
                  <w:pPr>
                    <w:pStyle w:val="143"/>
                    <w:rPr>
                      <w:b/>
                      <w:bCs/>
                      <w:color w:val="auto"/>
                      <w:sz w:val="24"/>
                      <w:szCs w:val="24"/>
                    </w:rPr>
                  </w:pPr>
                  <w:r>
                    <w:rPr>
                      <w:b/>
                      <w:bCs/>
                      <w:color w:val="auto"/>
                      <w:sz w:val="24"/>
                      <w:szCs w:val="24"/>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1187" w:type="dxa"/>
                  <w:tcBorders>
                    <w:tl2br w:val="nil"/>
                    <w:tr2bl w:val="nil"/>
                  </w:tcBorders>
                  <w:vAlign w:val="center"/>
                </w:tcPr>
                <w:p>
                  <w:pPr>
                    <w:pStyle w:val="143"/>
                    <w:rPr>
                      <w:color w:val="auto"/>
                      <w:sz w:val="24"/>
                      <w:szCs w:val="24"/>
                    </w:rPr>
                  </w:pPr>
                  <w:r>
                    <w:rPr>
                      <w:color w:val="auto"/>
                      <w:sz w:val="24"/>
                      <w:szCs w:val="24"/>
                    </w:rPr>
                    <w:t>1</w:t>
                  </w:r>
                </w:p>
              </w:tc>
              <w:tc>
                <w:tcPr>
                  <w:tcW w:w="2286" w:type="dxa"/>
                  <w:tcBorders>
                    <w:tl2br w:val="nil"/>
                    <w:tr2bl w:val="nil"/>
                  </w:tcBorders>
                  <w:vAlign w:val="center"/>
                </w:tcPr>
                <w:p>
                  <w:pPr>
                    <w:jc w:val="center"/>
                    <w:rPr>
                      <w:color w:val="auto"/>
                      <w:sz w:val="24"/>
                    </w:rPr>
                  </w:pPr>
                  <w:r>
                    <w:rPr>
                      <w:rFonts w:hint="eastAsia"/>
                      <w:color w:val="auto"/>
                      <w:sz w:val="24"/>
                    </w:rPr>
                    <w:t>p</w:t>
                  </w:r>
                  <w:r>
                    <w:rPr>
                      <w:color w:val="auto"/>
                      <w:sz w:val="24"/>
                    </w:rPr>
                    <w:t>H值</w:t>
                  </w:r>
                </w:p>
              </w:tc>
              <w:tc>
                <w:tcPr>
                  <w:tcW w:w="2708" w:type="dxa"/>
                  <w:tcBorders>
                    <w:tl2br w:val="nil"/>
                    <w:tr2bl w:val="nil"/>
                  </w:tcBorders>
                  <w:vAlign w:val="center"/>
                </w:tcPr>
                <w:p>
                  <w:pPr>
                    <w:jc w:val="center"/>
                    <w:rPr>
                      <w:color w:val="auto"/>
                      <w:sz w:val="24"/>
                    </w:rPr>
                  </w:pPr>
                  <w:r>
                    <w:rPr>
                      <w:color w:val="auto"/>
                      <w:sz w:val="24"/>
                    </w:rPr>
                    <w:t>6～9</w:t>
                  </w:r>
                </w:p>
              </w:tc>
              <w:tc>
                <w:tcPr>
                  <w:tcW w:w="2755" w:type="dxa"/>
                  <w:vMerge w:val="restart"/>
                  <w:tcBorders>
                    <w:tl2br w:val="nil"/>
                    <w:tr2bl w:val="nil"/>
                  </w:tcBorders>
                  <w:vAlign w:val="center"/>
                </w:tcPr>
                <w:p>
                  <w:pPr>
                    <w:pStyle w:val="143"/>
                    <w:rPr>
                      <w:rFonts w:hint="default" w:eastAsia="宋体"/>
                      <w:color w:val="auto"/>
                      <w:sz w:val="24"/>
                      <w:szCs w:val="24"/>
                      <w:lang w:val="en-US" w:eastAsia="zh-CN"/>
                    </w:rPr>
                  </w:pPr>
                  <w:r>
                    <w:rPr>
                      <w:rFonts w:hint="eastAsia"/>
                      <w:color w:val="auto"/>
                      <w:sz w:val="24"/>
                      <w:szCs w:val="24"/>
                    </w:rPr>
                    <w:t>《食品加工制造业水污染物排放标准》（GB46817—2025）间接排放标准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87" w:type="dxa"/>
                  <w:tcBorders>
                    <w:tl2br w:val="nil"/>
                    <w:tr2bl w:val="nil"/>
                  </w:tcBorders>
                  <w:vAlign w:val="center"/>
                </w:tcPr>
                <w:p>
                  <w:pPr>
                    <w:pStyle w:val="143"/>
                    <w:rPr>
                      <w:rFonts w:hint="eastAsia" w:eastAsia="宋体"/>
                      <w:color w:val="auto"/>
                      <w:sz w:val="24"/>
                      <w:szCs w:val="24"/>
                      <w:lang w:val="en-US" w:eastAsia="zh-CN"/>
                    </w:rPr>
                  </w:pPr>
                  <w:r>
                    <w:rPr>
                      <w:rFonts w:hint="eastAsia"/>
                      <w:color w:val="auto"/>
                      <w:sz w:val="24"/>
                      <w:szCs w:val="24"/>
                      <w:lang w:val="en-US" w:eastAsia="zh-CN"/>
                    </w:rPr>
                    <w:t>2</w:t>
                  </w:r>
                </w:p>
              </w:tc>
              <w:tc>
                <w:tcPr>
                  <w:tcW w:w="2286" w:type="dxa"/>
                  <w:tcBorders>
                    <w:tl2br w:val="nil"/>
                    <w:tr2bl w:val="nil"/>
                  </w:tcBorders>
                  <w:vAlign w:val="center"/>
                </w:tcPr>
                <w:p>
                  <w:pPr>
                    <w:jc w:val="center"/>
                    <w:rPr>
                      <w:rFonts w:hint="eastAsia" w:eastAsia="宋体"/>
                      <w:color w:val="auto"/>
                      <w:sz w:val="24"/>
                      <w:lang w:val="en-US" w:eastAsia="zh-CN"/>
                    </w:rPr>
                  </w:pPr>
                  <w:r>
                    <w:rPr>
                      <w:rFonts w:hint="eastAsia"/>
                      <w:color w:val="auto"/>
                      <w:sz w:val="24"/>
                      <w:lang w:val="en-US" w:eastAsia="zh-CN"/>
                    </w:rPr>
                    <w:t>色度</w:t>
                  </w:r>
                </w:p>
              </w:tc>
              <w:tc>
                <w:tcPr>
                  <w:tcW w:w="2708" w:type="dxa"/>
                  <w:tcBorders>
                    <w:tl2br w:val="nil"/>
                    <w:tr2bl w:val="nil"/>
                  </w:tcBorders>
                  <w:vAlign w:val="center"/>
                </w:tcPr>
                <w:p>
                  <w:pPr>
                    <w:jc w:val="center"/>
                    <w:rPr>
                      <w:rFonts w:hint="default" w:eastAsia="宋体"/>
                      <w:color w:val="auto"/>
                      <w:sz w:val="24"/>
                      <w:lang w:val="en-US" w:eastAsia="zh-CN"/>
                    </w:rPr>
                  </w:pPr>
                  <w:r>
                    <w:rPr>
                      <w:rFonts w:hint="eastAsia"/>
                      <w:color w:val="auto"/>
                      <w:sz w:val="24"/>
                      <w:lang w:val="en-US" w:eastAsia="zh-CN"/>
                    </w:rPr>
                    <w:t>100</w:t>
                  </w:r>
                </w:p>
              </w:tc>
              <w:tc>
                <w:tcPr>
                  <w:tcW w:w="2755" w:type="dxa"/>
                  <w:vMerge w:val="continue"/>
                  <w:tcBorders>
                    <w:tl2br w:val="nil"/>
                    <w:tr2bl w:val="nil"/>
                  </w:tcBorders>
                  <w:vAlign w:val="center"/>
                </w:tcPr>
                <w:p>
                  <w:pPr>
                    <w:pStyle w:val="143"/>
                    <w:rPr>
                      <w:rFonts w:hint="eastAsia"/>
                      <w:color w:val="auto"/>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jc w:val="center"/>
              </w:trPr>
              <w:tc>
                <w:tcPr>
                  <w:tcW w:w="1187" w:type="dxa"/>
                  <w:tcBorders>
                    <w:tl2br w:val="nil"/>
                    <w:tr2bl w:val="nil"/>
                  </w:tcBorders>
                  <w:vAlign w:val="center"/>
                </w:tcPr>
                <w:p>
                  <w:pPr>
                    <w:pStyle w:val="143"/>
                    <w:rPr>
                      <w:rFonts w:hint="eastAsia" w:eastAsia="宋体"/>
                      <w:color w:val="auto"/>
                      <w:sz w:val="24"/>
                      <w:szCs w:val="24"/>
                      <w:lang w:eastAsia="zh-CN"/>
                    </w:rPr>
                  </w:pPr>
                  <w:r>
                    <w:rPr>
                      <w:rFonts w:hint="eastAsia"/>
                      <w:color w:val="auto"/>
                      <w:sz w:val="24"/>
                      <w:szCs w:val="24"/>
                      <w:lang w:val="en-US" w:eastAsia="zh-CN"/>
                    </w:rPr>
                    <w:t>3</w:t>
                  </w:r>
                </w:p>
              </w:tc>
              <w:tc>
                <w:tcPr>
                  <w:tcW w:w="2286" w:type="dxa"/>
                  <w:tcBorders>
                    <w:tl2br w:val="nil"/>
                    <w:tr2bl w:val="nil"/>
                  </w:tcBorders>
                  <w:vAlign w:val="center"/>
                </w:tcPr>
                <w:p>
                  <w:pPr>
                    <w:jc w:val="center"/>
                    <w:rPr>
                      <w:color w:val="auto"/>
                      <w:sz w:val="24"/>
                    </w:rPr>
                  </w:pPr>
                  <w:r>
                    <w:rPr>
                      <w:color w:val="auto"/>
                      <w:sz w:val="24"/>
                    </w:rPr>
                    <w:t>化学需氧量</w:t>
                  </w:r>
                </w:p>
              </w:tc>
              <w:tc>
                <w:tcPr>
                  <w:tcW w:w="2708" w:type="dxa"/>
                  <w:tcBorders>
                    <w:tl2br w:val="nil"/>
                    <w:tr2bl w:val="nil"/>
                  </w:tcBorders>
                  <w:vAlign w:val="center"/>
                </w:tcPr>
                <w:p>
                  <w:pPr>
                    <w:jc w:val="center"/>
                    <w:rPr>
                      <w:rFonts w:hint="default" w:eastAsia="宋体"/>
                      <w:color w:val="auto"/>
                      <w:sz w:val="24"/>
                      <w:lang w:val="en-US" w:eastAsia="zh-CN"/>
                    </w:rPr>
                  </w:pPr>
                  <w:r>
                    <w:rPr>
                      <w:color w:val="auto"/>
                      <w:sz w:val="24"/>
                    </w:rPr>
                    <w:t>500</w:t>
                  </w:r>
                </w:p>
              </w:tc>
              <w:tc>
                <w:tcPr>
                  <w:tcW w:w="2755" w:type="dxa"/>
                  <w:vMerge w:val="continue"/>
                  <w:tcBorders>
                    <w:tl2br w:val="nil"/>
                    <w:tr2bl w:val="nil"/>
                  </w:tcBorders>
                  <w:vAlign w:val="center"/>
                </w:tcPr>
                <w:p>
                  <w:pPr>
                    <w:pStyle w:val="143"/>
                    <w:rPr>
                      <w:color w:val="auto"/>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1187" w:type="dxa"/>
                  <w:tcBorders>
                    <w:tl2br w:val="nil"/>
                    <w:tr2bl w:val="nil"/>
                  </w:tcBorders>
                  <w:vAlign w:val="center"/>
                </w:tcPr>
                <w:p>
                  <w:pPr>
                    <w:pStyle w:val="143"/>
                    <w:rPr>
                      <w:rFonts w:hint="eastAsia" w:eastAsia="宋体"/>
                      <w:color w:val="auto"/>
                      <w:sz w:val="24"/>
                      <w:szCs w:val="24"/>
                      <w:lang w:eastAsia="zh-CN"/>
                    </w:rPr>
                  </w:pPr>
                  <w:r>
                    <w:rPr>
                      <w:rFonts w:hint="eastAsia"/>
                      <w:color w:val="auto"/>
                      <w:sz w:val="24"/>
                      <w:szCs w:val="24"/>
                      <w:lang w:val="en-US" w:eastAsia="zh-CN"/>
                    </w:rPr>
                    <w:t>4</w:t>
                  </w:r>
                </w:p>
              </w:tc>
              <w:tc>
                <w:tcPr>
                  <w:tcW w:w="2286" w:type="dxa"/>
                  <w:tcBorders>
                    <w:tl2br w:val="nil"/>
                    <w:tr2bl w:val="nil"/>
                  </w:tcBorders>
                  <w:vAlign w:val="center"/>
                </w:tcPr>
                <w:p>
                  <w:pPr>
                    <w:jc w:val="center"/>
                    <w:rPr>
                      <w:color w:val="auto"/>
                      <w:sz w:val="24"/>
                    </w:rPr>
                  </w:pPr>
                  <w:r>
                    <w:rPr>
                      <w:color w:val="auto"/>
                      <w:sz w:val="24"/>
                    </w:rPr>
                    <w:t>氨氮</w:t>
                  </w:r>
                </w:p>
              </w:tc>
              <w:tc>
                <w:tcPr>
                  <w:tcW w:w="2708" w:type="dxa"/>
                  <w:tcBorders>
                    <w:tl2br w:val="nil"/>
                    <w:tr2bl w:val="nil"/>
                  </w:tcBorders>
                  <w:vAlign w:val="center"/>
                </w:tcPr>
                <w:p>
                  <w:pPr>
                    <w:jc w:val="center"/>
                    <w:rPr>
                      <w:rFonts w:hint="default" w:eastAsia="宋体"/>
                      <w:color w:val="auto"/>
                      <w:sz w:val="24"/>
                      <w:lang w:val="en-US" w:eastAsia="zh-CN"/>
                    </w:rPr>
                  </w:pPr>
                  <w:r>
                    <w:rPr>
                      <w:rFonts w:hint="eastAsia"/>
                      <w:color w:val="auto"/>
                      <w:sz w:val="24"/>
                      <w:lang w:val="en-US" w:eastAsia="zh-CN"/>
                    </w:rPr>
                    <w:t>45</w:t>
                  </w:r>
                </w:p>
              </w:tc>
              <w:tc>
                <w:tcPr>
                  <w:tcW w:w="2755" w:type="dxa"/>
                  <w:vMerge w:val="continue"/>
                  <w:tcBorders>
                    <w:tl2br w:val="nil"/>
                    <w:tr2bl w:val="nil"/>
                  </w:tcBorders>
                  <w:vAlign w:val="center"/>
                </w:tcPr>
                <w:p>
                  <w:pPr>
                    <w:pStyle w:val="143"/>
                    <w:rPr>
                      <w:color w:val="auto"/>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87" w:type="dxa"/>
                  <w:tcBorders>
                    <w:tl2br w:val="nil"/>
                    <w:tr2bl w:val="nil"/>
                  </w:tcBorders>
                </w:tcPr>
                <w:p>
                  <w:pPr>
                    <w:pStyle w:val="143"/>
                    <w:rPr>
                      <w:rFonts w:hint="eastAsia" w:eastAsia="宋体"/>
                      <w:color w:val="auto"/>
                      <w:sz w:val="24"/>
                      <w:szCs w:val="24"/>
                      <w:lang w:eastAsia="zh-CN"/>
                    </w:rPr>
                  </w:pPr>
                  <w:r>
                    <w:rPr>
                      <w:rFonts w:hint="eastAsia"/>
                      <w:color w:val="auto"/>
                      <w:sz w:val="24"/>
                      <w:szCs w:val="24"/>
                      <w:lang w:val="en-US" w:eastAsia="zh-CN"/>
                    </w:rPr>
                    <w:t>5</w:t>
                  </w:r>
                </w:p>
              </w:tc>
              <w:tc>
                <w:tcPr>
                  <w:tcW w:w="2286" w:type="dxa"/>
                  <w:tcBorders>
                    <w:tl2br w:val="nil"/>
                    <w:tr2bl w:val="nil"/>
                  </w:tcBorders>
                  <w:vAlign w:val="center"/>
                </w:tcPr>
                <w:p>
                  <w:pPr>
                    <w:jc w:val="center"/>
                    <w:rPr>
                      <w:color w:val="auto"/>
                      <w:sz w:val="24"/>
                    </w:rPr>
                  </w:pPr>
                  <w:r>
                    <w:rPr>
                      <w:color w:val="auto"/>
                      <w:sz w:val="24"/>
                    </w:rPr>
                    <w:t>五日生化需氧量</w:t>
                  </w:r>
                </w:p>
              </w:tc>
              <w:tc>
                <w:tcPr>
                  <w:tcW w:w="2708" w:type="dxa"/>
                  <w:tcBorders>
                    <w:tl2br w:val="nil"/>
                    <w:tr2bl w:val="nil"/>
                  </w:tcBorders>
                  <w:vAlign w:val="center"/>
                </w:tcPr>
                <w:p>
                  <w:pPr>
                    <w:jc w:val="center"/>
                    <w:rPr>
                      <w:rFonts w:hint="default" w:eastAsia="宋体"/>
                      <w:color w:val="auto"/>
                      <w:sz w:val="24"/>
                      <w:lang w:val="en-US" w:eastAsia="zh-CN"/>
                    </w:rPr>
                  </w:pPr>
                  <w:r>
                    <w:rPr>
                      <w:color w:val="auto"/>
                      <w:sz w:val="24"/>
                    </w:rPr>
                    <w:t>3</w:t>
                  </w:r>
                  <w:r>
                    <w:rPr>
                      <w:rFonts w:hint="eastAsia"/>
                      <w:color w:val="auto"/>
                      <w:sz w:val="24"/>
                      <w:lang w:val="en-US" w:eastAsia="zh-CN"/>
                    </w:rPr>
                    <w:t>5</w:t>
                  </w:r>
                  <w:r>
                    <w:rPr>
                      <w:color w:val="auto"/>
                      <w:sz w:val="24"/>
                    </w:rPr>
                    <w:t>0</w:t>
                  </w:r>
                </w:p>
              </w:tc>
              <w:tc>
                <w:tcPr>
                  <w:tcW w:w="2755" w:type="dxa"/>
                  <w:vMerge w:val="continue"/>
                  <w:tcBorders>
                    <w:tl2br w:val="nil"/>
                    <w:tr2bl w:val="nil"/>
                  </w:tcBorders>
                  <w:vAlign w:val="center"/>
                </w:tcPr>
                <w:p>
                  <w:pPr>
                    <w:pStyle w:val="143"/>
                    <w:rPr>
                      <w:color w:val="auto"/>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87" w:type="dxa"/>
                  <w:tcBorders>
                    <w:tl2br w:val="nil"/>
                    <w:tr2bl w:val="nil"/>
                  </w:tcBorders>
                </w:tcPr>
                <w:p>
                  <w:pPr>
                    <w:pStyle w:val="143"/>
                    <w:rPr>
                      <w:rFonts w:hint="eastAsia" w:eastAsia="宋体"/>
                      <w:color w:val="auto"/>
                      <w:sz w:val="24"/>
                      <w:szCs w:val="24"/>
                      <w:lang w:eastAsia="zh-CN"/>
                    </w:rPr>
                  </w:pPr>
                  <w:r>
                    <w:rPr>
                      <w:rFonts w:hint="eastAsia"/>
                      <w:color w:val="auto"/>
                      <w:sz w:val="24"/>
                      <w:szCs w:val="24"/>
                      <w:lang w:val="en-US" w:eastAsia="zh-CN"/>
                    </w:rPr>
                    <w:t>6</w:t>
                  </w:r>
                </w:p>
              </w:tc>
              <w:tc>
                <w:tcPr>
                  <w:tcW w:w="2286" w:type="dxa"/>
                  <w:tcBorders>
                    <w:tl2br w:val="nil"/>
                    <w:tr2bl w:val="nil"/>
                  </w:tcBorders>
                  <w:vAlign w:val="center"/>
                </w:tcPr>
                <w:p>
                  <w:pPr>
                    <w:jc w:val="center"/>
                    <w:rPr>
                      <w:color w:val="auto"/>
                      <w:sz w:val="24"/>
                    </w:rPr>
                  </w:pPr>
                  <w:r>
                    <w:rPr>
                      <w:color w:val="auto"/>
                      <w:sz w:val="24"/>
                    </w:rPr>
                    <w:t>悬浮物</w:t>
                  </w:r>
                </w:p>
              </w:tc>
              <w:tc>
                <w:tcPr>
                  <w:tcW w:w="2708" w:type="dxa"/>
                  <w:tcBorders>
                    <w:tl2br w:val="nil"/>
                    <w:tr2bl w:val="nil"/>
                  </w:tcBorders>
                  <w:vAlign w:val="center"/>
                </w:tcPr>
                <w:p>
                  <w:pPr>
                    <w:jc w:val="center"/>
                    <w:rPr>
                      <w:rFonts w:hint="default" w:eastAsia="宋体"/>
                      <w:color w:val="auto"/>
                      <w:sz w:val="24"/>
                      <w:lang w:val="en-US" w:eastAsia="zh-CN"/>
                    </w:rPr>
                  </w:pPr>
                  <w:r>
                    <w:rPr>
                      <w:color w:val="auto"/>
                      <w:sz w:val="24"/>
                    </w:rPr>
                    <w:t>400</w:t>
                  </w:r>
                </w:p>
              </w:tc>
              <w:tc>
                <w:tcPr>
                  <w:tcW w:w="2755" w:type="dxa"/>
                  <w:vMerge w:val="continue"/>
                  <w:tcBorders>
                    <w:tl2br w:val="nil"/>
                    <w:tr2bl w:val="nil"/>
                  </w:tcBorders>
                  <w:vAlign w:val="center"/>
                </w:tcPr>
                <w:p>
                  <w:pPr>
                    <w:pStyle w:val="143"/>
                    <w:rPr>
                      <w:color w:val="auto"/>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87" w:type="dxa"/>
                  <w:tcBorders>
                    <w:tl2br w:val="nil"/>
                    <w:tr2bl w:val="nil"/>
                  </w:tcBorders>
                </w:tcPr>
                <w:p>
                  <w:pPr>
                    <w:pStyle w:val="143"/>
                    <w:rPr>
                      <w:rFonts w:hint="default" w:eastAsia="宋体"/>
                      <w:color w:val="auto"/>
                      <w:sz w:val="24"/>
                      <w:szCs w:val="24"/>
                      <w:lang w:val="en-US" w:eastAsia="zh-CN"/>
                    </w:rPr>
                  </w:pPr>
                  <w:r>
                    <w:rPr>
                      <w:rFonts w:hint="eastAsia"/>
                      <w:color w:val="auto"/>
                      <w:sz w:val="24"/>
                      <w:szCs w:val="24"/>
                      <w:lang w:val="en-US" w:eastAsia="zh-CN"/>
                    </w:rPr>
                    <w:t>7</w:t>
                  </w:r>
                </w:p>
              </w:tc>
              <w:tc>
                <w:tcPr>
                  <w:tcW w:w="2286" w:type="dxa"/>
                  <w:tcBorders>
                    <w:tl2br w:val="nil"/>
                    <w:tr2bl w:val="nil"/>
                  </w:tcBorders>
                  <w:vAlign w:val="center"/>
                </w:tcPr>
                <w:p>
                  <w:pPr>
                    <w:jc w:val="center"/>
                    <w:rPr>
                      <w:rFonts w:hint="eastAsia" w:eastAsia="宋体"/>
                      <w:color w:val="auto"/>
                      <w:sz w:val="24"/>
                      <w:lang w:val="en-US" w:eastAsia="zh-CN"/>
                    </w:rPr>
                  </w:pPr>
                  <w:r>
                    <w:rPr>
                      <w:rFonts w:hint="eastAsia"/>
                      <w:color w:val="auto"/>
                      <w:sz w:val="24"/>
                      <w:lang w:val="en-US" w:eastAsia="zh-CN"/>
                    </w:rPr>
                    <w:t>总氮</w:t>
                  </w:r>
                </w:p>
              </w:tc>
              <w:tc>
                <w:tcPr>
                  <w:tcW w:w="2708" w:type="dxa"/>
                  <w:tcBorders>
                    <w:tl2br w:val="nil"/>
                    <w:tr2bl w:val="nil"/>
                  </w:tcBorders>
                  <w:vAlign w:val="center"/>
                </w:tcPr>
                <w:p>
                  <w:pPr>
                    <w:jc w:val="center"/>
                    <w:rPr>
                      <w:rFonts w:hint="default" w:eastAsia="宋体"/>
                      <w:color w:val="auto"/>
                      <w:sz w:val="24"/>
                      <w:lang w:val="en-US" w:eastAsia="zh-CN"/>
                    </w:rPr>
                  </w:pPr>
                  <w:r>
                    <w:rPr>
                      <w:rFonts w:hint="eastAsia"/>
                      <w:color w:val="auto"/>
                      <w:sz w:val="24"/>
                      <w:lang w:val="en-US" w:eastAsia="zh-CN"/>
                    </w:rPr>
                    <w:t>70</w:t>
                  </w:r>
                </w:p>
              </w:tc>
              <w:tc>
                <w:tcPr>
                  <w:tcW w:w="2755" w:type="dxa"/>
                  <w:vMerge w:val="continue"/>
                  <w:tcBorders>
                    <w:tl2br w:val="nil"/>
                    <w:tr2bl w:val="nil"/>
                  </w:tcBorders>
                  <w:vAlign w:val="center"/>
                </w:tcPr>
                <w:p>
                  <w:pPr>
                    <w:pStyle w:val="143"/>
                    <w:rPr>
                      <w:color w:val="auto"/>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87" w:type="dxa"/>
                  <w:tcBorders>
                    <w:tl2br w:val="nil"/>
                    <w:tr2bl w:val="nil"/>
                  </w:tcBorders>
                </w:tcPr>
                <w:p>
                  <w:pPr>
                    <w:pStyle w:val="143"/>
                    <w:rPr>
                      <w:rFonts w:hint="eastAsia" w:eastAsia="宋体"/>
                      <w:color w:val="auto"/>
                      <w:sz w:val="24"/>
                      <w:szCs w:val="24"/>
                      <w:lang w:val="en-US" w:eastAsia="zh-CN"/>
                    </w:rPr>
                  </w:pPr>
                  <w:r>
                    <w:rPr>
                      <w:rFonts w:hint="eastAsia"/>
                      <w:color w:val="auto"/>
                      <w:sz w:val="24"/>
                      <w:szCs w:val="24"/>
                      <w:lang w:val="en-US" w:eastAsia="zh-CN"/>
                    </w:rPr>
                    <w:t>8</w:t>
                  </w:r>
                </w:p>
              </w:tc>
              <w:tc>
                <w:tcPr>
                  <w:tcW w:w="2286" w:type="dxa"/>
                  <w:tcBorders>
                    <w:tl2br w:val="nil"/>
                    <w:tr2bl w:val="nil"/>
                  </w:tcBorders>
                  <w:vAlign w:val="center"/>
                </w:tcPr>
                <w:p>
                  <w:pPr>
                    <w:jc w:val="center"/>
                    <w:rPr>
                      <w:rFonts w:hint="eastAsia" w:eastAsia="宋体"/>
                      <w:color w:val="auto"/>
                      <w:sz w:val="24"/>
                      <w:lang w:val="en-US" w:eastAsia="zh-CN"/>
                    </w:rPr>
                  </w:pPr>
                  <w:r>
                    <w:rPr>
                      <w:rFonts w:hint="eastAsia"/>
                      <w:color w:val="auto"/>
                      <w:sz w:val="24"/>
                      <w:lang w:val="en-US" w:eastAsia="zh-CN"/>
                    </w:rPr>
                    <w:t>总磷</w:t>
                  </w:r>
                </w:p>
              </w:tc>
              <w:tc>
                <w:tcPr>
                  <w:tcW w:w="2708" w:type="dxa"/>
                  <w:tcBorders>
                    <w:tl2br w:val="nil"/>
                    <w:tr2bl w:val="nil"/>
                  </w:tcBorders>
                  <w:vAlign w:val="center"/>
                </w:tcPr>
                <w:p>
                  <w:pPr>
                    <w:jc w:val="center"/>
                    <w:rPr>
                      <w:rFonts w:hint="default" w:eastAsia="宋体"/>
                      <w:color w:val="auto"/>
                      <w:sz w:val="24"/>
                      <w:lang w:val="en-US" w:eastAsia="zh-CN"/>
                    </w:rPr>
                  </w:pPr>
                  <w:r>
                    <w:rPr>
                      <w:rFonts w:hint="eastAsia"/>
                      <w:color w:val="auto"/>
                      <w:sz w:val="24"/>
                      <w:lang w:val="en-US" w:eastAsia="zh-CN"/>
                    </w:rPr>
                    <w:t>8</w:t>
                  </w:r>
                </w:p>
              </w:tc>
              <w:tc>
                <w:tcPr>
                  <w:tcW w:w="2755" w:type="dxa"/>
                  <w:vMerge w:val="continue"/>
                  <w:tcBorders>
                    <w:tl2br w:val="nil"/>
                    <w:tr2bl w:val="nil"/>
                  </w:tcBorders>
                  <w:vAlign w:val="center"/>
                </w:tcPr>
                <w:p>
                  <w:pPr>
                    <w:pStyle w:val="143"/>
                    <w:rPr>
                      <w:color w:val="auto"/>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87" w:type="dxa"/>
                  <w:tcBorders>
                    <w:tl2br w:val="nil"/>
                    <w:tr2bl w:val="nil"/>
                  </w:tcBorders>
                </w:tcPr>
                <w:p>
                  <w:pPr>
                    <w:pStyle w:val="143"/>
                    <w:rPr>
                      <w:rFonts w:hint="eastAsia" w:eastAsia="宋体"/>
                      <w:color w:val="auto"/>
                      <w:sz w:val="24"/>
                      <w:szCs w:val="24"/>
                      <w:lang w:val="en-US" w:eastAsia="zh-CN"/>
                    </w:rPr>
                  </w:pPr>
                  <w:r>
                    <w:rPr>
                      <w:rFonts w:hint="eastAsia"/>
                      <w:color w:val="auto"/>
                      <w:sz w:val="24"/>
                      <w:szCs w:val="24"/>
                      <w:lang w:val="en-US" w:eastAsia="zh-CN"/>
                    </w:rPr>
                    <w:t>9</w:t>
                  </w:r>
                </w:p>
              </w:tc>
              <w:tc>
                <w:tcPr>
                  <w:tcW w:w="2286" w:type="dxa"/>
                  <w:tcBorders>
                    <w:tl2br w:val="nil"/>
                    <w:tr2bl w:val="nil"/>
                  </w:tcBorders>
                  <w:vAlign w:val="center"/>
                </w:tcPr>
                <w:p>
                  <w:pPr>
                    <w:jc w:val="center"/>
                    <w:rPr>
                      <w:rFonts w:hint="default"/>
                      <w:color w:val="auto"/>
                      <w:sz w:val="24"/>
                      <w:lang w:val="en-US" w:eastAsia="zh-CN"/>
                    </w:rPr>
                  </w:pPr>
                  <w:r>
                    <w:rPr>
                      <w:rFonts w:hint="eastAsia"/>
                      <w:color w:val="auto"/>
                      <w:sz w:val="24"/>
                      <w:lang w:val="en-US" w:eastAsia="zh-CN"/>
                    </w:rPr>
                    <w:t>动植物油</w:t>
                  </w:r>
                </w:p>
              </w:tc>
              <w:tc>
                <w:tcPr>
                  <w:tcW w:w="2708" w:type="dxa"/>
                  <w:tcBorders>
                    <w:tl2br w:val="nil"/>
                    <w:tr2bl w:val="nil"/>
                  </w:tcBorders>
                  <w:vAlign w:val="center"/>
                </w:tcPr>
                <w:p>
                  <w:pPr>
                    <w:jc w:val="center"/>
                    <w:rPr>
                      <w:rFonts w:hint="default"/>
                      <w:color w:val="auto"/>
                      <w:sz w:val="24"/>
                      <w:lang w:val="en-US" w:eastAsia="zh-CN"/>
                    </w:rPr>
                  </w:pPr>
                  <w:r>
                    <w:rPr>
                      <w:rFonts w:hint="eastAsia"/>
                      <w:color w:val="auto"/>
                      <w:sz w:val="24"/>
                      <w:lang w:val="en-US" w:eastAsia="zh-CN"/>
                    </w:rPr>
                    <w:t>100</w:t>
                  </w:r>
                </w:p>
              </w:tc>
              <w:tc>
                <w:tcPr>
                  <w:tcW w:w="2755" w:type="dxa"/>
                  <w:vMerge w:val="continue"/>
                  <w:tcBorders>
                    <w:tl2br w:val="nil"/>
                    <w:tr2bl w:val="nil"/>
                  </w:tcBorders>
                  <w:vAlign w:val="center"/>
                </w:tcPr>
                <w:p>
                  <w:pPr>
                    <w:pStyle w:val="143"/>
                    <w:rPr>
                      <w:color w:val="auto"/>
                      <w:sz w:val="24"/>
                      <w:szCs w:val="24"/>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auto"/>
                <w:sz w:val="24"/>
                <w:highlight w:val="none"/>
              </w:rPr>
            </w:pPr>
            <w:r>
              <w:rPr>
                <w:rFonts w:hint="eastAsia"/>
                <w:color w:val="auto"/>
                <w:sz w:val="24"/>
                <w:highlight w:val="none"/>
                <w:lang w:val="en-US" w:eastAsia="zh-CN"/>
              </w:rPr>
              <w:t>3</w:t>
            </w:r>
            <w:r>
              <w:rPr>
                <w:color w:val="auto"/>
                <w:sz w:val="24"/>
                <w:highlight w:val="none"/>
              </w:rPr>
              <w:t>、噪声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施工期场界噪声执行《建筑施工噪声排放标准》（GB12523-2025），运营期净水房厂界噪声执行《工业企业厂界环境噪声排放标准》（GB12348-2008）表1中2类标准，标准值见下表。</w:t>
            </w:r>
          </w:p>
          <w:p>
            <w:pPr>
              <w:spacing w:line="240" w:lineRule="auto"/>
              <w:jc w:val="center"/>
              <w:rPr>
                <w:b/>
                <w:color w:val="auto"/>
                <w:sz w:val="21"/>
                <w:szCs w:val="21"/>
                <w:highlight w:val="none"/>
              </w:rPr>
            </w:pPr>
            <w:r>
              <w:rPr>
                <w:rFonts w:hint="eastAsia"/>
                <w:b/>
                <w:color w:val="auto"/>
                <w:sz w:val="21"/>
                <w:szCs w:val="21"/>
                <w:highlight w:val="none"/>
                <w:lang w:val="en-US" w:eastAsia="zh-CN"/>
              </w:rPr>
              <w:t xml:space="preserve">表3-7 </w:t>
            </w:r>
            <w:r>
              <w:rPr>
                <w:rFonts w:hint="eastAsia"/>
                <w:b/>
                <w:color w:val="auto"/>
                <w:sz w:val="21"/>
                <w:szCs w:val="21"/>
                <w:highlight w:val="none"/>
              </w:rPr>
              <w:t>《建筑施工噪声排放标准》（</w:t>
            </w:r>
            <w:r>
              <w:rPr>
                <w:rFonts w:hint="eastAsia"/>
                <w:b/>
                <w:color w:val="auto"/>
                <w:sz w:val="21"/>
                <w:szCs w:val="21"/>
                <w:highlight w:val="none"/>
                <w:lang w:eastAsia="zh-CN"/>
              </w:rPr>
              <w:t>GB 12523</w:t>
            </w:r>
            <w:r>
              <w:rPr>
                <w:rFonts w:hint="eastAsia"/>
                <w:b/>
                <w:color w:val="auto"/>
                <w:sz w:val="21"/>
                <w:szCs w:val="21"/>
                <w:highlight w:val="none"/>
              </w:rPr>
              <w:t>-2025）</w:t>
            </w:r>
          </w:p>
          <w:tbl>
            <w:tblPr>
              <w:tblStyle w:val="29"/>
              <w:tblW w:w="894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56"/>
              <w:gridCol w:w="47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trPr>
              <w:tc>
                <w:tcPr>
                  <w:tcW w:w="4156" w:type="dxa"/>
                  <w:tcBorders>
                    <w:tl2br w:val="nil"/>
                    <w:tr2bl w:val="nil"/>
                  </w:tcBorders>
                  <w:noWrap w:val="0"/>
                  <w:vAlign w:val="center"/>
                </w:tcPr>
                <w:p>
                  <w:pPr>
                    <w:jc w:val="center"/>
                    <w:rPr>
                      <w:rFonts w:cs="宋体"/>
                      <w:color w:val="auto"/>
                      <w:szCs w:val="21"/>
                      <w:highlight w:val="none"/>
                    </w:rPr>
                  </w:pPr>
                  <w:r>
                    <w:rPr>
                      <w:rFonts w:hint="eastAsia" w:cs="宋体"/>
                      <w:color w:val="auto"/>
                      <w:szCs w:val="21"/>
                      <w:highlight w:val="none"/>
                    </w:rPr>
                    <w:t>昼间</w:t>
                  </w:r>
                </w:p>
              </w:tc>
              <w:tc>
                <w:tcPr>
                  <w:tcW w:w="4785" w:type="dxa"/>
                  <w:tcBorders>
                    <w:tl2br w:val="nil"/>
                    <w:tr2bl w:val="nil"/>
                  </w:tcBorders>
                  <w:noWrap w:val="0"/>
                  <w:vAlign w:val="center"/>
                </w:tcPr>
                <w:p>
                  <w:pPr>
                    <w:jc w:val="center"/>
                    <w:rPr>
                      <w:rFonts w:cs="宋体"/>
                      <w:color w:val="auto"/>
                      <w:szCs w:val="21"/>
                      <w:highlight w:val="none"/>
                    </w:rPr>
                  </w:pPr>
                  <w:r>
                    <w:rPr>
                      <w:rFonts w:hint="eastAsia" w:cs="宋体"/>
                      <w:color w:val="auto"/>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4156" w:type="dxa"/>
                  <w:tcBorders>
                    <w:tl2br w:val="nil"/>
                    <w:tr2bl w:val="nil"/>
                  </w:tcBorders>
                  <w:noWrap w:val="0"/>
                  <w:vAlign w:val="center"/>
                </w:tcPr>
                <w:p>
                  <w:pPr>
                    <w:jc w:val="center"/>
                    <w:rPr>
                      <w:color w:val="auto"/>
                      <w:szCs w:val="21"/>
                      <w:highlight w:val="none"/>
                    </w:rPr>
                  </w:pPr>
                  <w:r>
                    <w:rPr>
                      <w:rFonts w:hint="eastAsia"/>
                      <w:color w:val="auto"/>
                      <w:szCs w:val="21"/>
                      <w:highlight w:val="none"/>
                    </w:rPr>
                    <w:t>70</w:t>
                  </w:r>
                  <w:r>
                    <w:rPr>
                      <w:color w:val="auto"/>
                      <w:kern w:val="0"/>
                      <w:szCs w:val="21"/>
                      <w:highlight w:val="none"/>
                    </w:rPr>
                    <w:t>dB</w:t>
                  </w:r>
                  <w:r>
                    <w:rPr>
                      <w:rFonts w:hint="eastAsia"/>
                      <w:color w:val="auto"/>
                      <w:kern w:val="0"/>
                      <w:szCs w:val="21"/>
                      <w:highlight w:val="none"/>
                      <w:lang w:eastAsia="zh-CN"/>
                    </w:rPr>
                    <w:t>(</w:t>
                  </w:r>
                  <w:r>
                    <w:rPr>
                      <w:rFonts w:hint="eastAsia"/>
                      <w:color w:val="auto"/>
                      <w:kern w:val="0"/>
                      <w:szCs w:val="21"/>
                      <w:highlight w:val="none"/>
                    </w:rPr>
                    <w:t>A</w:t>
                  </w:r>
                  <w:r>
                    <w:rPr>
                      <w:rFonts w:hint="eastAsia"/>
                      <w:color w:val="auto"/>
                      <w:kern w:val="0"/>
                      <w:szCs w:val="21"/>
                      <w:highlight w:val="none"/>
                      <w:lang w:eastAsia="zh-CN"/>
                    </w:rPr>
                    <w:t>)</w:t>
                  </w:r>
                </w:p>
              </w:tc>
              <w:tc>
                <w:tcPr>
                  <w:tcW w:w="4785" w:type="dxa"/>
                  <w:tcBorders>
                    <w:tl2br w:val="nil"/>
                    <w:tr2bl w:val="nil"/>
                  </w:tcBorders>
                  <w:noWrap w:val="0"/>
                  <w:vAlign w:val="center"/>
                </w:tcPr>
                <w:p>
                  <w:pPr>
                    <w:jc w:val="center"/>
                    <w:rPr>
                      <w:color w:val="auto"/>
                      <w:szCs w:val="21"/>
                      <w:highlight w:val="none"/>
                    </w:rPr>
                  </w:pPr>
                  <w:r>
                    <w:rPr>
                      <w:rFonts w:hint="eastAsia"/>
                      <w:color w:val="auto"/>
                      <w:szCs w:val="21"/>
                      <w:highlight w:val="none"/>
                    </w:rPr>
                    <w:t>55</w:t>
                  </w:r>
                  <w:r>
                    <w:rPr>
                      <w:color w:val="auto"/>
                      <w:kern w:val="0"/>
                      <w:szCs w:val="21"/>
                      <w:highlight w:val="none"/>
                    </w:rPr>
                    <w:t>dB</w:t>
                  </w:r>
                  <w:r>
                    <w:rPr>
                      <w:rFonts w:hint="eastAsia"/>
                      <w:color w:val="auto"/>
                      <w:kern w:val="0"/>
                      <w:szCs w:val="21"/>
                      <w:highlight w:val="none"/>
                      <w:lang w:eastAsia="zh-CN"/>
                    </w:rPr>
                    <w:t>(</w:t>
                  </w:r>
                  <w:r>
                    <w:rPr>
                      <w:rFonts w:hint="eastAsia"/>
                      <w:color w:val="auto"/>
                      <w:kern w:val="0"/>
                      <w:szCs w:val="21"/>
                      <w:highlight w:val="none"/>
                    </w:rPr>
                    <w:t>A</w:t>
                  </w:r>
                  <w:r>
                    <w:rPr>
                      <w:rFonts w:hint="eastAsia"/>
                      <w:color w:val="auto"/>
                      <w:kern w:val="0"/>
                      <w:szCs w:val="21"/>
                      <w:highlight w:val="none"/>
                      <w:lang w:eastAsia="zh-CN"/>
                    </w:rPr>
                    <w:t>)</w:t>
                  </w:r>
                </w:p>
              </w:tc>
            </w:tr>
          </w:tbl>
          <w:p>
            <w:pPr>
              <w:spacing w:line="240" w:lineRule="auto"/>
              <w:jc w:val="center"/>
              <w:rPr>
                <w:b/>
                <w:bCs/>
                <w:color w:val="auto"/>
                <w:sz w:val="21"/>
                <w:szCs w:val="21"/>
                <w:highlight w:val="none"/>
              </w:rPr>
            </w:pPr>
            <w:bookmarkStart w:id="37" w:name="_Ref196743448"/>
            <w:r>
              <w:rPr>
                <w:b/>
                <w:bCs/>
                <w:color w:val="auto"/>
                <w:sz w:val="21"/>
                <w:szCs w:val="21"/>
                <w:highlight w:val="none"/>
              </w:rPr>
              <w:t>表</w:t>
            </w:r>
            <w:bookmarkEnd w:id="37"/>
            <w:r>
              <w:rPr>
                <w:b/>
                <w:bCs/>
                <w:color w:val="auto"/>
                <w:sz w:val="21"/>
                <w:szCs w:val="21"/>
                <w:highlight w:val="none"/>
              </w:rPr>
              <w:t>3-</w:t>
            </w:r>
            <w:r>
              <w:rPr>
                <w:rFonts w:hint="eastAsia"/>
                <w:b/>
                <w:bCs/>
                <w:color w:val="auto"/>
                <w:sz w:val="21"/>
                <w:szCs w:val="21"/>
                <w:highlight w:val="none"/>
                <w:lang w:val="en-US" w:eastAsia="zh-CN"/>
              </w:rPr>
              <w:t xml:space="preserve">8 </w:t>
            </w:r>
            <w:r>
              <w:rPr>
                <w:b/>
                <w:bCs/>
                <w:color w:val="auto"/>
                <w:sz w:val="21"/>
                <w:szCs w:val="21"/>
                <w:highlight w:val="none"/>
              </w:rPr>
              <w:t>噪声排放标准  单位：dB(A)</w:t>
            </w:r>
          </w:p>
          <w:tbl>
            <w:tblPr>
              <w:tblStyle w:val="29"/>
              <w:tblW w:w="893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50"/>
              <w:gridCol w:w="1320"/>
              <w:gridCol w:w="12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6350" w:type="dxa"/>
                  <w:noWrap w:val="0"/>
                  <w:vAlign w:val="center"/>
                </w:tcPr>
                <w:p>
                  <w:pPr>
                    <w:spacing w:line="320" w:lineRule="exact"/>
                    <w:jc w:val="center"/>
                    <w:rPr>
                      <w:rFonts w:hint="eastAsia" w:eastAsia="宋体"/>
                      <w:color w:val="auto"/>
                      <w:spacing w:val="5"/>
                      <w:szCs w:val="21"/>
                      <w:lang w:eastAsia="zh-CN"/>
                    </w:rPr>
                  </w:pPr>
                  <w:r>
                    <w:rPr>
                      <w:rFonts w:hint="eastAsia"/>
                      <w:color w:val="auto"/>
                      <w:spacing w:val="5"/>
                      <w:szCs w:val="21"/>
                      <w:lang w:val="en-US" w:eastAsia="zh-CN"/>
                    </w:rPr>
                    <w:t>标准</w:t>
                  </w:r>
                </w:p>
              </w:tc>
              <w:tc>
                <w:tcPr>
                  <w:tcW w:w="1320" w:type="dxa"/>
                  <w:noWrap w:val="0"/>
                  <w:vAlign w:val="center"/>
                </w:tcPr>
                <w:p>
                  <w:pPr>
                    <w:spacing w:line="320" w:lineRule="exact"/>
                    <w:jc w:val="center"/>
                    <w:rPr>
                      <w:color w:val="auto"/>
                      <w:spacing w:val="5"/>
                      <w:szCs w:val="21"/>
                    </w:rPr>
                  </w:pPr>
                  <w:r>
                    <w:rPr>
                      <w:color w:val="auto"/>
                      <w:spacing w:val="5"/>
                      <w:szCs w:val="21"/>
                    </w:rPr>
                    <w:t>昼间</w:t>
                  </w:r>
                </w:p>
              </w:tc>
              <w:tc>
                <w:tcPr>
                  <w:tcW w:w="1266" w:type="dxa"/>
                  <w:noWrap w:val="0"/>
                  <w:vAlign w:val="center"/>
                </w:tcPr>
                <w:p>
                  <w:pPr>
                    <w:spacing w:line="320" w:lineRule="exact"/>
                    <w:jc w:val="center"/>
                    <w:rPr>
                      <w:color w:val="auto"/>
                      <w:spacing w:val="5"/>
                      <w:szCs w:val="21"/>
                    </w:rPr>
                  </w:pPr>
                  <w:r>
                    <w:rPr>
                      <w:color w:val="auto"/>
                      <w:spacing w:val="5"/>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6350" w:type="dxa"/>
                  <w:noWrap w:val="0"/>
                  <w:vAlign w:val="center"/>
                </w:tcPr>
                <w:p>
                  <w:pPr>
                    <w:spacing w:line="320" w:lineRule="exact"/>
                    <w:jc w:val="center"/>
                    <w:rPr>
                      <w:rFonts w:hint="default" w:eastAsia="宋体"/>
                      <w:color w:val="auto"/>
                      <w:kern w:val="0"/>
                      <w:szCs w:val="21"/>
                      <w:lang w:val="en-US" w:eastAsia="zh-CN"/>
                    </w:rPr>
                  </w:pPr>
                  <w:r>
                    <w:rPr>
                      <w:color w:val="auto"/>
                      <w:kern w:val="0"/>
                      <w:szCs w:val="21"/>
                    </w:rPr>
                    <w:t>《工业企业厂界环境噪声排放标准》</w:t>
                  </w:r>
                  <w:r>
                    <w:rPr>
                      <w:rFonts w:hint="eastAsia"/>
                      <w:color w:val="auto"/>
                      <w:kern w:val="0"/>
                      <w:szCs w:val="21"/>
                      <w:lang w:eastAsia="zh-CN"/>
                    </w:rPr>
                    <w:t>（</w:t>
                  </w:r>
                  <w:r>
                    <w:rPr>
                      <w:color w:val="auto"/>
                      <w:kern w:val="0"/>
                      <w:szCs w:val="21"/>
                    </w:rPr>
                    <w:t>GB12348-2008</w:t>
                  </w:r>
                  <w:r>
                    <w:rPr>
                      <w:rFonts w:hint="eastAsia"/>
                      <w:color w:val="auto"/>
                      <w:kern w:val="0"/>
                      <w:szCs w:val="21"/>
                      <w:lang w:eastAsia="zh-CN"/>
                    </w:rPr>
                    <w:t>）</w:t>
                  </w:r>
                  <w:r>
                    <w:rPr>
                      <w:rFonts w:hint="eastAsia"/>
                      <w:color w:val="auto"/>
                      <w:kern w:val="0"/>
                      <w:szCs w:val="21"/>
                      <w:lang w:val="en-US" w:eastAsia="zh-CN"/>
                    </w:rPr>
                    <w:t>中2类标准</w:t>
                  </w:r>
                </w:p>
              </w:tc>
              <w:tc>
                <w:tcPr>
                  <w:tcW w:w="1320" w:type="dxa"/>
                  <w:noWrap w:val="0"/>
                  <w:vAlign w:val="center"/>
                </w:tcPr>
                <w:p>
                  <w:pPr>
                    <w:spacing w:line="320" w:lineRule="exact"/>
                    <w:jc w:val="center"/>
                    <w:rPr>
                      <w:color w:val="auto"/>
                      <w:spacing w:val="5"/>
                      <w:szCs w:val="21"/>
                    </w:rPr>
                  </w:pPr>
                  <w:r>
                    <w:rPr>
                      <w:rFonts w:hint="eastAsia"/>
                      <w:color w:val="auto"/>
                      <w:spacing w:val="5"/>
                      <w:szCs w:val="21"/>
                    </w:rPr>
                    <w:t>6</w:t>
                  </w:r>
                  <w:r>
                    <w:rPr>
                      <w:rFonts w:hint="eastAsia"/>
                      <w:color w:val="auto"/>
                      <w:spacing w:val="5"/>
                      <w:szCs w:val="21"/>
                      <w:lang w:val="en-US" w:eastAsia="zh-CN"/>
                    </w:rPr>
                    <w:t>0</w:t>
                  </w:r>
                  <w:r>
                    <w:rPr>
                      <w:color w:val="auto"/>
                      <w:spacing w:val="5"/>
                      <w:szCs w:val="21"/>
                    </w:rPr>
                    <w:t>dB</w:t>
                  </w:r>
                  <w:r>
                    <w:rPr>
                      <w:rFonts w:hint="eastAsia"/>
                      <w:color w:val="auto"/>
                      <w:spacing w:val="5"/>
                      <w:szCs w:val="21"/>
                      <w:lang w:eastAsia="zh-CN"/>
                    </w:rPr>
                    <w:t>(</w:t>
                  </w:r>
                  <w:r>
                    <w:rPr>
                      <w:color w:val="auto"/>
                      <w:spacing w:val="5"/>
                      <w:szCs w:val="21"/>
                    </w:rPr>
                    <w:t>A</w:t>
                  </w:r>
                  <w:r>
                    <w:rPr>
                      <w:rFonts w:hint="eastAsia"/>
                      <w:color w:val="auto"/>
                      <w:spacing w:val="5"/>
                      <w:szCs w:val="21"/>
                      <w:lang w:eastAsia="zh-CN"/>
                    </w:rPr>
                    <w:t>)</w:t>
                  </w:r>
                </w:p>
              </w:tc>
              <w:tc>
                <w:tcPr>
                  <w:tcW w:w="1266" w:type="dxa"/>
                  <w:noWrap w:val="0"/>
                  <w:vAlign w:val="center"/>
                </w:tcPr>
                <w:p>
                  <w:pPr>
                    <w:spacing w:line="320" w:lineRule="exact"/>
                    <w:jc w:val="center"/>
                    <w:rPr>
                      <w:color w:val="auto"/>
                      <w:spacing w:val="5"/>
                      <w:szCs w:val="21"/>
                    </w:rPr>
                  </w:pPr>
                  <w:r>
                    <w:rPr>
                      <w:rFonts w:hint="eastAsia"/>
                      <w:color w:val="auto"/>
                      <w:spacing w:val="5"/>
                      <w:szCs w:val="21"/>
                    </w:rPr>
                    <w:t>5</w:t>
                  </w:r>
                  <w:r>
                    <w:rPr>
                      <w:rFonts w:hint="eastAsia"/>
                      <w:color w:val="auto"/>
                      <w:spacing w:val="5"/>
                      <w:szCs w:val="21"/>
                      <w:lang w:val="en-US" w:eastAsia="zh-CN"/>
                    </w:rPr>
                    <w:t>0</w:t>
                  </w:r>
                  <w:r>
                    <w:rPr>
                      <w:color w:val="auto"/>
                      <w:spacing w:val="5"/>
                      <w:szCs w:val="21"/>
                    </w:rPr>
                    <w:t>dB</w:t>
                  </w:r>
                  <w:r>
                    <w:rPr>
                      <w:rFonts w:hint="eastAsia"/>
                      <w:color w:val="auto"/>
                      <w:spacing w:val="5"/>
                      <w:szCs w:val="21"/>
                      <w:lang w:eastAsia="zh-CN"/>
                    </w:rPr>
                    <w:t>(</w:t>
                  </w:r>
                  <w:r>
                    <w:rPr>
                      <w:color w:val="auto"/>
                      <w:spacing w:val="5"/>
                      <w:szCs w:val="21"/>
                    </w:rPr>
                    <w:t>A</w:t>
                  </w:r>
                  <w:r>
                    <w:rPr>
                      <w:rFonts w:hint="eastAsia"/>
                      <w:color w:val="auto"/>
                      <w:spacing w:val="5"/>
                      <w:szCs w:val="21"/>
                      <w:lang w:eastAsia="zh-CN"/>
                    </w:rPr>
                    <w:t>)</w:t>
                  </w:r>
                </w:p>
              </w:tc>
            </w:tr>
          </w:tbl>
          <w:p>
            <w:pPr>
              <w:pStyle w:val="88"/>
              <w:spacing w:line="360" w:lineRule="auto"/>
              <w:ind w:firstLine="480" w:firstLineChars="200"/>
              <w:rPr>
                <w:color w:val="auto"/>
                <w:highlight w:val="none"/>
              </w:rPr>
            </w:pPr>
            <w:r>
              <w:rPr>
                <w:rFonts w:hint="eastAsia"/>
                <w:color w:val="auto"/>
                <w:highlight w:val="none"/>
                <w:lang w:val="en-US" w:eastAsia="zh-CN"/>
              </w:rPr>
              <w:t>4</w:t>
            </w:r>
            <w:r>
              <w:rPr>
                <w:color w:val="auto"/>
                <w:highlight w:val="none"/>
              </w:rPr>
              <w:t>、固体废物</w:t>
            </w:r>
          </w:p>
          <w:p>
            <w:pPr>
              <w:adjustRightInd w:val="0"/>
              <w:snapToGrid w:val="0"/>
              <w:spacing w:line="360" w:lineRule="auto"/>
              <w:ind w:firstLine="480" w:firstLineChars="200"/>
              <w:rPr>
                <w:rFonts w:hint="default" w:eastAsia="宋体"/>
                <w:color w:val="auto"/>
                <w:lang w:val="en-US" w:eastAsia="zh-CN"/>
              </w:rPr>
            </w:pPr>
            <w:r>
              <w:rPr>
                <w:color w:val="auto"/>
                <w:sz w:val="24"/>
                <w:szCs w:val="24"/>
                <w:highlight w:val="none"/>
              </w:rPr>
              <w:t>固体废物污染物控制标准：</w:t>
            </w:r>
            <w:r>
              <w:rPr>
                <w:rFonts w:hint="default" w:ascii="Times New Roman" w:hAnsi="Times New Roman" w:cs="Times New Roman"/>
                <w:color w:val="auto"/>
                <w:spacing w:val="0"/>
                <w:kern w:val="0"/>
                <w:position w:val="0"/>
                <w:sz w:val="24"/>
                <w:szCs w:val="24"/>
                <w:highlight w:val="none"/>
              </w:rPr>
              <w:t>一般固体废物执行《一般工业固体废物贮存和填埋污染控制标准》（GB18599-2020）及</w:t>
            </w:r>
            <w:r>
              <w:rPr>
                <w:rFonts w:hint="eastAsia"/>
                <w:color w:val="auto"/>
                <w:sz w:val="24"/>
                <w:szCs w:val="24"/>
              </w:rPr>
              <w:t>《固体废物分类与代码目录》</w:t>
            </w:r>
            <w:r>
              <w:rPr>
                <w:rFonts w:hint="default" w:ascii="Times New Roman" w:hAnsi="Times New Roman" w:cs="Times New Roman"/>
                <w:color w:val="auto"/>
                <w:spacing w:val="0"/>
                <w:kern w:val="0"/>
                <w:position w:val="0"/>
                <w:sz w:val="24"/>
                <w:szCs w:val="24"/>
                <w:highlight w:val="none"/>
              </w:rPr>
              <w:t>。</w:t>
            </w:r>
            <w:r>
              <w:rPr>
                <w:rFonts w:hint="eastAsia" w:cs="Times New Roman"/>
                <w:color w:val="auto"/>
                <w:spacing w:val="0"/>
                <w:kern w:val="0"/>
                <w:position w:val="0"/>
                <w:sz w:val="24"/>
                <w:szCs w:val="24"/>
                <w:highlight w:val="none"/>
                <w:lang w:val="en-US" w:eastAsia="zh-CN"/>
              </w:rPr>
              <w:t>危险废物执行</w:t>
            </w:r>
            <w:r>
              <w:rPr>
                <w:color w:val="000000"/>
                <w:sz w:val="24"/>
              </w:rPr>
              <w:t>《危险废物贮存污染控制标准》（GB18597-20</w:t>
            </w:r>
            <w:r>
              <w:rPr>
                <w:rFonts w:hint="eastAsia"/>
                <w:color w:val="000000"/>
                <w:sz w:val="24"/>
                <w:lang w:val="en-US" w:eastAsia="zh-CN"/>
              </w:rPr>
              <w:t>23</w:t>
            </w:r>
            <w:r>
              <w:rPr>
                <w:color w:val="00000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jc w:val="center"/>
        </w:trPr>
        <w:tc>
          <w:tcPr>
            <w:tcW w:w="481" w:type="dxa"/>
            <w:vAlign w:val="center"/>
          </w:tcPr>
          <w:p>
            <w:pPr>
              <w:adjustRightInd w:val="0"/>
              <w:snapToGrid w:val="0"/>
              <w:jc w:val="center"/>
              <w:rPr>
                <w:color w:val="auto"/>
                <w:kern w:val="0"/>
                <w:sz w:val="24"/>
              </w:rPr>
            </w:pPr>
            <w:r>
              <w:rPr>
                <w:color w:val="auto"/>
                <w:kern w:val="0"/>
                <w:sz w:val="24"/>
              </w:rPr>
              <w:t>总量</w:t>
            </w:r>
          </w:p>
          <w:p>
            <w:pPr>
              <w:adjustRightInd w:val="0"/>
              <w:snapToGrid w:val="0"/>
              <w:jc w:val="center"/>
              <w:rPr>
                <w:color w:val="auto"/>
                <w:kern w:val="0"/>
                <w:sz w:val="24"/>
              </w:rPr>
            </w:pPr>
            <w:r>
              <w:rPr>
                <w:color w:val="auto"/>
                <w:kern w:val="0"/>
                <w:sz w:val="24"/>
              </w:rPr>
              <w:t>控制</w:t>
            </w:r>
          </w:p>
          <w:p>
            <w:pPr>
              <w:adjustRightInd w:val="0"/>
              <w:snapToGrid w:val="0"/>
              <w:jc w:val="center"/>
              <w:rPr>
                <w:color w:val="auto"/>
                <w:kern w:val="0"/>
                <w:sz w:val="24"/>
              </w:rPr>
            </w:pPr>
            <w:r>
              <w:rPr>
                <w:color w:val="auto"/>
                <w:kern w:val="0"/>
                <w:sz w:val="24"/>
              </w:rPr>
              <w:t>指标</w:t>
            </w:r>
          </w:p>
        </w:tc>
        <w:tc>
          <w:tcPr>
            <w:tcW w:w="9157" w:type="dxa"/>
            <w:vAlign w:val="center"/>
          </w:tcPr>
          <w:p>
            <w:pPr>
              <w:adjustRightInd w:val="0"/>
              <w:snapToGrid w:val="0"/>
              <w:jc w:val="center"/>
              <w:rPr>
                <w:rFonts w:hint="eastAsia" w:eastAsia="宋体"/>
                <w:b/>
                <w:color w:val="auto"/>
                <w:sz w:val="21"/>
                <w:szCs w:val="21"/>
                <w:highlight w:val="none"/>
                <w:lang w:eastAsia="zh-CN"/>
              </w:rPr>
            </w:pPr>
            <w:r>
              <w:rPr>
                <w:b/>
                <w:color w:val="auto"/>
                <w:sz w:val="21"/>
                <w:szCs w:val="21"/>
                <w:highlight w:val="none"/>
              </w:rPr>
              <w:t>表3-</w:t>
            </w:r>
            <w:r>
              <w:rPr>
                <w:rFonts w:hint="eastAsia"/>
                <w:b/>
                <w:color w:val="auto"/>
                <w:sz w:val="21"/>
                <w:szCs w:val="21"/>
                <w:highlight w:val="none"/>
                <w:lang w:val="en-US" w:eastAsia="zh-CN"/>
              </w:rPr>
              <w:t xml:space="preserve">9 </w:t>
            </w:r>
            <w:r>
              <w:rPr>
                <w:b/>
                <w:color w:val="auto"/>
                <w:sz w:val="21"/>
                <w:szCs w:val="21"/>
                <w:highlight w:val="none"/>
              </w:rPr>
              <w:t>总量控制指标表</w:t>
            </w:r>
          </w:p>
          <w:tbl>
            <w:tblPr>
              <w:tblStyle w:val="29"/>
              <w:tblW w:w="894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77"/>
              <w:gridCol w:w="2982"/>
              <w:gridCol w:w="29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2977" w:type="dxa"/>
                  <w:tcBorders>
                    <w:tl2br w:val="nil"/>
                    <w:tr2bl w:val="nil"/>
                  </w:tcBorders>
                </w:tcPr>
                <w:p>
                  <w:pPr>
                    <w:pStyle w:val="75"/>
                    <w:ind w:firstLine="0"/>
                    <w:jc w:val="center"/>
                    <w:rPr>
                      <w:color w:val="auto"/>
                      <w:sz w:val="21"/>
                      <w:szCs w:val="21"/>
                      <w:highlight w:val="none"/>
                    </w:rPr>
                  </w:pPr>
                  <w:r>
                    <w:rPr>
                      <w:color w:val="auto"/>
                      <w:sz w:val="21"/>
                      <w:szCs w:val="21"/>
                      <w:highlight w:val="none"/>
                    </w:rPr>
                    <w:t>污染物</w:t>
                  </w:r>
                </w:p>
              </w:tc>
              <w:tc>
                <w:tcPr>
                  <w:tcW w:w="2982" w:type="dxa"/>
                  <w:tcBorders>
                    <w:tl2br w:val="nil"/>
                    <w:tr2bl w:val="nil"/>
                  </w:tcBorders>
                </w:tcPr>
                <w:p>
                  <w:pPr>
                    <w:pStyle w:val="75"/>
                    <w:ind w:firstLine="0"/>
                    <w:jc w:val="center"/>
                    <w:rPr>
                      <w:color w:val="auto"/>
                      <w:sz w:val="21"/>
                      <w:szCs w:val="21"/>
                      <w:highlight w:val="none"/>
                    </w:rPr>
                  </w:pPr>
                  <w:r>
                    <w:rPr>
                      <w:color w:val="auto"/>
                      <w:sz w:val="21"/>
                      <w:szCs w:val="21"/>
                      <w:highlight w:val="none"/>
                    </w:rPr>
                    <w:t>预测排放量</w:t>
                  </w:r>
                  <w:r>
                    <w:rPr>
                      <w:color w:val="auto"/>
                      <w:szCs w:val="21"/>
                      <w:highlight w:val="none"/>
                    </w:rPr>
                    <w:t>t/a</w:t>
                  </w:r>
                </w:p>
              </w:tc>
              <w:tc>
                <w:tcPr>
                  <w:tcW w:w="2982" w:type="dxa"/>
                  <w:tcBorders>
                    <w:tl2br w:val="nil"/>
                    <w:tr2bl w:val="nil"/>
                  </w:tcBorders>
                </w:tcPr>
                <w:p>
                  <w:pPr>
                    <w:pStyle w:val="75"/>
                    <w:ind w:firstLine="0"/>
                    <w:jc w:val="center"/>
                    <w:rPr>
                      <w:color w:val="auto"/>
                      <w:sz w:val="21"/>
                      <w:szCs w:val="21"/>
                      <w:highlight w:val="none"/>
                    </w:rPr>
                  </w:pPr>
                  <w:r>
                    <w:rPr>
                      <w:color w:val="auto"/>
                      <w:sz w:val="21"/>
                      <w:szCs w:val="21"/>
                      <w:highlight w:val="none"/>
                    </w:rPr>
                    <w:t>核定排放量</w:t>
                  </w:r>
                  <w:r>
                    <w:rPr>
                      <w:color w:val="auto"/>
                      <w:szCs w:val="21"/>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977" w:type="dxa"/>
                  <w:tcBorders>
                    <w:tl2br w:val="nil"/>
                    <w:tr2bl w:val="nil"/>
                  </w:tcBorders>
                </w:tcPr>
                <w:p>
                  <w:pPr>
                    <w:pStyle w:val="75"/>
                    <w:ind w:firstLine="0"/>
                    <w:jc w:val="center"/>
                    <w:rPr>
                      <w:rFonts w:hint="eastAsia" w:eastAsia="宋体"/>
                      <w:color w:val="auto"/>
                      <w:sz w:val="21"/>
                      <w:szCs w:val="21"/>
                      <w:highlight w:val="none"/>
                      <w:lang w:eastAsia="zh-CN"/>
                    </w:rPr>
                  </w:pPr>
                  <w:r>
                    <w:rPr>
                      <w:color w:val="auto"/>
                      <w:sz w:val="21"/>
                      <w:szCs w:val="21"/>
                      <w:highlight w:val="none"/>
                    </w:rPr>
                    <w:t>COD</w:t>
                  </w:r>
                  <w:r>
                    <w:rPr>
                      <w:rFonts w:hint="eastAsia"/>
                      <w:color w:val="auto"/>
                      <w:sz w:val="21"/>
                      <w:szCs w:val="21"/>
                      <w:highlight w:val="none"/>
                      <w:lang w:eastAsia="zh-CN"/>
                    </w:rPr>
                    <w:t>（</w:t>
                  </w:r>
                  <w:r>
                    <w:rPr>
                      <w:rFonts w:hint="eastAsia"/>
                      <w:color w:val="auto"/>
                      <w:sz w:val="21"/>
                      <w:szCs w:val="21"/>
                      <w:highlight w:val="none"/>
                      <w:lang w:val="en-US" w:eastAsia="zh-CN"/>
                    </w:rPr>
                    <w:t>分担量</w:t>
                  </w:r>
                  <w:r>
                    <w:rPr>
                      <w:rFonts w:hint="eastAsia"/>
                      <w:color w:val="auto"/>
                      <w:sz w:val="21"/>
                      <w:szCs w:val="21"/>
                      <w:highlight w:val="none"/>
                      <w:lang w:eastAsia="zh-CN"/>
                    </w:rPr>
                    <w:t>）</w:t>
                  </w:r>
                </w:p>
              </w:tc>
              <w:tc>
                <w:tcPr>
                  <w:tcW w:w="2982"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0.0529</w:t>
                  </w:r>
                </w:p>
              </w:tc>
              <w:tc>
                <w:tcPr>
                  <w:tcW w:w="2982" w:type="dxa"/>
                  <w:tcBorders>
                    <w:tl2br w:val="nil"/>
                    <w:tr2bl w:val="nil"/>
                  </w:tcBorders>
                </w:tcPr>
                <w:p>
                  <w:pPr>
                    <w:jc w:val="center"/>
                    <w:rPr>
                      <w:rFonts w:hint="default" w:eastAsia="宋体"/>
                      <w:color w:val="auto"/>
                      <w:highlight w:val="none"/>
                      <w:lang w:val="en-US" w:eastAsia="zh-CN"/>
                    </w:rPr>
                  </w:pPr>
                  <w:r>
                    <w:rPr>
                      <w:rFonts w:hint="eastAsia"/>
                      <w:color w:val="auto"/>
                      <w:highlight w:val="none"/>
                      <w:lang w:val="en-US" w:eastAsia="zh-CN"/>
                    </w:rPr>
                    <w:t>0.065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1" w:hRule="atLeast"/>
              </w:trPr>
              <w:tc>
                <w:tcPr>
                  <w:tcW w:w="2977" w:type="dxa"/>
                  <w:tcBorders>
                    <w:tl2br w:val="nil"/>
                    <w:tr2bl w:val="nil"/>
                  </w:tcBorders>
                </w:tcPr>
                <w:p>
                  <w:pPr>
                    <w:pStyle w:val="75"/>
                    <w:ind w:firstLine="0"/>
                    <w:jc w:val="center"/>
                    <w:rPr>
                      <w:color w:val="auto"/>
                      <w:sz w:val="21"/>
                      <w:szCs w:val="21"/>
                      <w:highlight w:val="none"/>
                    </w:rPr>
                  </w:pPr>
                  <w:r>
                    <w:rPr>
                      <w:color w:val="auto"/>
                      <w:sz w:val="21"/>
                      <w:szCs w:val="21"/>
                      <w:highlight w:val="none"/>
                    </w:rPr>
                    <w:t>NH</w:t>
                  </w:r>
                  <w:r>
                    <w:rPr>
                      <w:color w:val="auto"/>
                      <w:sz w:val="21"/>
                      <w:szCs w:val="21"/>
                      <w:highlight w:val="none"/>
                      <w:vertAlign w:val="subscript"/>
                    </w:rPr>
                    <w:t>3</w:t>
                  </w:r>
                  <w:r>
                    <w:rPr>
                      <w:rFonts w:hint="eastAsia"/>
                      <w:color w:val="auto"/>
                      <w:sz w:val="21"/>
                      <w:szCs w:val="21"/>
                      <w:highlight w:val="none"/>
                      <w:lang w:eastAsia="zh-CN"/>
                    </w:rPr>
                    <w:t>（</w:t>
                  </w:r>
                  <w:r>
                    <w:rPr>
                      <w:rFonts w:hint="eastAsia"/>
                      <w:color w:val="auto"/>
                      <w:sz w:val="21"/>
                      <w:szCs w:val="21"/>
                      <w:highlight w:val="none"/>
                      <w:lang w:val="en-US" w:eastAsia="zh-CN"/>
                    </w:rPr>
                    <w:t>分担量</w:t>
                  </w:r>
                  <w:r>
                    <w:rPr>
                      <w:rFonts w:hint="eastAsia"/>
                      <w:color w:val="auto"/>
                      <w:sz w:val="21"/>
                      <w:szCs w:val="21"/>
                      <w:highlight w:val="none"/>
                      <w:lang w:eastAsia="zh-CN"/>
                    </w:rPr>
                    <w:t>）</w:t>
                  </w:r>
                </w:p>
              </w:tc>
              <w:tc>
                <w:tcPr>
                  <w:tcW w:w="2982"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0.0032</w:t>
                  </w:r>
                </w:p>
              </w:tc>
              <w:tc>
                <w:tcPr>
                  <w:tcW w:w="2982" w:type="dxa"/>
                  <w:tcBorders>
                    <w:tl2br w:val="nil"/>
                    <w:tr2bl w:val="nil"/>
                  </w:tcBorders>
                </w:tcPr>
                <w:p>
                  <w:pPr>
                    <w:jc w:val="center"/>
                    <w:rPr>
                      <w:rFonts w:hint="default" w:eastAsia="宋体"/>
                      <w:color w:val="auto"/>
                      <w:highlight w:val="none"/>
                      <w:lang w:val="en-US" w:eastAsia="zh-CN"/>
                    </w:rPr>
                  </w:pPr>
                  <w:r>
                    <w:rPr>
                      <w:rFonts w:hint="eastAsia"/>
                      <w:color w:val="auto"/>
                      <w:highlight w:val="none"/>
                      <w:lang w:val="en-US" w:eastAsia="zh-CN"/>
                    </w:rPr>
                    <w:t>0.005</w:t>
                  </w:r>
                </w:p>
              </w:tc>
            </w:tr>
          </w:tbl>
          <w:p>
            <w:pPr>
              <w:rPr>
                <w:color w:val="auto"/>
              </w:rPr>
            </w:pPr>
          </w:p>
        </w:tc>
      </w:tr>
    </w:tbl>
    <w:p>
      <w:pPr>
        <w:pStyle w:val="24"/>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bookmarkStart w:id="38" w:name="_Toc14552"/>
      <w:r>
        <w:rPr>
          <w:rFonts w:ascii="Times New Roman" w:hAnsi="Times New Roman" w:eastAsia="黑体"/>
          <w:snapToGrid w:val="0"/>
          <w:color w:val="auto"/>
          <w:sz w:val="30"/>
          <w:szCs w:val="30"/>
        </w:rPr>
        <w:t>四、主要环境影响和保护措施</w:t>
      </w:r>
      <w:bookmarkEnd w:id="38"/>
    </w:p>
    <w:tbl>
      <w:tblPr>
        <w:tblStyle w:val="29"/>
        <w:tblW w:w="964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6"/>
        <w:gridCol w:w="93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673" w:hRule="atLeast"/>
          <w:jc w:val="center"/>
        </w:trPr>
        <w:tc>
          <w:tcPr>
            <w:tcW w:w="296" w:type="dxa"/>
            <w:tcMar>
              <w:left w:w="28" w:type="dxa"/>
              <w:right w:w="28" w:type="dxa"/>
            </w:tcMar>
            <w:vAlign w:val="center"/>
          </w:tcPr>
          <w:p>
            <w:pPr>
              <w:pStyle w:val="24"/>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施工</w:t>
            </w:r>
          </w:p>
          <w:p>
            <w:pPr>
              <w:pStyle w:val="24"/>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期环</w:t>
            </w:r>
          </w:p>
          <w:p>
            <w:pPr>
              <w:pStyle w:val="24"/>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境保</w:t>
            </w:r>
          </w:p>
          <w:p>
            <w:pPr>
              <w:pStyle w:val="24"/>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护措</w:t>
            </w:r>
          </w:p>
          <w:p>
            <w:pPr>
              <w:pStyle w:val="24"/>
              <w:adjustRightInd w:val="0"/>
              <w:snapToGrid w:val="0"/>
              <w:spacing w:before="0" w:beforeAutospacing="0" w:after="0" w:afterAutospacing="0"/>
              <w:jc w:val="center"/>
              <w:rPr>
                <w:rFonts w:ascii="Times New Roman" w:hAnsi="Times New Roman"/>
                <w:bCs/>
                <w:color w:val="auto"/>
                <w:kern w:val="2"/>
                <w:szCs w:val="24"/>
              </w:rPr>
            </w:pPr>
            <w:r>
              <w:rPr>
                <w:rFonts w:ascii="Times New Roman" w:hAnsi="Times New Roman"/>
                <w:color w:val="auto"/>
                <w:kern w:val="2"/>
                <w:szCs w:val="24"/>
              </w:rPr>
              <w:t>施</w:t>
            </w:r>
          </w:p>
        </w:tc>
        <w:tc>
          <w:tcPr>
            <w:tcW w:w="9352" w:type="dxa"/>
            <w:vAlign w:val="center"/>
          </w:tcPr>
          <w:p>
            <w:pPr>
              <w:widowControl w:val="0"/>
              <w:adjustRightInd w:val="0"/>
              <w:snapToGrid w:val="0"/>
              <w:spacing w:line="360" w:lineRule="auto"/>
              <w:ind w:firstLine="480" w:firstLineChars="200"/>
              <w:jc w:val="both"/>
              <w:rPr>
                <w:rFonts w:ascii="Times New Roman" w:hAnsi="Times New Roman" w:cs="Times New Roman"/>
                <w:bCs/>
                <w:color w:val="auto"/>
                <w:sz w:val="24"/>
                <w:szCs w:val="24"/>
              </w:rPr>
            </w:pPr>
            <w:r>
              <w:rPr>
                <w:rFonts w:ascii="Times New Roman" w:hAnsi="Times New Roman" w:cs="Times New Roman"/>
                <w:bCs/>
                <w:color w:val="auto"/>
                <w:sz w:val="24"/>
                <w:szCs w:val="24"/>
              </w:rPr>
              <w:t>1、施工期废水防治措施</w:t>
            </w:r>
          </w:p>
          <w:p>
            <w:pPr>
              <w:widowControl w:val="0"/>
              <w:adjustRightInd w:val="0"/>
              <w:snapToGrid w:val="0"/>
              <w:spacing w:line="360" w:lineRule="auto"/>
              <w:ind w:firstLine="480" w:firstLineChars="200"/>
              <w:jc w:val="both"/>
              <w:rPr>
                <w:rFonts w:ascii="Times New Roman" w:hAnsi="Times New Roman" w:cs="Times New Roman"/>
                <w:bCs/>
                <w:color w:val="auto"/>
                <w:sz w:val="24"/>
                <w:szCs w:val="24"/>
              </w:rPr>
            </w:pPr>
            <w:r>
              <w:rPr>
                <w:rFonts w:ascii="Times New Roman" w:hAnsi="Times New Roman" w:cs="Times New Roman"/>
                <w:bCs/>
                <w:color w:val="auto"/>
                <w:sz w:val="24"/>
                <w:szCs w:val="24"/>
              </w:rPr>
              <w:t>工程施工期间，施工单位应严格执行《建设工程施工场地文明施工及环境管理暂行规定》，对地面污水的排放进行组织设计，严禁乱排和污染道路、环境等，严禁将施工污水散排。施工过程中产生的施工废水应进行收集、沉淀处理后用于场内洒水</w:t>
            </w:r>
            <w:r>
              <w:rPr>
                <w:rFonts w:hint="eastAsia" w:cs="Times New Roman"/>
                <w:bCs/>
                <w:color w:val="auto"/>
                <w:sz w:val="24"/>
                <w:szCs w:val="24"/>
                <w:lang w:val="en-US" w:eastAsia="zh-CN"/>
              </w:rPr>
              <w:t>降尘</w:t>
            </w:r>
            <w:r>
              <w:rPr>
                <w:rFonts w:ascii="Times New Roman" w:hAnsi="Times New Roman" w:cs="Times New Roman"/>
                <w:bCs/>
                <w:color w:val="auto"/>
                <w:sz w:val="24"/>
                <w:szCs w:val="24"/>
              </w:rPr>
              <w:t>。生活污水排入防渗旱厕，定期清掏外运堆肥。在认真落实上述措施的基础上，施工废水对施工现场周围的环境影响较小，</w:t>
            </w:r>
            <w:r>
              <w:rPr>
                <w:rFonts w:hint="eastAsia" w:ascii="Times New Roman" w:hAnsi="Times New Roman" w:cs="Times New Roman"/>
                <w:bCs/>
                <w:color w:val="auto"/>
                <w:sz w:val="24"/>
                <w:szCs w:val="24"/>
                <w:lang w:eastAsia="zh-CN"/>
              </w:rPr>
              <w:t>随着</w:t>
            </w:r>
            <w:r>
              <w:rPr>
                <w:rFonts w:ascii="Times New Roman" w:hAnsi="Times New Roman" w:cs="Times New Roman"/>
                <w:bCs/>
                <w:color w:val="auto"/>
                <w:sz w:val="24"/>
                <w:szCs w:val="24"/>
              </w:rPr>
              <w:t>施工期的结束</w:t>
            </w:r>
            <w:r>
              <w:rPr>
                <w:rFonts w:hint="eastAsia" w:ascii="Times New Roman" w:hAnsi="Times New Roman" w:cs="Times New Roman"/>
                <w:bCs/>
                <w:color w:val="auto"/>
                <w:sz w:val="24"/>
                <w:szCs w:val="24"/>
                <w:lang w:eastAsia="zh-CN"/>
              </w:rPr>
              <w:t>，影响也</w:t>
            </w:r>
            <w:r>
              <w:rPr>
                <w:rFonts w:ascii="Times New Roman" w:hAnsi="Times New Roman" w:cs="Times New Roman"/>
                <w:bCs/>
                <w:color w:val="auto"/>
                <w:sz w:val="24"/>
                <w:szCs w:val="24"/>
              </w:rPr>
              <w:t>将</w:t>
            </w:r>
            <w:r>
              <w:rPr>
                <w:rFonts w:hint="eastAsia" w:ascii="Times New Roman" w:hAnsi="Times New Roman" w:cs="Times New Roman"/>
                <w:bCs/>
                <w:color w:val="auto"/>
                <w:sz w:val="24"/>
                <w:szCs w:val="24"/>
                <w:lang w:eastAsia="zh-CN"/>
              </w:rPr>
              <w:t>消失</w:t>
            </w:r>
            <w:r>
              <w:rPr>
                <w:rFonts w:ascii="Times New Roman" w:hAnsi="Times New Roman" w:cs="Times New Roman"/>
                <w:bCs/>
                <w:color w:val="auto"/>
                <w:sz w:val="24"/>
                <w:szCs w:val="24"/>
              </w:rPr>
              <w:t>。</w:t>
            </w:r>
          </w:p>
          <w:p>
            <w:pPr>
              <w:pStyle w:val="150"/>
              <w:spacing w:before="0" w:after="0" w:line="360" w:lineRule="auto"/>
              <w:ind w:firstLine="480" w:firstLineChars="200"/>
              <w:jc w:val="both"/>
              <w:outlineLvl w:val="9"/>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2、施工期大气污染防治措施</w:t>
            </w:r>
          </w:p>
          <w:p>
            <w:pPr>
              <w:pStyle w:val="150"/>
              <w:spacing w:before="0" w:after="0" w:line="360" w:lineRule="auto"/>
              <w:ind w:firstLine="480" w:firstLineChars="200"/>
              <w:jc w:val="both"/>
              <w:outlineLvl w:val="9"/>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为使施工过程中产生的粉尘和废气对周围环境空气的影响降低到</w:t>
            </w:r>
            <w:r>
              <w:rPr>
                <w:rFonts w:hint="eastAsia" w:ascii="Times New Roman" w:hAnsi="Times New Roman" w:cs="Times New Roman"/>
                <w:b w:val="0"/>
                <w:bCs/>
                <w:color w:val="auto"/>
                <w:sz w:val="24"/>
                <w:szCs w:val="24"/>
                <w:lang w:eastAsia="zh-CN"/>
              </w:rPr>
              <w:t>最低</w:t>
            </w:r>
            <w:r>
              <w:rPr>
                <w:rFonts w:ascii="Times New Roman" w:hAnsi="Times New Roman" w:cs="Times New Roman"/>
                <w:b w:val="0"/>
                <w:bCs/>
                <w:color w:val="auto"/>
                <w:sz w:val="24"/>
                <w:szCs w:val="24"/>
              </w:rPr>
              <w:t>程度，建议采取以下防护措施：</w:t>
            </w:r>
          </w:p>
          <w:p>
            <w:pPr>
              <w:pStyle w:val="150"/>
              <w:spacing w:before="0" w:after="0" w:line="360" w:lineRule="auto"/>
              <w:ind w:firstLine="480" w:firstLineChars="200"/>
              <w:jc w:val="both"/>
              <w:outlineLvl w:val="9"/>
              <w:rPr>
                <w:rFonts w:ascii="Times New Roman" w:hAnsi="Times New Roman" w:cs="Times New Roman"/>
                <w:b w:val="0"/>
                <w:bCs/>
                <w:color w:val="auto"/>
                <w:sz w:val="24"/>
                <w:szCs w:val="24"/>
              </w:rPr>
            </w:pPr>
            <w:r>
              <w:rPr>
                <w:rFonts w:hint="eastAsia"/>
                <w:b w:val="0"/>
                <w:bCs/>
                <w:color w:val="auto"/>
                <w:sz w:val="24"/>
                <w:szCs w:val="24"/>
              </w:rPr>
              <w:t>①</w:t>
            </w:r>
            <w:r>
              <w:rPr>
                <w:rFonts w:ascii="Times New Roman" w:hAnsi="Times New Roman" w:cs="Times New Roman"/>
                <w:b w:val="0"/>
                <w:bCs/>
                <w:color w:val="auto"/>
                <w:sz w:val="24"/>
                <w:szCs w:val="24"/>
              </w:rPr>
              <w:t>在施工作业现场设置围挡。容易产生粉尘的施工过程应洒水作业，使作业面保持一定的湿度；对施工场地内松散、干涸的表土也应经常洒水</w:t>
            </w:r>
            <w:r>
              <w:rPr>
                <w:rFonts w:hint="eastAsia" w:ascii="Times New Roman" w:hAnsi="Times New Roman" w:cs="Times New Roman"/>
                <w:b w:val="0"/>
                <w:bCs/>
                <w:color w:val="auto"/>
                <w:sz w:val="24"/>
                <w:szCs w:val="24"/>
                <w:lang w:eastAsia="zh-CN"/>
              </w:rPr>
              <w:t>，防止</w:t>
            </w:r>
            <w:r>
              <w:rPr>
                <w:rFonts w:ascii="Times New Roman" w:hAnsi="Times New Roman" w:cs="Times New Roman"/>
                <w:b w:val="0"/>
                <w:bCs/>
                <w:color w:val="auto"/>
                <w:sz w:val="24"/>
                <w:szCs w:val="24"/>
              </w:rPr>
              <w:t>粉尘</w:t>
            </w:r>
            <w:r>
              <w:rPr>
                <w:rFonts w:hint="eastAsia" w:ascii="Times New Roman" w:hAnsi="Times New Roman" w:cs="Times New Roman"/>
                <w:b w:val="0"/>
                <w:bCs/>
                <w:color w:val="auto"/>
                <w:sz w:val="24"/>
                <w:szCs w:val="24"/>
                <w:lang w:eastAsia="zh-CN"/>
              </w:rPr>
              <w:t>扬起</w:t>
            </w:r>
            <w:r>
              <w:rPr>
                <w:rFonts w:ascii="Times New Roman" w:hAnsi="Times New Roman" w:cs="Times New Roman"/>
                <w:b w:val="0"/>
                <w:bCs/>
                <w:color w:val="auto"/>
                <w:sz w:val="24"/>
                <w:szCs w:val="24"/>
              </w:rPr>
              <w:t>；回填土方时，在表层土质干燥时应适当洒水，防止粉尘飞扬；</w:t>
            </w:r>
          </w:p>
          <w:p>
            <w:pPr>
              <w:pStyle w:val="150"/>
              <w:spacing w:before="0" w:after="0" w:line="360" w:lineRule="auto"/>
              <w:ind w:firstLine="480" w:firstLineChars="200"/>
              <w:jc w:val="both"/>
              <w:outlineLvl w:val="9"/>
              <w:rPr>
                <w:rFonts w:ascii="Times New Roman" w:hAnsi="Times New Roman" w:cs="Times New Roman"/>
                <w:b w:val="0"/>
                <w:bCs/>
                <w:color w:val="auto"/>
                <w:sz w:val="24"/>
                <w:szCs w:val="24"/>
              </w:rPr>
            </w:pPr>
            <w:r>
              <w:rPr>
                <w:rFonts w:hint="eastAsia"/>
                <w:b w:val="0"/>
                <w:bCs/>
                <w:color w:val="auto"/>
                <w:sz w:val="24"/>
                <w:szCs w:val="24"/>
              </w:rPr>
              <w:t>②</w:t>
            </w:r>
            <w:r>
              <w:rPr>
                <w:rFonts w:ascii="Times New Roman" w:hAnsi="Times New Roman" w:cs="Times New Roman"/>
                <w:b w:val="0"/>
                <w:bCs/>
                <w:color w:val="auto"/>
                <w:sz w:val="24"/>
                <w:szCs w:val="24"/>
              </w:rPr>
              <w:t>加强回填土方堆放场的管理，要</w:t>
            </w:r>
            <w:r>
              <w:rPr>
                <w:rFonts w:hint="eastAsia" w:ascii="Times New Roman" w:hAnsi="Times New Roman" w:cs="Times New Roman"/>
                <w:b w:val="0"/>
                <w:bCs/>
                <w:color w:val="auto"/>
                <w:sz w:val="24"/>
                <w:szCs w:val="24"/>
                <w:lang w:eastAsia="zh-CN"/>
              </w:rPr>
              <w:t>采取</w:t>
            </w:r>
            <w:r>
              <w:rPr>
                <w:rFonts w:ascii="Times New Roman" w:hAnsi="Times New Roman" w:cs="Times New Roman"/>
                <w:b w:val="0"/>
                <w:bCs/>
                <w:color w:val="auto"/>
                <w:sz w:val="24"/>
                <w:szCs w:val="24"/>
              </w:rPr>
              <w:t>土方表面压实、定期喷水、覆盖等措施；不需要的泥土，建筑材料弃渣应及时运走，不宜长时间堆积；</w:t>
            </w:r>
          </w:p>
          <w:p>
            <w:pPr>
              <w:pStyle w:val="150"/>
              <w:spacing w:before="0" w:after="0" w:line="360" w:lineRule="auto"/>
              <w:ind w:firstLine="480" w:firstLineChars="200"/>
              <w:jc w:val="both"/>
              <w:outlineLvl w:val="9"/>
              <w:rPr>
                <w:rFonts w:ascii="Times New Roman" w:hAnsi="Times New Roman" w:cs="Times New Roman"/>
                <w:b w:val="0"/>
                <w:bCs/>
                <w:color w:val="auto"/>
                <w:sz w:val="24"/>
                <w:szCs w:val="24"/>
              </w:rPr>
            </w:pPr>
            <w:r>
              <w:rPr>
                <w:rFonts w:hint="eastAsia"/>
                <w:b w:val="0"/>
                <w:bCs/>
                <w:color w:val="auto"/>
                <w:sz w:val="24"/>
                <w:szCs w:val="24"/>
              </w:rPr>
              <w:t>③</w:t>
            </w:r>
            <w:r>
              <w:rPr>
                <w:rFonts w:ascii="Times New Roman" w:hAnsi="Times New Roman" w:cs="Times New Roman"/>
                <w:b w:val="0"/>
                <w:bCs/>
                <w:color w:val="auto"/>
                <w:sz w:val="24"/>
                <w:szCs w:val="24"/>
              </w:rPr>
              <w:t>应使用商品混凝土。运输车辆装载不宜过满，保证运输过程中不散落；并规划好运输车辆的运行路线与时间，尽量避免在繁华区、交通集中区和居民区等敏感区行驶；</w:t>
            </w:r>
          </w:p>
          <w:p>
            <w:pPr>
              <w:pStyle w:val="150"/>
              <w:spacing w:before="0" w:after="0" w:line="360" w:lineRule="auto"/>
              <w:ind w:firstLine="480" w:firstLineChars="200"/>
              <w:jc w:val="both"/>
              <w:outlineLvl w:val="9"/>
              <w:rPr>
                <w:rFonts w:ascii="Times New Roman" w:hAnsi="Times New Roman" w:cs="Times New Roman"/>
                <w:b w:val="0"/>
                <w:bCs/>
                <w:color w:val="auto"/>
                <w:sz w:val="24"/>
                <w:szCs w:val="24"/>
              </w:rPr>
            </w:pPr>
            <w:r>
              <w:rPr>
                <w:rFonts w:hint="eastAsia"/>
                <w:b w:val="0"/>
                <w:bCs/>
                <w:color w:val="auto"/>
                <w:sz w:val="24"/>
                <w:szCs w:val="24"/>
              </w:rPr>
              <w:t>④</w:t>
            </w:r>
            <w:r>
              <w:rPr>
                <w:rFonts w:ascii="Times New Roman" w:hAnsi="Times New Roman" w:cs="Times New Roman"/>
                <w:b w:val="0"/>
                <w:bCs/>
                <w:color w:val="auto"/>
                <w:sz w:val="24"/>
                <w:szCs w:val="24"/>
              </w:rPr>
              <w:t>运输车辆</w:t>
            </w:r>
            <w:r>
              <w:rPr>
                <w:rFonts w:hint="eastAsia" w:ascii="Times New Roman" w:hAnsi="Times New Roman" w:cs="Times New Roman"/>
                <w:b w:val="0"/>
                <w:bCs/>
                <w:color w:val="auto"/>
                <w:sz w:val="24"/>
                <w:szCs w:val="24"/>
                <w:lang w:eastAsia="zh-CN"/>
              </w:rPr>
              <w:t>应加蓬</w:t>
            </w:r>
            <w:r>
              <w:rPr>
                <w:rFonts w:ascii="Times New Roman" w:hAnsi="Times New Roman" w:cs="Times New Roman"/>
                <w:b w:val="0"/>
                <w:bCs/>
                <w:color w:val="auto"/>
                <w:sz w:val="24"/>
                <w:szCs w:val="24"/>
              </w:rPr>
              <w:t>盖，且</w:t>
            </w:r>
            <w:r>
              <w:rPr>
                <w:rFonts w:hint="eastAsia" w:ascii="Times New Roman" w:hAnsi="Times New Roman" w:cs="Times New Roman"/>
                <w:b w:val="0"/>
                <w:bCs/>
                <w:color w:val="auto"/>
                <w:sz w:val="24"/>
                <w:szCs w:val="24"/>
                <w:lang w:eastAsia="zh-CN"/>
              </w:rPr>
              <w:t>在出</w:t>
            </w:r>
            <w:r>
              <w:rPr>
                <w:rFonts w:ascii="Times New Roman" w:hAnsi="Times New Roman" w:cs="Times New Roman"/>
                <w:b w:val="0"/>
                <w:bCs/>
                <w:color w:val="auto"/>
                <w:sz w:val="24"/>
                <w:szCs w:val="24"/>
              </w:rPr>
              <w:t>装、卸场地前应先冲洗干净，减少车轮、底盘等携带泥土散落路面；</w:t>
            </w:r>
          </w:p>
          <w:p>
            <w:pPr>
              <w:pStyle w:val="150"/>
              <w:spacing w:before="0" w:after="0" w:line="360" w:lineRule="auto"/>
              <w:ind w:firstLine="480" w:firstLineChars="200"/>
              <w:jc w:val="both"/>
              <w:outlineLvl w:val="9"/>
              <w:rPr>
                <w:rFonts w:ascii="Times New Roman" w:hAnsi="Times New Roman" w:cs="Times New Roman"/>
                <w:b w:val="0"/>
                <w:bCs/>
                <w:color w:val="auto"/>
                <w:sz w:val="24"/>
                <w:szCs w:val="24"/>
              </w:rPr>
            </w:pPr>
            <w:r>
              <w:rPr>
                <w:rFonts w:hint="eastAsia"/>
                <w:b w:val="0"/>
                <w:bCs/>
                <w:color w:val="auto"/>
                <w:sz w:val="24"/>
                <w:szCs w:val="24"/>
              </w:rPr>
              <w:t>⑤</w:t>
            </w:r>
            <w:r>
              <w:rPr>
                <w:rFonts w:ascii="Times New Roman" w:hAnsi="Times New Roman" w:cs="Times New Roman"/>
                <w:b w:val="0"/>
                <w:bCs/>
                <w:color w:val="auto"/>
                <w:sz w:val="24"/>
                <w:szCs w:val="24"/>
              </w:rPr>
              <w:t>对运输过程中散落在路面上的泥土要及时清扫，以减少运行过程中的扬尘；</w:t>
            </w:r>
          </w:p>
          <w:p>
            <w:pPr>
              <w:pStyle w:val="150"/>
              <w:spacing w:before="0" w:after="0" w:line="360" w:lineRule="auto"/>
              <w:ind w:firstLine="480" w:firstLineChars="200"/>
              <w:jc w:val="both"/>
              <w:outlineLvl w:val="9"/>
              <w:rPr>
                <w:rFonts w:ascii="Times New Roman" w:hAnsi="Times New Roman" w:cs="Times New Roman"/>
                <w:b w:val="0"/>
                <w:bCs/>
                <w:color w:val="auto"/>
                <w:sz w:val="24"/>
                <w:szCs w:val="24"/>
              </w:rPr>
            </w:pPr>
            <w:r>
              <w:rPr>
                <w:rFonts w:hint="eastAsia"/>
                <w:b w:val="0"/>
                <w:bCs/>
                <w:color w:val="auto"/>
                <w:sz w:val="24"/>
                <w:szCs w:val="24"/>
              </w:rPr>
              <w:t>⑥</w:t>
            </w:r>
            <w:r>
              <w:rPr>
                <w:rFonts w:ascii="Times New Roman" w:hAnsi="Times New Roman" w:cs="Times New Roman"/>
                <w:b w:val="0"/>
                <w:bCs/>
                <w:color w:val="auto"/>
                <w:sz w:val="24"/>
                <w:szCs w:val="24"/>
              </w:rPr>
              <w:t>施工结束时，应及时对施工占用场地恢复地面道路及植被。</w:t>
            </w:r>
          </w:p>
          <w:p>
            <w:pPr>
              <w:pStyle w:val="150"/>
              <w:spacing w:before="0" w:after="0" w:line="360" w:lineRule="auto"/>
              <w:ind w:firstLine="480" w:firstLineChars="200"/>
              <w:jc w:val="both"/>
              <w:outlineLvl w:val="9"/>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经上述治理后，施工期颗粒物排放浓度满足《大气污染物综合排放标准》（GB16297-1996）表2中颗粒物无组织排放监控浓度限值要求，对周围环境空气的影响较小。</w:t>
            </w:r>
          </w:p>
          <w:p>
            <w:pPr>
              <w:pStyle w:val="150"/>
              <w:spacing w:before="0" w:after="0" w:line="360" w:lineRule="auto"/>
              <w:ind w:firstLine="480" w:firstLineChars="200"/>
              <w:jc w:val="both"/>
              <w:outlineLvl w:val="9"/>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3、施工期噪声防治措施</w:t>
            </w:r>
          </w:p>
          <w:p>
            <w:pPr>
              <w:pStyle w:val="150"/>
              <w:spacing w:before="0" w:after="0" w:line="360" w:lineRule="auto"/>
              <w:ind w:firstLine="480" w:firstLineChars="200"/>
              <w:jc w:val="both"/>
              <w:outlineLvl w:val="9"/>
              <w:rPr>
                <w:rFonts w:ascii="Times New Roman" w:hAnsi="Times New Roman" w:cs="Times New Roman"/>
                <w:b w:val="0"/>
                <w:bCs/>
                <w:color w:val="auto"/>
                <w:sz w:val="24"/>
                <w:szCs w:val="24"/>
              </w:rPr>
            </w:pPr>
            <w:r>
              <w:rPr>
                <w:rFonts w:hint="eastAsia" w:cs="Times New Roman"/>
                <w:b w:val="0"/>
                <w:bCs/>
                <w:color w:val="auto"/>
                <w:sz w:val="24"/>
                <w:szCs w:val="24"/>
                <w:lang w:val="en-US" w:eastAsia="zh-CN"/>
              </w:rPr>
              <w:t>施工期噪声主要为施工机械设备噪声，物料装卸碰撞噪声。</w:t>
            </w:r>
            <w:r>
              <w:rPr>
                <w:rFonts w:ascii="Times New Roman" w:hAnsi="Times New Roman" w:cs="Times New Roman"/>
                <w:b w:val="0"/>
                <w:bCs/>
                <w:color w:val="auto"/>
                <w:sz w:val="24"/>
                <w:szCs w:val="24"/>
              </w:rPr>
              <w:t>施工噪声的防治主要是通过合理安排施工时间、距离防护、</w:t>
            </w:r>
            <w:r>
              <w:rPr>
                <w:rFonts w:hint="eastAsia" w:ascii="Times New Roman" w:hAnsi="Times New Roman" w:cs="Times New Roman"/>
                <w:b w:val="0"/>
                <w:bCs/>
                <w:color w:val="auto"/>
                <w:sz w:val="24"/>
                <w:szCs w:val="24"/>
                <w:lang w:eastAsia="zh-CN"/>
              </w:rPr>
              <w:t>采取</w:t>
            </w:r>
            <w:r>
              <w:rPr>
                <w:rFonts w:ascii="Times New Roman" w:hAnsi="Times New Roman" w:cs="Times New Roman"/>
                <w:b w:val="0"/>
                <w:bCs/>
                <w:color w:val="auto"/>
                <w:sz w:val="24"/>
                <w:szCs w:val="24"/>
              </w:rPr>
              <w:t>低噪声机械设备等措施来实施的。</w:t>
            </w:r>
          </w:p>
          <w:p>
            <w:pPr>
              <w:pStyle w:val="150"/>
              <w:spacing w:before="0" w:after="0" w:line="360" w:lineRule="auto"/>
              <w:ind w:firstLine="480" w:firstLineChars="200"/>
              <w:jc w:val="both"/>
              <w:outlineLvl w:val="9"/>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（1）合理安排施工时间</w:t>
            </w:r>
            <w:r>
              <w:rPr>
                <w:rFonts w:hint="eastAsia" w:ascii="Times New Roman" w:hAnsi="Times New Roman" w:cs="Times New Roman"/>
                <w:b w:val="0"/>
                <w:bCs/>
                <w:color w:val="auto"/>
                <w:sz w:val="24"/>
                <w:szCs w:val="24"/>
                <w:lang w:eastAsia="zh-CN"/>
              </w:rPr>
              <w:t>，</w:t>
            </w:r>
            <w:r>
              <w:rPr>
                <w:rFonts w:ascii="Times New Roman" w:hAnsi="Times New Roman" w:cs="Times New Roman"/>
                <w:b w:val="0"/>
                <w:bCs/>
                <w:color w:val="auto"/>
                <w:sz w:val="24"/>
                <w:szCs w:val="24"/>
              </w:rPr>
              <w:t>避免施工噪声扰民。</w:t>
            </w:r>
          </w:p>
          <w:p>
            <w:pPr>
              <w:pStyle w:val="150"/>
              <w:spacing w:before="0" w:after="0" w:line="360" w:lineRule="auto"/>
              <w:ind w:firstLine="480" w:firstLineChars="200"/>
              <w:jc w:val="both"/>
              <w:outlineLvl w:val="9"/>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（2）选用低噪声机械、设备是从声源上对噪声进行控制。</w:t>
            </w:r>
          </w:p>
          <w:p>
            <w:pPr>
              <w:pStyle w:val="150"/>
              <w:spacing w:before="0" w:after="0" w:line="360" w:lineRule="auto"/>
              <w:ind w:firstLine="480" w:firstLineChars="200"/>
              <w:jc w:val="both"/>
              <w:outlineLvl w:val="9"/>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经上述治理后，施工期产生的噪声满足</w:t>
            </w:r>
            <w:r>
              <w:rPr>
                <w:rFonts w:hint="eastAsia" w:ascii="Times New Roman" w:hAnsi="Times New Roman" w:cs="Times New Roman"/>
                <w:b w:val="0"/>
                <w:bCs/>
                <w:color w:val="auto"/>
                <w:sz w:val="24"/>
                <w:szCs w:val="24"/>
              </w:rPr>
              <w:t>《建筑施工噪声排放标准》（GB12523-2025</w:t>
            </w:r>
            <w:r>
              <w:rPr>
                <w:rFonts w:hint="eastAsia" w:ascii="Times New Roman" w:hAnsi="Times New Roman" w:cs="Times New Roman"/>
                <w:b w:val="0"/>
                <w:bCs/>
                <w:color w:val="auto"/>
                <w:sz w:val="24"/>
                <w:szCs w:val="24"/>
                <w:lang w:eastAsia="zh-CN"/>
              </w:rPr>
              <w:t>）</w:t>
            </w:r>
            <w:r>
              <w:rPr>
                <w:rFonts w:ascii="Times New Roman" w:hAnsi="Times New Roman" w:cs="Times New Roman"/>
                <w:b w:val="0"/>
                <w:bCs/>
                <w:color w:val="auto"/>
                <w:sz w:val="24"/>
                <w:szCs w:val="24"/>
              </w:rPr>
              <w:t>要求。</w:t>
            </w:r>
          </w:p>
          <w:p>
            <w:pPr>
              <w:pStyle w:val="150"/>
              <w:spacing w:before="0" w:after="0" w:line="360" w:lineRule="auto"/>
              <w:ind w:firstLine="480" w:firstLineChars="200"/>
              <w:jc w:val="both"/>
              <w:outlineLvl w:val="9"/>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4、施工期固体废物防治措施</w:t>
            </w:r>
          </w:p>
          <w:p>
            <w:pPr>
              <w:pStyle w:val="150"/>
              <w:spacing w:before="0" w:after="0" w:line="360" w:lineRule="auto"/>
              <w:ind w:firstLine="480" w:firstLineChars="200"/>
              <w:jc w:val="both"/>
              <w:outlineLvl w:val="9"/>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为减轻施工人员生活垃圾、建筑垃圾对环境的影响，建议采取如下措施：</w:t>
            </w:r>
          </w:p>
          <w:p>
            <w:pPr>
              <w:pStyle w:val="150"/>
              <w:spacing w:before="0" w:after="0" w:line="360" w:lineRule="auto"/>
              <w:ind w:firstLine="480" w:firstLineChars="200"/>
              <w:jc w:val="both"/>
              <w:outlineLvl w:val="9"/>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（1）施工人员生活垃圾收集后，送至生活垃圾指定地点，由环卫部门统一收集处理。建筑垃圾集中收集，统一清运。</w:t>
            </w:r>
          </w:p>
          <w:p>
            <w:pPr>
              <w:pStyle w:val="150"/>
              <w:spacing w:before="0" w:after="0" w:line="360" w:lineRule="auto"/>
              <w:ind w:firstLine="480" w:firstLineChars="200"/>
              <w:jc w:val="both"/>
              <w:outlineLvl w:val="9"/>
              <w:rPr>
                <w:rFonts w:hint="eastAsia" w:ascii="Times New Roman" w:hAnsi="Times New Roman" w:eastAsia="宋体" w:cs="Times New Roman"/>
                <w:b w:val="0"/>
                <w:bCs/>
                <w:color w:val="auto"/>
                <w:sz w:val="24"/>
                <w:szCs w:val="24"/>
                <w:lang w:eastAsia="zh-CN"/>
              </w:rPr>
            </w:pPr>
            <w:r>
              <w:rPr>
                <w:rFonts w:ascii="Times New Roman" w:hAnsi="Times New Roman" w:cs="Times New Roman"/>
                <w:b w:val="0"/>
                <w:bCs/>
                <w:color w:val="auto"/>
                <w:sz w:val="24"/>
                <w:szCs w:val="24"/>
              </w:rPr>
              <w:t>（</w:t>
            </w:r>
            <w:r>
              <w:rPr>
                <w:rFonts w:hint="eastAsia" w:cs="Times New Roman"/>
                <w:b w:val="0"/>
                <w:bCs/>
                <w:color w:val="auto"/>
                <w:sz w:val="24"/>
                <w:szCs w:val="24"/>
                <w:lang w:val="en-US" w:eastAsia="zh-CN"/>
              </w:rPr>
              <w:t>2</w:t>
            </w:r>
            <w:r>
              <w:rPr>
                <w:rFonts w:ascii="Times New Roman" w:hAnsi="Times New Roman" w:cs="Times New Roman"/>
                <w:b w:val="0"/>
                <w:bCs/>
                <w:color w:val="auto"/>
                <w:sz w:val="24"/>
                <w:szCs w:val="24"/>
              </w:rPr>
              <w:t>）车辆运输散体物料和废弃物时，必须密闭、包扎、覆盖，不得沿途漏撒</w:t>
            </w:r>
            <w:r>
              <w:rPr>
                <w:rFonts w:hint="eastAsia" w:ascii="Times New Roman" w:hAnsi="Times New Roman" w:cs="Times New Roman"/>
                <w:b w:val="0"/>
                <w:bCs/>
                <w:color w:val="auto"/>
                <w:sz w:val="24"/>
                <w:szCs w:val="24"/>
                <w:lang w:eastAsia="zh-CN"/>
              </w:rPr>
              <w:t>。</w:t>
            </w:r>
          </w:p>
          <w:p>
            <w:pPr>
              <w:spacing w:line="360" w:lineRule="auto"/>
              <w:ind w:firstLine="480" w:firstLineChars="200"/>
              <w:rPr>
                <w:rFonts w:hint="default" w:eastAsia="宋体"/>
                <w:color w:val="auto"/>
                <w:sz w:val="24"/>
                <w:lang w:val="en-US" w:eastAsia="zh-CN"/>
              </w:rPr>
            </w:pPr>
            <w:r>
              <w:rPr>
                <w:rFonts w:ascii="Times New Roman" w:hAnsi="Times New Roman" w:cs="Times New Roman"/>
                <w:b w:val="0"/>
                <w:bCs/>
                <w:color w:val="auto"/>
                <w:sz w:val="24"/>
                <w:szCs w:val="24"/>
              </w:rPr>
              <w:t>经上述</w:t>
            </w:r>
            <w:r>
              <w:rPr>
                <w:rFonts w:hint="eastAsia" w:ascii="Times New Roman" w:hAnsi="Times New Roman" w:cs="Times New Roman"/>
                <w:b w:val="0"/>
                <w:bCs/>
                <w:color w:val="auto"/>
                <w:sz w:val="24"/>
                <w:szCs w:val="24"/>
                <w:lang w:val="en-US" w:eastAsia="zh-CN"/>
              </w:rPr>
              <w:t>环保措施</w:t>
            </w:r>
            <w:r>
              <w:rPr>
                <w:rFonts w:ascii="Times New Roman" w:hAnsi="Times New Roman" w:cs="Times New Roman"/>
                <w:b w:val="0"/>
                <w:bCs/>
                <w:color w:val="auto"/>
                <w:sz w:val="24"/>
                <w:szCs w:val="24"/>
              </w:rPr>
              <w:t>后，施工期产生的固体废物对周围环境的影响较小。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296" w:type="dxa"/>
            <w:tcMar>
              <w:left w:w="28" w:type="dxa"/>
              <w:right w:w="28" w:type="dxa"/>
            </w:tcMar>
            <w:vAlign w:val="center"/>
          </w:tcPr>
          <w:p>
            <w:pPr>
              <w:adjustRightInd w:val="0"/>
              <w:snapToGrid w:val="0"/>
              <w:jc w:val="center"/>
              <w:rPr>
                <w:bCs/>
                <w:color w:val="auto"/>
                <w:sz w:val="24"/>
              </w:rPr>
            </w:pPr>
            <w:r>
              <w:rPr>
                <w:bCs/>
                <w:color w:val="auto"/>
                <w:sz w:val="24"/>
              </w:rPr>
              <w:t>运营</w:t>
            </w:r>
          </w:p>
          <w:p>
            <w:pPr>
              <w:adjustRightInd w:val="0"/>
              <w:snapToGrid w:val="0"/>
              <w:jc w:val="center"/>
              <w:rPr>
                <w:bCs/>
                <w:color w:val="auto"/>
                <w:sz w:val="24"/>
              </w:rPr>
            </w:pPr>
            <w:r>
              <w:rPr>
                <w:bCs/>
                <w:color w:val="auto"/>
                <w:sz w:val="24"/>
              </w:rPr>
              <w:t>期环</w:t>
            </w:r>
          </w:p>
          <w:p>
            <w:pPr>
              <w:adjustRightInd w:val="0"/>
              <w:snapToGrid w:val="0"/>
              <w:jc w:val="center"/>
              <w:rPr>
                <w:bCs/>
                <w:color w:val="auto"/>
                <w:sz w:val="24"/>
              </w:rPr>
            </w:pPr>
            <w:r>
              <w:rPr>
                <w:bCs/>
                <w:color w:val="auto"/>
                <w:sz w:val="24"/>
              </w:rPr>
              <w:t>境影</w:t>
            </w:r>
          </w:p>
          <w:p>
            <w:pPr>
              <w:adjustRightInd w:val="0"/>
              <w:snapToGrid w:val="0"/>
              <w:jc w:val="center"/>
              <w:rPr>
                <w:bCs/>
                <w:color w:val="auto"/>
                <w:sz w:val="24"/>
              </w:rPr>
            </w:pPr>
            <w:r>
              <w:rPr>
                <w:bCs/>
                <w:color w:val="auto"/>
                <w:sz w:val="24"/>
              </w:rPr>
              <w:t>响和</w:t>
            </w:r>
          </w:p>
          <w:p>
            <w:pPr>
              <w:adjustRightInd w:val="0"/>
              <w:snapToGrid w:val="0"/>
              <w:jc w:val="center"/>
              <w:rPr>
                <w:bCs/>
                <w:color w:val="auto"/>
                <w:sz w:val="24"/>
              </w:rPr>
            </w:pPr>
            <w:r>
              <w:rPr>
                <w:bCs/>
                <w:color w:val="auto"/>
                <w:sz w:val="24"/>
              </w:rPr>
              <w:t>保护</w:t>
            </w:r>
          </w:p>
          <w:p>
            <w:pPr>
              <w:adjustRightInd w:val="0"/>
              <w:snapToGrid w:val="0"/>
              <w:jc w:val="center"/>
              <w:rPr>
                <w:bCs/>
                <w:color w:val="auto"/>
                <w:sz w:val="24"/>
              </w:rPr>
            </w:pPr>
            <w:r>
              <w:rPr>
                <w:bCs/>
                <w:color w:val="auto"/>
                <w:sz w:val="24"/>
              </w:rPr>
              <w:t>措施</w:t>
            </w:r>
          </w:p>
        </w:tc>
        <w:tc>
          <w:tcPr>
            <w:tcW w:w="9352" w:type="dxa"/>
            <w:vAlign w:val="top"/>
          </w:tcPr>
          <w:p>
            <w:pPr>
              <w:pStyle w:val="27"/>
              <w:widowControl w:val="0"/>
              <w:snapToGrid/>
              <w:spacing w:before="0" w:after="0" w:line="360" w:lineRule="auto"/>
              <w:ind w:left="0" w:leftChars="0" w:right="0" w:firstLine="0" w:firstLineChars="0"/>
              <w:rPr>
                <w:color w:val="auto"/>
                <w:sz w:val="24"/>
                <w:szCs w:val="24"/>
                <w:highlight w:val="none"/>
              </w:rPr>
            </w:pPr>
            <w:r>
              <w:rPr>
                <w:b/>
                <w:color w:val="auto"/>
                <w:sz w:val="24"/>
                <w:highlight w:val="none"/>
              </w:rPr>
              <w:t>一、废水</w:t>
            </w:r>
          </w:p>
          <w:p>
            <w:pPr>
              <w:spacing w:line="360" w:lineRule="auto"/>
              <w:ind w:firstLine="480" w:firstLineChars="200"/>
              <w:rPr>
                <w:bCs/>
                <w:color w:val="auto"/>
                <w:sz w:val="24"/>
                <w:highlight w:val="none"/>
              </w:rPr>
            </w:pPr>
            <w:r>
              <w:rPr>
                <w:rFonts w:hint="default" w:ascii="Times New Roman" w:hAnsi="Times New Roman" w:eastAsia="宋体" w:cs="Times New Roman"/>
                <w:color w:val="auto"/>
                <w:sz w:val="24"/>
                <w:szCs w:val="24"/>
                <w:highlight w:val="none"/>
              </w:rPr>
              <w:t>（一）源强核算及达标排放情况</w:t>
            </w:r>
          </w:p>
          <w:p>
            <w:pPr>
              <w:spacing w:line="360" w:lineRule="auto"/>
              <w:ind w:firstLine="480" w:firstLineChars="200"/>
              <w:rPr>
                <w:rFonts w:hint="eastAsia"/>
                <w:bCs/>
                <w:color w:val="auto"/>
                <w:sz w:val="24"/>
                <w:highlight w:val="none"/>
              </w:rPr>
            </w:pPr>
            <w:r>
              <w:rPr>
                <w:rFonts w:hint="eastAsia"/>
                <w:bCs/>
                <w:color w:val="auto"/>
                <w:sz w:val="24"/>
                <w:highlight w:val="none"/>
                <w:lang w:val="en-US" w:eastAsia="zh-CN"/>
              </w:rPr>
              <w:t>本项目产生的废水主要为设备清洗废水、洗瓶废水、地面冲洗废水</w:t>
            </w:r>
            <w:r>
              <w:rPr>
                <w:rFonts w:hint="eastAsia"/>
                <w:bCs/>
                <w:color w:val="auto"/>
                <w:sz w:val="24"/>
                <w:highlight w:val="none"/>
                <w:lang w:eastAsia="zh-CN"/>
              </w:rPr>
              <w:t>与生活污水，</w:t>
            </w:r>
            <w:r>
              <w:rPr>
                <w:rFonts w:hint="eastAsia"/>
                <w:bCs/>
                <w:color w:val="auto"/>
                <w:sz w:val="24"/>
                <w:highlight w:val="none"/>
                <w:lang w:val="en-US" w:eastAsia="zh-CN"/>
              </w:rPr>
              <w:t>废水</w:t>
            </w:r>
            <w:r>
              <w:rPr>
                <w:rFonts w:hint="eastAsia"/>
                <w:bCs/>
                <w:color w:val="auto"/>
                <w:sz w:val="24"/>
                <w:highlight w:val="none"/>
                <w:lang w:eastAsia="zh-CN"/>
              </w:rPr>
              <w:t>处理</w:t>
            </w:r>
            <w:r>
              <w:rPr>
                <w:rFonts w:hint="eastAsia" w:ascii="Times New Roman" w:hAnsi="Times New Roman" w:eastAsia="宋体" w:cs="Times New Roman"/>
                <w:bCs/>
                <w:color w:val="auto"/>
                <w:sz w:val="24"/>
                <w:highlight w:val="none"/>
                <w:lang w:val="en-US" w:eastAsia="zh-CN"/>
              </w:rPr>
              <w:t>后</w:t>
            </w:r>
            <w:r>
              <w:rPr>
                <w:rFonts w:hint="eastAsia" w:cs="Times New Roman"/>
                <w:bCs/>
                <w:color w:val="auto"/>
                <w:sz w:val="24"/>
                <w:highlight w:val="none"/>
                <w:lang w:val="en-US" w:eastAsia="zh-CN"/>
              </w:rPr>
              <w:t>拉运至嘉荫县污水处理厂，污水处理站处理工艺为“处理工艺为格栅+收集池+调节池+PAC+PAM+沉淀池”，处理能力为10t/d。</w:t>
            </w:r>
          </w:p>
          <w:p>
            <w:pPr>
              <w:spacing w:line="360" w:lineRule="auto"/>
              <w:ind w:firstLine="480" w:firstLineChars="200"/>
              <w:rPr>
                <w:rFonts w:hint="default"/>
                <w:bCs/>
                <w:color w:val="auto"/>
                <w:sz w:val="24"/>
                <w:highlight w:val="none"/>
                <w:lang w:val="en-US" w:eastAsia="zh-CN"/>
              </w:rPr>
            </w:pPr>
            <w:r>
              <w:rPr>
                <w:rFonts w:hint="eastAsia"/>
                <w:color w:val="auto"/>
                <w:sz w:val="24"/>
                <w:szCs w:val="24"/>
                <w:lang w:val="en-US" w:eastAsia="zh-CN"/>
              </w:rPr>
              <w:t>本项目生产</w:t>
            </w:r>
            <w:r>
              <w:rPr>
                <w:color w:val="auto"/>
                <w:sz w:val="24"/>
                <w:szCs w:val="24"/>
              </w:rPr>
              <w:t>废水COD浓度</w:t>
            </w:r>
            <w:r>
              <w:rPr>
                <w:rFonts w:hint="eastAsia"/>
                <w:color w:val="auto"/>
                <w:sz w:val="24"/>
                <w:szCs w:val="24"/>
                <w:lang w:val="en-US" w:eastAsia="zh-CN"/>
              </w:rPr>
              <w:t>取8</w:t>
            </w:r>
            <w:r>
              <w:rPr>
                <w:color w:val="auto"/>
                <w:sz w:val="24"/>
                <w:szCs w:val="24"/>
              </w:rPr>
              <w:t>00mg/L，</w:t>
            </w:r>
            <w:r>
              <w:rPr>
                <w:rFonts w:hint="eastAsia"/>
                <w:color w:val="auto"/>
                <w:sz w:val="24"/>
                <w:szCs w:val="24"/>
                <w:lang w:val="en-US" w:eastAsia="zh-CN"/>
              </w:rPr>
              <w:t>BOD</w:t>
            </w:r>
            <w:r>
              <w:rPr>
                <w:rFonts w:hint="eastAsia"/>
                <w:color w:val="auto"/>
                <w:sz w:val="24"/>
                <w:szCs w:val="24"/>
                <w:vertAlign w:val="subscript"/>
                <w:lang w:val="en-US" w:eastAsia="zh-CN"/>
              </w:rPr>
              <w:t>5</w:t>
            </w:r>
            <w:r>
              <w:rPr>
                <w:rFonts w:hint="eastAsia"/>
                <w:color w:val="auto"/>
                <w:sz w:val="24"/>
                <w:szCs w:val="24"/>
                <w:lang w:val="en-US" w:eastAsia="zh-CN"/>
              </w:rPr>
              <w:t>浓度为300</w:t>
            </w:r>
            <w:r>
              <w:rPr>
                <w:color w:val="auto"/>
                <w:sz w:val="24"/>
                <w:szCs w:val="24"/>
              </w:rPr>
              <w:t>mg/L</w:t>
            </w:r>
            <w:r>
              <w:rPr>
                <w:rFonts w:hint="eastAsia"/>
                <w:color w:val="auto"/>
                <w:sz w:val="24"/>
                <w:szCs w:val="24"/>
                <w:lang w:val="en-US" w:eastAsia="zh-CN"/>
              </w:rPr>
              <w:t>，</w:t>
            </w:r>
            <w:r>
              <w:rPr>
                <w:color w:val="auto"/>
                <w:sz w:val="24"/>
                <w:szCs w:val="24"/>
              </w:rPr>
              <w:t>NH</w:t>
            </w:r>
            <w:r>
              <w:rPr>
                <w:color w:val="auto"/>
                <w:sz w:val="24"/>
                <w:szCs w:val="24"/>
                <w:vertAlign w:val="subscript"/>
              </w:rPr>
              <w:t>3</w:t>
            </w:r>
            <w:r>
              <w:rPr>
                <w:color w:val="auto"/>
                <w:sz w:val="24"/>
                <w:szCs w:val="24"/>
              </w:rPr>
              <w:t>-N浓度为</w:t>
            </w:r>
            <w:r>
              <w:rPr>
                <w:rFonts w:hint="eastAsia"/>
                <w:color w:val="auto"/>
                <w:sz w:val="24"/>
                <w:szCs w:val="24"/>
                <w:lang w:val="en-US" w:eastAsia="zh-CN"/>
              </w:rPr>
              <w:t>15</w:t>
            </w:r>
            <w:r>
              <w:rPr>
                <w:color w:val="auto"/>
                <w:sz w:val="24"/>
                <w:szCs w:val="24"/>
              </w:rPr>
              <w:t>mg/L</w:t>
            </w:r>
            <w:r>
              <w:rPr>
                <w:rFonts w:hint="eastAsia"/>
                <w:color w:val="auto"/>
                <w:sz w:val="24"/>
                <w:szCs w:val="24"/>
                <w:lang w:eastAsia="zh-CN"/>
              </w:rPr>
              <w:t>，</w:t>
            </w:r>
            <w:r>
              <w:rPr>
                <w:rFonts w:hint="eastAsia"/>
                <w:color w:val="auto"/>
                <w:sz w:val="24"/>
                <w:szCs w:val="24"/>
                <w:lang w:val="en-US" w:eastAsia="zh-CN"/>
              </w:rPr>
              <w:t>SS取300</w:t>
            </w:r>
            <w:r>
              <w:rPr>
                <w:color w:val="auto"/>
                <w:sz w:val="24"/>
                <w:szCs w:val="24"/>
              </w:rPr>
              <w:t>mg/L</w:t>
            </w:r>
            <w:r>
              <w:rPr>
                <w:rFonts w:hint="eastAsia"/>
                <w:color w:val="auto"/>
                <w:sz w:val="24"/>
                <w:szCs w:val="24"/>
                <w:lang w:eastAsia="zh-CN"/>
              </w:rPr>
              <w:t>。</w:t>
            </w:r>
            <w:r>
              <w:rPr>
                <w:color w:val="auto"/>
                <w:sz w:val="24"/>
                <w:szCs w:val="24"/>
              </w:rPr>
              <w:t>生活污水</w:t>
            </w:r>
            <w:r>
              <w:rPr>
                <w:rFonts w:hint="eastAsia"/>
                <w:color w:val="auto"/>
                <w:sz w:val="24"/>
                <w:szCs w:val="24"/>
                <w:lang w:eastAsia="zh-CN"/>
              </w:rPr>
              <w:t>污染物主要为</w:t>
            </w:r>
            <w:r>
              <w:rPr>
                <w:color w:val="auto"/>
                <w:sz w:val="24"/>
                <w:szCs w:val="24"/>
              </w:rPr>
              <w:t>COD</w:t>
            </w:r>
            <w:r>
              <w:rPr>
                <w:rFonts w:hint="eastAsia"/>
                <w:color w:val="auto"/>
                <w:sz w:val="24"/>
                <w:szCs w:val="24"/>
                <w:lang w:eastAsia="zh-CN"/>
              </w:rPr>
              <w:t>、</w:t>
            </w:r>
            <w:r>
              <w:rPr>
                <w:rFonts w:hint="eastAsia"/>
                <w:color w:val="auto"/>
                <w:sz w:val="24"/>
                <w:szCs w:val="24"/>
                <w:lang w:val="en-US" w:eastAsia="zh-CN"/>
              </w:rPr>
              <w:t>BOD</w:t>
            </w:r>
            <w:r>
              <w:rPr>
                <w:rFonts w:hint="eastAsia"/>
                <w:color w:val="auto"/>
                <w:sz w:val="24"/>
                <w:szCs w:val="24"/>
                <w:vertAlign w:val="subscript"/>
                <w:lang w:val="en-US" w:eastAsia="zh-CN"/>
              </w:rPr>
              <w:t>5</w:t>
            </w:r>
            <w:r>
              <w:rPr>
                <w:rFonts w:hint="eastAsia"/>
                <w:color w:val="auto"/>
                <w:sz w:val="24"/>
                <w:szCs w:val="24"/>
                <w:vertAlign w:val="baseline"/>
                <w:lang w:val="en-US" w:eastAsia="zh-CN"/>
              </w:rPr>
              <w:t>、</w:t>
            </w:r>
            <w:r>
              <w:rPr>
                <w:color w:val="auto"/>
                <w:sz w:val="24"/>
                <w:szCs w:val="24"/>
              </w:rPr>
              <w:t>NH</w:t>
            </w:r>
            <w:r>
              <w:rPr>
                <w:color w:val="auto"/>
                <w:sz w:val="24"/>
                <w:szCs w:val="24"/>
                <w:vertAlign w:val="subscript"/>
              </w:rPr>
              <w:t>3</w:t>
            </w:r>
            <w:r>
              <w:rPr>
                <w:color w:val="auto"/>
                <w:sz w:val="24"/>
                <w:szCs w:val="24"/>
              </w:rPr>
              <w:t>-N</w:t>
            </w:r>
            <w:r>
              <w:rPr>
                <w:rFonts w:hint="eastAsia"/>
                <w:color w:val="auto"/>
                <w:sz w:val="24"/>
                <w:szCs w:val="24"/>
                <w:lang w:val="en-US" w:eastAsia="zh-CN"/>
              </w:rPr>
              <w:t>和SS</w:t>
            </w:r>
            <w:r>
              <w:rPr>
                <w:rFonts w:hint="eastAsia"/>
                <w:color w:val="auto"/>
                <w:sz w:val="24"/>
                <w:szCs w:val="24"/>
                <w:lang w:eastAsia="zh-CN"/>
              </w:rPr>
              <w:t>，浓度分别为</w:t>
            </w:r>
            <w:r>
              <w:rPr>
                <w:rFonts w:hint="eastAsia"/>
                <w:color w:val="auto"/>
                <w:sz w:val="24"/>
                <w:szCs w:val="24"/>
                <w:lang w:val="en-US" w:eastAsia="zh-CN"/>
              </w:rPr>
              <w:t>300</w:t>
            </w:r>
            <w:r>
              <w:rPr>
                <w:color w:val="auto"/>
                <w:sz w:val="24"/>
                <w:szCs w:val="24"/>
              </w:rPr>
              <w:t>mg/L</w:t>
            </w:r>
            <w:r>
              <w:rPr>
                <w:rFonts w:hint="eastAsia"/>
                <w:color w:val="auto"/>
                <w:sz w:val="24"/>
                <w:szCs w:val="24"/>
                <w:lang w:eastAsia="zh-CN"/>
              </w:rPr>
              <w:t>、</w:t>
            </w:r>
            <w:r>
              <w:rPr>
                <w:rFonts w:hint="eastAsia"/>
                <w:color w:val="auto"/>
                <w:sz w:val="24"/>
                <w:szCs w:val="24"/>
                <w:lang w:val="en-US" w:eastAsia="zh-CN"/>
              </w:rPr>
              <w:t>200</w:t>
            </w:r>
            <w:r>
              <w:rPr>
                <w:color w:val="auto"/>
                <w:sz w:val="24"/>
                <w:szCs w:val="24"/>
              </w:rPr>
              <w:t>mg/L</w:t>
            </w:r>
            <w:r>
              <w:rPr>
                <w:rFonts w:hint="eastAsia"/>
                <w:color w:val="auto"/>
                <w:sz w:val="24"/>
                <w:szCs w:val="24"/>
                <w:lang w:eastAsia="zh-CN"/>
              </w:rPr>
              <w:t>、</w:t>
            </w:r>
            <w:r>
              <w:rPr>
                <w:rFonts w:hint="eastAsia"/>
                <w:color w:val="auto"/>
                <w:sz w:val="24"/>
                <w:szCs w:val="24"/>
                <w:lang w:val="en-US" w:eastAsia="zh-CN"/>
              </w:rPr>
              <w:t>25</w:t>
            </w:r>
            <w:r>
              <w:rPr>
                <w:color w:val="auto"/>
                <w:sz w:val="24"/>
                <w:szCs w:val="24"/>
              </w:rPr>
              <w:t>mg/L</w:t>
            </w:r>
            <w:r>
              <w:rPr>
                <w:rFonts w:hint="eastAsia"/>
                <w:color w:val="auto"/>
                <w:sz w:val="24"/>
                <w:szCs w:val="24"/>
                <w:lang w:eastAsia="zh-CN"/>
              </w:rPr>
              <w:t>、</w:t>
            </w:r>
            <w:r>
              <w:rPr>
                <w:rFonts w:hint="eastAsia"/>
                <w:color w:val="auto"/>
                <w:sz w:val="24"/>
                <w:szCs w:val="24"/>
                <w:lang w:val="en-US" w:eastAsia="zh-CN"/>
              </w:rPr>
              <w:t>150</w:t>
            </w:r>
            <w:r>
              <w:rPr>
                <w:color w:val="auto"/>
                <w:sz w:val="24"/>
                <w:szCs w:val="24"/>
              </w:rPr>
              <w:t>mg/L</w:t>
            </w:r>
            <w:r>
              <w:rPr>
                <w:rFonts w:hint="eastAsia"/>
                <w:color w:val="auto"/>
                <w:sz w:val="24"/>
                <w:szCs w:val="24"/>
                <w:lang w:eastAsia="zh-CN"/>
              </w:rPr>
              <w:t>。</w:t>
            </w:r>
          </w:p>
          <w:p>
            <w:pPr>
              <w:spacing w:line="360" w:lineRule="auto"/>
              <w:ind w:firstLine="480" w:firstLineChars="200"/>
              <w:rPr>
                <w:bCs/>
                <w:color w:val="auto"/>
                <w:sz w:val="24"/>
                <w:highlight w:val="none"/>
              </w:rPr>
            </w:pPr>
            <w:r>
              <w:rPr>
                <w:bCs/>
                <w:color w:val="auto"/>
                <w:sz w:val="24"/>
                <w:highlight w:val="none"/>
              </w:rPr>
              <w:t>本项目</w:t>
            </w:r>
            <w:r>
              <w:rPr>
                <w:rFonts w:hint="eastAsia"/>
                <w:bCs/>
                <w:color w:val="auto"/>
                <w:sz w:val="24"/>
                <w:highlight w:val="none"/>
                <w:lang w:eastAsia="zh-CN"/>
              </w:rPr>
              <w:t>废</w:t>
            </w:r>
            <w:r>
              <w:rPr>
                <w:bCs/>
                <w:color w:val="auto"/>
                <w:sz w:val="24"/>
                <w:highlight w:val="none"/>
              </w:rPr>
              <w:t>水污染物产生情况见下表4-1。</w:t>
            </w:r>
          </w:p>
          <w:p>
            <w:pPr>
              <w:pStyle w:val="93"/>
              <w:adjustRightInd w:val="0"/>
              <w:snapToGrid w:val="0"/>
              <w:spacing w:line="240" w:lineRule="auto"/>
              <w:rPr>
                <w:rFonts w:eastAsia="宋体"/>
                <w:b/>
                <w:bCs/>
                <w:color w:val="auto"/>
                <w:sz w:val="21"/>
                <w:szCs w:val="21"/>
                <w:highlight w:val="none"/>
              </w:rPr>
            </w:pPr>
            <w:r>
              <w:rPr>
                <w:rFonts w:eastAsia="宋体"/>
                <w:b/>
                <w:bCs/>
                <w:color w:val="auto"/>
                <w:sz w:val="21"/>
                <w:szCs w:val="21"/>
                <w:highlight w:val="none"/>
              </w:rPr>
              <w:t>表4-1</w:t>
            </w:r>
            <w:r>
              <w:rPr>
                <w:rFonts w:hint="eastAsia" w:eastAsia="宋体"/>
                <w:b/>
                <w:bCs/>
                <w:color w:val="auto"/>
                <w:sz w:val="21"/>
                <w:szCs w:val="21"/>
                <w:highlight w:val="none"/>
              </w:rPr>
              <w:t>废水污染源源强核算结果及相关参数一览表</w:t>
            </w:r>
          </w:p>
          <w:tbl>
            <w:tblPr>
              <w:tblStyle w:val="29"/>
              <w:tblW w:w="9111"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10"/>
              <w:gridCol w:w="949"/>
              <w:gridCol w:w="728"/>
              <w:gridCol w:w="891"/>
              <w:gridCol w:w="794"/>
              <w:gridCol w:w="462"/>
              <w:gridCol w:w="761"/>
              <w:gridCol w:w="1397"/>
              <w:gridCol w:w="601"/>
              <w:gridCol w:w="795"/>
              <w:gridCol w:w="795"/>
              <w:gridCol w:w="428"/>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5" w:hRule="atLeast"/>
              </w:trPr>
              <w:tc>
                <w:tcPr>
                  <w:tcW w:w="51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废水类别</w:t>
                  </w:r>
                </w:p>
              </w:tc>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废水量</w:t>
                  </w:r>
                </w:p>
              </w:tc>
              <w:tc>
                <w:tcPr>
                  <w:tcW w:w="728"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污染物</w:t>
                  </w:r>
                </w:p>
              </w:tc>
              <w:tc>
                <w:tcPr>
                  <w:tcW w:w="168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污染物产生情况</w:t>
                  </w:r>
                </w:p>
              </w:tc>
              <w:tc>
                <w:tcPr>
                  <w:tcW w:w="3221" w:type="dxa"/>
                  <w:gridSpan w:val="4"/>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防治设施</w:t>
                  </w:r>
                </w:p>
              </w:tc>
              <w:tc>
                <w:tcPr>
                  <w:tcW w:w="1590"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污染物排放情况</w:t>
                  </w:r>
                </w:p>
              </w:tc>
              <w:tc>
                <w:tcPr>
                  <w:tcW w:w="428" w:type="dxa"/>
                  <w:vMerge w:val="restart"/>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排放去向</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525" w:hRule="atLeast"/>
              </w:trPr>
              <w:tc>
                <w:tcPr>
                  <w:tcW w:w="510"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auto"/>
                      <w:sz w:val="21"/>
                      <w:szCs w:val="21"/>
                      <w:u w:val="none"/>
                    </w:rPr>
                  </w:pPr>
                </w:p>
              </w:tc>
              <w:tc>
                <w:tcPr>
                  <w:tcW w:w="94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t/a</w:t>
                  </w:r>
                </w:p>
              </w:tc>
              <w:tc>
                <w:tcPr>
                  <w:tcW w:w="728" w:type="dxa"/>
                  <w:vMerge w:val="continue"/>
                  <w:tcBorders>
                    <w:tl2br w:val="nil"/>
                    <w:tr2bl w:val="nil"/>
                  </w:tcBorders>
                  <w:shd w:val="clear" w:color="auto" w:fill="auto"/>
                  <w:vAlign w:val="center"/>
                </w:tcPr>
                <w:p>
                  <w:pPr>
                    <w:jc w:val="center"/>
                    <w:rPr>
                      <w:rFonts w:hint="eastAsia" w:ascii="宋体" w:hAnsi="宋体" w:eastAsia="宋体" w:cs="宋体"/>
                      <w:b/>
                      <w:bCs/>
                      <w:i w:val="0"/>
                      <w:iCs w:val="0"/>
                      <w:color w:val="auto"/>
                      <w:sz w:val="21"/>
                      <w:szCs w:val="21"/>
                      <w:u w:val="none"/>
                    </w:rPr>
                  </w:pPr>
                </w:p>
              </w:tc>
              <w:tc>
                <w:tcPr>
                  <w:tcW w:w="89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产生浓度</w:t>
                  </w:r>
                  <w:r>
                    <w:rPr>
                      <w:rFonts w:hint="default" w:ascii="Times New Roman" w:hAnsi="Times New Roman" w:eastAsia="宋体" w:cs="Times New Roman"/>
                      <w:b/>
                      <w:bCs/>
                      <w:i w:val="0"/>
                      <w:iCs w:val="0"/>
                      <w:color w:val="auto"/>
                      <w:kern w:val="0"/>
                      <w:sz w:val="18"/>
                      <w:szCs w:val="18"/>
                      <w:u w:val="none"/>
                      <w:lang w:val="en-US" w:eastAsia="zh-CN" w:bidi="ar"/>
                    </w:rPr>
                    <w:t>mg/</w:t>
                  </w:r>
                  <w:r>
                    <w:rPr>
                      <w:rFonts w:hint="default" w:ascii="Times New Roman" w:hAnsi="Times New Roman" w:eastAsia="宋体" w:cs="Times New Roman"/>
                      <w:b/>
                      <w:bCs/>
                      <w:i w:val="0"/>
                      <w:iCs w:val="0"/>
                      <w:color w:val="auto"/>
                      <w:kern w:val="0"/>
                      <w:sz w:val="21"/>
                      <w:szCs w:val="21"/>
                      <w:u w:val="none"/>
                      <w:lang w:val="en-US" w:eastAsia="zh-CN" w:bidi="ar"/>
                    </w:rPr>
                    <w:t>L</w:t>
                  </w:r>
                </w:p>
              </w:tc>
              <w:tc>
                <w:tcPr>
                  <w:tcW w:w="79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产生量</w:t>
                  </w:r>
                  <w:r>
                    <w:rPr>
                      <w:rFonts w:hint="default" w:ascii="Times New Roman" w:hAnsi="Times New Roman" w:eastAsia="宋体" w:cs="Times New Roman"/>
                      <w:b/>
                      <w:bCs/>
                      <w:i w:val="0"/>
                      <w:iCs w:val="0"/>
                      <w:color w:val="auto"/>
                      <w:kern w:val="0"/>
                      <w:sz w:val="21"/>
                      <w:szCs w:val="21"/>
                      <w:u w:val="none"/>
                      <w:lang w:val="en-US" w:eastAsia="zh-CN" w:bidi="ar"/>
                    </w:rPr>
                    <w:t>t/a</w:t>
                  </w:r>
                </w:p>
              </w:tc>
              <w:tc>
                <w:tcPr>
                  <w:tcW w:w="46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措施名称</w:t>
                  </w:r>
                </w:p>
              </w:tc>
              <w:tc>
                <w:tcPr>
                  <w:tcW w:w="76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处理能力</w:t>
                  </w:r>
                </w:p>
              </w:tc>
              <w:tc>
                <w:tcPr>
                  <w:tcW w:w="139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治理工艺</w:t>
                  </w:r>
                </w:p>
              </w:tc>
              <w:tc>
                <w:tcPr>
                  <w:tcW w:w="6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治理效率</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排放浓度</w:t>
                  </w:r>
                  <w:r>
                    <w:rPr>
                      <w:rFonts w:hint="default" w:ascii="Times New Roman" w:hAnsi="Times New Roman" w:eastAsia="宋体" w:cs="Times New Roman"/>
                      <w:b/>
                      <w:bCs/>
                      <w:i w:val="0"/>
                      <w:iCs w:val="0"/>
                      <w:color w:val="auto"/>
                      <w:kern w:val="0"/>
                      <w:sz w:val="18"/>
                      <w:szCs w:val="18"/>
                      <w:u w:val="none"/>
                      <w:lang w:val="en-US" w:eastAsia="zh-CN" w:bidi="ar"/>
                    </w:rPr>
                    <w:t>mg/</w:t>
                  </w:r>
                  <w:r>
                    <w:rPr>
                      <w:rFonts w:hint="default" w:ascii="Times New Roman" w:hAnsi="Times New Roman" w:eastAsia="宋体" w:cs="Times New Roman"/>
                      <w:b/>
                      <w:bCs/>
                      <w:i w:val="0"/>
                      <w:iCs w:val="0"/>
                      <w:color w:val="auto"/>
                      <w:kern w:val="0"/>
                      <w:sz w:val="21"/>
                      <w:szCs w:val="21"/>
                      <w:u w:val="none"/>
                      <w:lang w:val="en-US" w:eastAsia="zh-CN" w:bidi="ar"/>
                    </w:rPr>
                    <w:t>L</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排放量</w:t>
                  </w:r>
                  <w:r>
                    <w:rPr>
                      <w:rFonts w:hint="default" w:ascii="Times New Roman" w:hAnsi="Times New Roman" w:eastAsia="宋体" w:cs="Times New Roman"/>
                      <w:b/>
                      <w:bCs/>
                      <w:i w:val="0"/>
                      <w:iCs w:val="0"/>
                      <w:color w:val="auto"/>
                      <w:kern w:val="0"/>
                      <w:sz w:val="21"/>
                      <w:szCs w:val="21"/>
                      <w:u w:val="none"/>
                      <w:lang w:val="en-US" w:eastAsia="zh-CN" w:bidi="ar"/>
                    </w:rPr>
                    <w:t>t/a</w:t>
                  </w:r>
                </w:p>
              </w:tc>
              <w:tc>
                <w:tcPr>
                  <w:tcW w:w="428" w:type="dxa"/>
                  <w:vMerge w:val="continue"/>
                  <w:tcBorders>
                    <w:tl2br w:val="nil"/>
                    <w:tr2bl w:val="nil"/>
                  </w:tcBorders>
                  <w:shd w:val="clear" w:color="auto" w:fill="auto"/>
                  <w:vAlign w:val="center"/>
                </w:tcPr>
                <w:p>
                  <w:pPr>
                    <w:jc w:val="both"/>
                    <w:rPr>
                      <w:rFonts w:hint="eastAsia" w:ascii="宋体" w:hAnsi="宋体" w:eastAsia="宋体" w:cs="宋体"/>
                      <w:b/>
                      <w:bCs/>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5" w:hRule="atLeast"/>
              </w:trPr>
              <w:tc>
                <w:tcPr>
                  <w:tcW w:w="51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生产工序废水</w:t>
                  </w:r>
                </w:p>
              </w:tc>
              <w:tc>
                <w:tcPr>
                  <w:tcW w:w="949"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196.32</w:t>
                  </w:r>
                </w:p>
              </w:tc>
              <w:tc>
                <w:tcPr>
                  <w:tcW w:w="72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89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000000"/>
                      <w:kern w:val="0"/>
                      <w:sz w:val="21"/>
                      <w:szCs w:val="21"/>
                      <w:u w:val="none"/>
                      <w:lang w:val="en-US" w:eastAsia="zh-CN" w:bidi="ar"/>
                    </w:rPr>
                    <w:t>8</w:t>
                  </w:r>
                  <w:r>
                    <w:rPr>
                      <w:rFonts w:hint="default" w:ascii="Times New Roman" w:hAnsi="Times New Roman" w:eastAsia="宋体" w:cs="Times New Roman"/>
                      <w:i w:val="0"/>
                      <w:iCs w:val="0"/>
                      <w:color w:val="000000"/>
                      <w:kern w:val="0"/>
                      <w:sz w:val="21"/>
                      <w:szCs w:val="21"/>
                      <w:u w:val="none"/>
                      <w:lang w:val="en-US" w:eastAsia="zh-CN" w:bidi="ar"/>
                    </w:rPr>
                    <w:t>00</w:t>
                  </w:r>
                </w:p>
              </w:tc>
              <w:tc>
                <w:tcPr>
                  <w:tcW w:w="7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0.1571 </w:t>
                  </w:r>
                </w:p>
              </w:tc>
              <w:tc>
                <w:tcPr>
                  <w:tcW w:w="46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污水处理设施</w:t>
                  </w:r>
                </w:p>
              </w:tc>
              <w:tc>
                <w:tcPr>
                  <w:tcW w:w="761"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10t/d</w:t>
                  </w:r>
                </w:p>
              </w:tc>
              <w:tc>
                <w:tcPr>
                  <w:tcW w:w="1397"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rPr>
                    <w:t>格栅+收集池+调节池+PAC+PAM+沉淀池</w:t>
                  </w:r>
                </w:p>
              </w:tc>
              <w:tc>
                <w:tcPr>
                  <w:tcW w:w="6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000000"/>
                      <w:kern w:val="0"/>
                      <w:sz w:val="21"/>
                      <w:szCs w:val="21"/>
                      <w:u w:val="none"/>
                      <w:lang w:val="en-US" w:eastAsia="zh-CN" w:bidi="ar"/>
                    </w:rPr>
                    <w:t>7</w:t>
                  </w:r>
                  <w:r>
                    <w:rPr>
                      <w:rFonts w:hint="default" w:ascii="Times New Roman" w:hAnsi="Times New Roman" w:eastAsia="宋体" w:cs="Times New Roman"/>
                      <w:i w:val="0"/>
                      <w:iCs w:val="0"/>
                      <w:color w:val="000000"/>
                      <w:kern w:val="0"/>
                      <w:sz w:val="21"/>
                      <w:szCs w:val="21"/>
                      <w:u w:val="none"/>
                      <w:lang w:val="en-US" w:eastAsia="zh-CN" w:bidi="ar"/>
                    </w:rPr>
                    <w:t>0%</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240</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0.0471 </w:t>
                  </w:r>
                </w:p>
              </w:tc>
              <w:tc>
                <w:tcPr>
                  <w:tcW w:w="428"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宋体" w:hAnsi="宋体" w:cs="宋体"/>
                      <w:i w:val="0"/>
                      <w:iCs w:val="0"/>
                      <w:color w:val="auto"/>
                      <w:kern w:val="0"/>
                      <w:sz w:val="21"/>
                      <w:szCs w:val="21"/>
                      <w:u w:val="none"/>
                      <w:lang w:val="en-US" w:eastAsia="zh-CN" w:bidi="ar"/>
                    </w:rPr>
                    <w:t>拉运至伊春市嘉荫县污水处理厂</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51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94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728"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氨氮</w:t>
                  </w:r>
                </w:p>
              </w:tc>
              <w:tc>
                <w:tcPr>
                  <w:tcW w:w="89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7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0.0029 </w:t>
                  </w:r>
                </w:p>
              </w:tc>
              <w:tc>
                <w:tcPr>
                  <w:tcW w:w="462" w:type="dxa"/>
                  <w:vMerge w:val="continue"/>
                  <w:tcBorders>
                    <w:tl2br w:val="nil"/>
                    <w:tr2bl w:val="nil"/>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76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397" w:type="dxa"/>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auto"/>
                      <w:kern w:val="0"/>
                      <w:sz w:val="21"/>
                      <w:szCs w:val="21"/>
                      <w:u w:val="none"/>
                      <w:lang w:val="en-US" w:eastAsia="zh-CN" w:bidi="ar"/>
                    </w:rPr>
                  </w:pPr>
                </w:p>
              </w:tc>
              <w:tc>
                <w:tcPr>
                  <w:tcW w:w="6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0.0027 </w:t>
                  </w:r>
                </w:p>
              </w:tc>
              <w:tc>
                <w:tcPr>
                  <w:tcW w:w="42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00" w:hRule="atLeast"/>
              </w:trPr>
              <w:tc>
                <w:tcPr>
                  <w:tcW w:w="51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94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72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89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000000"/>
                      <w:kern w:val="0"/>
                      <w:sz w:val="21"/>
                      <w:szCs w:val="21"/>
                      <w:u w:val="none"/>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00</w:t>
                  </w:r>
                </w:p>
              </w:tc>
              <w:tc>
                <w:tcPr>
                  <w:tcW w:w="7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0.0589 </w:t>
                  </w:r>
                </w:p>
              </w:tc>
              <w:tc>
                <w:tcPr>
                  <w:tcW w:w="462" w:type="dxa"/>
                  <w:vMerge w:val="continue"/>
                  <w:tcBorders>
                    <w:tl2br w:val="nil"/>
                    <w:tr2bl w:val="nil"/>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76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397" w:type="dxa"/>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auto"/>
                      <w:kern w:val="0"/>
                      <w:sz w:val="21"/>
                      <w:szCs w:val="21"/>
                      <w:u w:val="none"/>
                      <w:lang w:val="en-US" w:eastAsia="zh-CN" w:bidi="ar"/>
                    </w:rPr>
                  </w:pPr>
                </w:p>
              </w:tc>
              <w:tc>
                <w:tcPr>
                  <w:tcW w:w="6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000000"/>
                      <w:kern w:val="0"/>
                      <w:sz w:val="21"/>
                      <w:szCs w:val="21"/>
                      <w:u w:val="none"/>
                      <w:lang w:val="en-US" w:eastAsia="zh-CN" w:bidi="ar"/>
                    </w:rPr>
                    <w:t>60</w:t>
                  </w:r>
                  <w:r>
                    <w:rPr>
                      <w:rFonts w:hint="default" w:ascii="Times New Roman" w:hAnsi="Times New Roman" w:eastAsia="宋体" w:cs="Times New Roman"/>
                      <w:i w:val="0"/>
                      <w:iCs w:val="0"/>
                      <w:color w:val="000000"/>
                      <w:kern w:val="0"/>
                      <w:sz w:val="21"/>
                      <w:szCs w:val="21"/>
                      <w:u w:val="none"/>
                      <w:lang w:val="en-US" w:eastAsia="zh-CN" w:bidi="ar"/>
                    </w:rPr>
                    <w:t>%</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120</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0.0236 </w:t>
                  </w:r>
                </w:p>
              </w:tc>
              <w:tc>
                <w:tcPr>
                  <w:tcW w:w="42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75" w:hRule="atLeast"/>
              </w:trPr>
              <w:tc>
                <w:tcPr>
                  <w:tcW w:w="510"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94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72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SS</w:t>
                  </w:r>
                </w:p>
              </w:tc>
              <w:tc>
                <w:tcPr>
                  <w:tcW w:w="89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7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0.0589 </w:t>
                  </w:r>
                </w:p>
              </w:tc>
              <w:tc>
                <w:tcPr>
                  <w:tcW w:w="462" w:type="dxa"/>
                  <w:vMerge w:val="continue"/>
                  <w:tcBorders>
                    <w:tl2br w:val="nil"/>
                    <w:tr2bl w:val="nil"/>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761"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397" w:type="dxa"/>
                  <w:vMerge w:val="continue"/>
                  <w:tcBorders>
                    <w:tl2br w:val="nil"/>
                    <w:tr2bl w:val="nil"/>
                  </w:tcBorders>
                  <w:shd w:val="clear" w:color="auto" w:fill="auto"/>
                  <w:vAlign w:val="center"/>
                </w:tcPr>
                <w:p>
                  <w:pPr>
                    <w:jc w:val="center"/>
                    <w:rPr>
                      <w:rFonts w:hint="eastAsia" w:ascii="Times New Roman" w:hAnsi="Times New Roman" w:eastAsia="宋体" w:cs="Times New Roman"/>
                      <w:i w:val="0"/>
                      <w:iCs w:val="0"/>
                      <w:color w:val="auto"/>
                      <w:kern w:val="0"/>
                      <w:sz w:val="21"/>
                      <w:szCs w:val="21"/>
                      <w:u w:val="none"/>
                      <w:lang w:val="en-US" w:eastAsia="zh-CN" w:bidi="ar"/>
                    </w:rPr>
                  </w:pPr>
                </w:p>
              </w:tc>
              <w:tc>
                <w:tcPr>
                  <w:tcW w:w="6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0.0059 </w:t>
                  </w:r>
                </w:p>
              </w:tc>
              <w:tc>
                <w:tcPr>
                  <w:tcW w:w="42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51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生活污水</w:t>
                  </w:r>
                </w:p>
              </w:tc>
              <w:tc>
                <w:tcPr>
                  <w:tcW w:w="949"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19.2</w:t>
                  </w:r>
                </w:p>
              </w:tc>
              <w:tc>
                <w:tcPr>
                  <w:tcW w:w="72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89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7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0.0058 </w:t>
                  </w:r>
                </w:p>
              </w:tc>
              <w:tc>
                <w:tcPr>
                  <w:tcW w:w="462" w:type="dxa"/>
                  <w:vMerge w:val="restart"/>
                  <w:tcBorders>
                    <w:top w:val="single" w:color="auto" w:sz="4" w:space="0"/>
                    <w:tl2br w:val="nil"/>
                    <w:tr2bl w:val="nil"/>
                  </w:tcBorders>
                  <w:shd w:val="clear" w:color="auto" w:fill="auto"/>
                  <w:vAlign w:val="center"/>
                </w:tcPr>
                <w:p>
                  <w:pPr>
                    <w:jc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化粪池</w:t>
                  </w:r>
                </w:p>
              </w:tc>
              <w:tc>
                <w:tcPr>
                  <w:tcW w:w="761" w:type="dxa"/>
                  <w:vMerge w:val="restart"/>
                  <w:tcBorders>
                    <w:top w:val="single" w:color="auto" w:sz="4" w:space="0"/>
                    <w:tl2br w:val="nil"/>
                    <w:tr2bl w:val="nil"/>
                  </w:tcBorders>
                  <w:shd w:val="clear" w:color="auto" w:fill="auto"/>
                  <w:vAlign w:val="center"/>
                </w:tcPr>
                <w:p>
                  <w:pPr>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1397" w:type="dxa"/>
                  <w:vMerge w:val="restart"/>
                  <w:tcBorders>
                    <w:top w:val="single" w:color="auto" w:sz="4" w:space="0"/>
                    <w:tl2br w:val="nil"/>
                    <w:tr2bl w:val="nil"/>
                  </w:tcBorders>
                  <w:shd w:val="clear" w:color="auto" w:fill="auto"/>
                  <w:vAlign w:val="center"/>
                </w:tcPr>
                <w:p>
                  <w:pPr>
                    <w:jc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沉淀</w:t>
                  </w:r>
                </w:p>
              </w:tc>
              <w:tc>
                <w:tcPr>
                  <w:tcW w:w="6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0.0058 </w:t>
                  </w:r>
                </w:p>
              </w:tc>
              <w:tc>
                <w:tcPr>
                  <w:tcW w:w="42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5" w:hRule="atLeast"/>
              </w:trPr>
              <w:tc>
                <w:tcPr>
                  <w:tcW w:w="510" w:type="dxa"/>
                  <w:vMerge w:val="continue"/>
                  <w:tcBorders>
                    <w:tl2br w:val="nil"/>
                    <w:tr2bl w:val="nil"/>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4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72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氨氮</w:t>
                  </w:r>
                </w:p>
              </w:tc>
              <w:tc>
                <w:tcPr>
                  <w:tcW w:w="89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7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0.0005 </w:t>
                  </w:r>
                </w:p>
              </w:tc>
              <w:tc>
                <w:tcPr>
                  <w:tcW w:w="462" w:type="dxa"/>
                  <w:vMerge w:val="continue"/>
                  <w:tcBorders>
                    <w:top w:val="single" w:color="auto" w:sz="4" w:space="0"/>
                    <w:bottom w:val="single" w:color="auto" w:sz="4" w:space="0"/>
                    <w:tl2br w:val="nil"/>
                    <w:tr2bl w:val="nil"/>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761" w:type="dxa"/>
                  <w:vMerge w:val="continue"/>
                  <w:tcBorders>
                    <w:top w:val="single" w:color="auto" w:sz="4" w:space="0"/>
                    <w:bottom w:val="single" w:color="auto" w:sz="4" w:space="0"/>
                    <w:tl2br w:val="nil"/>
                    <w:tr2bl w:val="nil"/>
                  </w:tcBorders>
                  <w:shd w:val="clear" w:color="auto" w:fill="auto"/>
                  <w:vAlign w:val="center"/>
                </w:tcPr>
                <w:p>
                  <w:pPr>
                    <w:jc w:val="left"/>
                    <w:rPr>
                      <w:rFonts w:hint="default" w:ascii="Times New Roman" w:hAnsi="Times New Roman" w:eastAsia="宋体" w:cs="Times New Roman"/>
                      <w:i w:val="0"/>
                      <w:iCs w:val="0"/>
                      <w:color w:val="auto"/>
                      <w:sz w:val="21"/>
                      <w:szCs w:val="21"/>
                      <w:u w:val="none"/>
                    </w:rPr>
                  </w:pPr>
                </w:p>
              </w:tc>
              <w:tc>
                <w:tcPr>
                  <w:tcW w:w="1397" w:type="dxa"/>
                  <w:vMerge w:val="continue"/>
                  <w:tcBorders>
                    <w:top w:val="single" w:color="auto" w:sz="4" w:space="0"/>
                    <w:bottom w:val="single" w:color="auto" w:sz="4" w:space="0"/>
                    <w:tl2br w:val="nil"/>
                    <w:tr2bl w:val="nil"/>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0.0005 </w:t>
                  </w:r>
                </w:p>
              </w:tc>
              <w:tc>
                <w:tcPr>
                  <w:tcW w:w="42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5" w:hRule="atLeast"/>
              </w:trPr>
              <w:tc>
                <w:tcPr>
                  <w:tcW w:w="510" w:type="dxa"/>
                  <w:vMerge w:val="continue"/>
                  <w:tcBorders>
                    <w:tl2br w:val="nil"/>
                    <w:tr2bl w:val="nil"/>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4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72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89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0.0038 </w:t>
                  </w:r>
                </w:p>
              </w:tc>
              <w:tc>
                <w:tcPr>
                  <w:tcW w:w="462" w:type="dxa"/>
                  <w:vMerge w:val="continue"/>
                  <w:tcBorders>
                    <w:top w:val="single" w:color="auto" w:sz="4" w:space="0"/>
                    <w:bottom w:val="single" w:color="auto" w:sz="4" w:space="0"/>
                    <w:tl2br w:val="nil"/>
                    <w:tr2bl w:val="nil"/>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761" w:type="dxa"/>
                  <w:vMerge w:val="continue"/>
                  <w:tcBorders>
                    <w:top w:val="single" w:color="auto" w:sz="4" w:space="0"/>
                    <w:bottom w:val="single" w:color="auto" w:sz="4" w:space="0"/>
                    <w:tl2br w:val="nil"/>
                    <w:tr2bl w:val="nil"/>
                  </w:tcBorders>
                  <w:shd w:val="clear" w:color="auto" w:fill="auto"/>
                  <w:vAlign w:val="center"/>
                </w:tcPr>
                <w:p>
                  <w:pPr>
                    <w:jc w:val="left"/>
                    <w:rPr>
                      <w:rFonts w:hint="default" w:ascii="Times New Roman" w:hAnsi="Times New Roman" w:eastAsia="宋体" w:cs="Times New Roman"/>
                      <w:i w:val="0"/>
                      <w:iCs w:val="0"/>
                      <w:color w:val="auto"/>
                      <w:sz w:val="21"/>
                      <w:szCs w:val="21"/>
                      <w:u w:val="none"/>
                    </w:rPr>
                  </w:pPr>
                </w:p>
              </w:tc>
              <w:tc>
                <w:tcPr>
                  <w:tcW w:w="1397" w:type="dxa"/>
                  <w:vMerge w:val="continue"/>
                  <w:tcBorders>
                    <w:top w:val="single" w:color="auto" w:sz="4" w:space="0"/>
                    <w:bottom w:val="single" w:color="auto" w:sz="4" w:space="0"/>
                    <w:tl2br w:val="nil"/>
                    <w:tr2bl w:val="nil"/>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kern w:val="0"/>
                      <w:sz w:val="21"/>
                      <w:szCs w:val="21"/>
                      <w:u w:val="none"/>
                      <w:lang w:val="en-US" w:eastAsia="zh-CN" w:bidi="ar"/>
                    </w:rPr>
                    <w:t>0</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0.0038 </w:t>
                  </w:r>
                </w:p>
              </w:tc>
              <w:tc>
                <w:tcPr>
                  <w:tcW w:w="42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360" w:hRule="atLeast"/>
              </w:trPr>
              <w:tc>
                <w:tcPr>
                  <w:tcW w:w="510" w:type="dxa"/>
                  <w:vMerge w:val="continue"/>
                  <w:tcBorders>
                    <w:tl2br w:val="nil"/>
                    <w:tr2bl w:val="nil"/>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4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72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89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794" w:type="dxa"/>
                  <w:tcBorders>
                    <w:bottom w:val="single" w:color="auto" w:sz="4" w:space="0"/>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0.0029 </w:t>
                  </w:r>
                </w:p>
              </w:tc>
              <w:tc>
                <w:tcPr>
                  <w:tcW w:w="462" w:type="dxa"/>
                  <w:vMerge w:val="continue"/>
                  <w:tcBorders>
                    <w:top w:val="single" w:color="auto" w:sz="4" w:space="0"/>
                    <w:bottom w:val="single" w:color="auto" w:sz="4" w:space="0"/>
                    <w:tl2br w:val="nil"/>
                    <w:tr2bl w:val="nil"/>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761" w:type="dxa"/>
                  <w:vMerge w:val="continue"/>
                  <w:tcBorders>
                    <w:top w:val="single" w:color="auto" w:sz="4" w:space="0"/>
                    <w:bottom w:val="single" w:color="auto" w:sz="4" w:space="0"/>
                    <w:tl2br w:val="nil"/>
                    <w:tr2bl w:val="nil"/>
                  </w:tcBorders>
                  <w:shd w:val="clear" w:color="auto" w:fill="auto"/>
                  <w:vAlign w:val="center"/>
                </w:tcPr>
                <w:p>
                  <w:pPr>
                    <w:jc w:val="left"/>
                    <w:rPr>
                      <w:rFonts w:hint="default" w:ascii="Times New Roman" w:hAnsi="Times New Roman" w:eastAsia="宋体" w:cs="Times New Roman"/>
                      <w:i w:val="0"/>
                      <w:iCs w:val="0"/>
                      <w:color w:val="auto"/>
                      <w:sz w:val="21"/>
                      <w:szCs w:val="21"/>
                      <w:u w:val="none"/>
                    </w:rPr>
                  </w:pPr>
                </w:p>
              </w:tc>
              <w:tc>
                <w:tcPr>
                  <w:tcW w:w="1397" w:type="dxa"/>
                  <w:vMerge w:val="continue"/>
                  <w:tcBorders>
                    <w:top w:val="single" w:color="auto" w:sz="4" w:space="0"/>
                    <w:bottom w:val="single" w:color="auto" w:sz="4" w:space="0"/>
                    <w:tl2br w:val="nil"/>
                    <w:tr2bl w:val="nil"/>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01"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kern w:val="0"/>
                      <w:sz w:val="21"/>
                      <w:szCs w:val="21"/>
                      <w:u w:val="none"/>
                      <w:lang w:val="en-US" w:eastAsia="zh-CN" w:bidi="ar"/>
                    </w:rPr>
                    <w:t>90</w:t>
                  </w:r>
                  <w:r>
                    <w:rPr>
                      <w:rFonts w:hint="default" w:ascii="Times New Roman" w:hAnsi="Times New Roman" w:eastAsia="宋体" w:cs="Times New Roman"/>
                      <w:i w:val="0"/>
                      <w:iCs w:val="0"/>
                      <w:color w:val="auto"/>
                      <w:kern w:val="0"/>
                      <w:sz w:val="21"/>
                      <w:szCs w:val="21"/>
                      <w:u w:val="none"/>
                      <w:lang w:val="en-US" w:eastAsia="zh-CN" w:bidi="ar"/>
                    </w:rPr>
                    <w:t>%</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ascii="Times New Roman" w:hAnsi="Times New Roman" w:eastAsia="宋体" w:cs="Times New Roman"/>
                      <w:i w:val="0"/>
                      <w:iCs w:val="0"/>
                      <w:color w:val="000000"/>
                      <w:kern w:val="0"/>
                      <w:sz w:val="21"/>
                      <w:szCs w:val="21"/>
                      <w:u w:val="none"/>
                      <w:lang w:val="en-US" w:eastAsia="zh-CN" w:bidi="ar"/>
                    </w:rPr>
                    <w:t>03</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42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5" w:hRule="atLeast"/>
              </w:trPr>
              <w:tc>
                <w:tcPr>
                  <w:tcW w:w="51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综合废水</w:t>
                  </w:r>
                </w:p>
              </w:tc>
              <w:tc>
                <w:tcPr>
                  <w:tcW w:w="949"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215.52</w:t>
                  </w:r>
                </w:p>
              </w:tc>
              <w:tc>
                <w:tcPr>
                  <w:tcW w:w="72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89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755.85 </w:t>
                  </w:r>
                </w:p>
              </w:tc>
              <w:tc>
                <w:tcPr>
                  <w:tcW w:w="794" w:type="dxa"/>
                  <w:tcBorders>
                    <w:top w:val="single" w:color="auto" w:sz="4" w:space="0"/>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0.1629</w:t>
                  </w:r>
                </w:p>
              </w:tc>
              <w:tc>
                <w:tcPr>
                  <w:tcW w:w="462" w:type="dxa"/>
                  <w:vMerge w:val="restart"/>
                  <w:tcBorders>
                    <w:top w:val="single" w:color="auto" w:sz="4" w:space="0"/>
                    <w:tl2br w:val="nil"/>
                    <w:tr2bl w:val="nil"/>
                  </w:tcBorders>
                  <w:shd w:val="clear" w:color="auto" w:fill="auto"/>
                  <w:vAlign w:val="center"/>
                </w:tcPr>
                <w:p>
                  <w:pPr>
                    <w:jc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w:t>
                  </w:r>
                </w:p>
              </w:tc>
              <w:tc>
                <w:tcPr>
                  <w:tcW w:w="761" w:type="dxa"/>
                  <w:vMerge w:val="restart"/>
                  <w:tcBorders>
                    <w:top w:val="single" w:color="auto" w:sz="4" w:space="0"/>
                    <w:tl2br w:val="nil"/>
                    <w:tr2bl w:val="nil"/>
                  </w:tcBorders>
                  <w:shd w:val="clear" w:color="auto" w:fill="auto"/>
                  <w:vAlign w:val="center"/>
                </w:tcPr>
                <w:p>
                  <w:pPr>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1397" w:type="dxa"/>
                  <w:vMerge w:val="restart"/>
                  <w:tcBorders>
                    <w:top w:val="single" w:color="auto" w:sz="4" w:space="0"/>
                    <w:tl2br w:val="nil"/>
                    <w:tr2bl w:val="nil"/>
                  </w:tcBorders>
                  <w:shd w:val="clear" w:color="auto" w:fill="auto"/>
                  <w:vAlign w:val="center"/>
                </w:tcPr>
                <w:p>
                  <w:pPr>
                    <w:jc w:val="center"/>
                    <w:rPr>
                      <w:rFonts w:hint="eastAsia"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w:t>
                  </w:r>
                </w:p>
              </w:tc>
              <w:tc>
                <w:tcPr>
                  <w:tcW w:w="6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245.45 </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0.0529</w:t>
                  </w:r>
                </w:p>
              </w:tc>
              <w:tc>
                <w:tcPr>
                  <w:tcW w:w="42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5" w:hRule="atLeast"/>
              </w:trPr>
              <w:tc>
                <w:tcPr>
                  <w:tcW w:w="510" w:type="dxa"/>
                  <w:vMerge w:val="continue"/>
                  <w:tcBorders>
                    <w:tl2br w:val="nil"/>
                    <w:tr2bl w:val="nil"/>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4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72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氨氮</w:t>
                  </w:r>
                </w:p>
              </w:tc>
              <w:tc>
                <w:tcPr>
                  <w:tcW w:w="89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15.78 </w:t>
                  </w:r>
                </w:p>
              </w:tc>
              <w:tc>
                <w:tcPr>
                  <w:tcW w:w="7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0.0034</w:t>
                  </w:r>
                </w:p>
              </w:tc>
              <w:tc>
                <w:tcPr>
                  <w:tcW w:w="462" w:type="dxa"/>
                  <w:vMerge w:val="continue"/>
                  <w:tcBorders>
                    <w:top w:val="single" w:color="auto" w:sz="4" w:space="0"/>
                    <w:bottom w:val="single" w:color="auto" w:sz="4" w:space="0"/>
                    <w:tl2br w:val="nil"/>
                    <w:tr2bl w:val="nil"/>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761" w:type="dxa"/>
                  <w:vMerge w:val="continue"/>
                  <w:tcBorders>
                    <w:top w:val="single" w:color="auto" w:sz="4" w:space="0"/>
                    <w:bottom w:val="single" w:color="auto" w:sz="4" w:space="0"/>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397" w:type="dxa"/>
                  <w:vMerge w:val="continue"/>
                  <w:tcBorders>
                    <w:top w:val="single" w:color="auto" w:sz="4" w:space="0"/>
                    <w:bottom w:val="single" w:color="auto" w:sz="4" w:space="0"/>
                    <w:tl2br w:val="nil"/>
                    <w:tr2bl w:val="nil"/>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14.85 </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0.0032</w:t>
                  </w:r>
                </w:p>
              </w:tc>
              <w:tc>
                <w:tcPr>
                  <w:tcW w:w="42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5" w:hRule="atLeast"/>
              </w:trPr>
              <w:tc>
                <w:tcPr>
                  <w:tcW w:w="510" w:type="dxa"/>
                  <w:vMerge w:val="continue"/>
                  <w:tcBorders>
                    <w:tl2br w:val="nil"/>
                    <w:tr2bl w:val="nil"/>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4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728"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89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290.92 </w:t>
                  </w:r>
                </w:p>
              </w:tc>
              <w:tc>
                <w:tcPr>
                  <w:tcW w:w="7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0.0627</w:t>
                  </w:r>
                </w:p>
              </w:tc>
              <w:tc>
                <w:tcPr>
                  <w:tcW w:w="462" w:type="dxa"/>
                  <w:vMerge w:val="continue"/>
                  <w:tcBorders>
                    <w:top w:val="single" w:color="auto" w:sz="4" w:space="0"/>
                    <w:bottom w:val="single" w:color="auto" w:sz="4" w:space="0"/>
                    <w:tl2br w:val="nil"/>
                    <w:tr2bl w:val="nil"/>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761" w:type="dxa"/>
                  <w:vMerge w:val="continue"/>
                  <w:tcBorders>
                    <w:top w:val="single" w:color="auto" w:sz="4" w:space="0"/>
                    <w:bottom w:val="single" w:color="auto" w:sz="4" w:space="0"/>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397" w:type="dxa"/>
                  <w:vMerge w:val="continue"/>
                  <w:tcBorders>
                    <w:top w:val="single" w:color="auto" w:sz="4" w:space="0"/>
                    <w:bottom w:val="single" w:color="auto" w:sz="4" w:space="0"/>
                    <w:tl2br w:val="nil"/>
                    <w:tr2bl w:val="nil"/>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127.13 </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0.0274</w:t>
                  </w:r>
                </w:p>
              </w:tc>
              <w:tc>
                <w:tcPr>
                  <w:tcW w:w="42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510" w:type="dxa"/>
                  <w:vMerge w:val="continue"/>
                  <w:tcBorders>
                    <w:tl2br w:val="nil"/>
                    <w:tr2bl w:val="nil"/>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49"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72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SS</w:t>
                  </w:r>
                </w:p>
              </w:tc>
              <w:tc>
                <w:tcPr>
                  <w:tcW w:w="89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286.75 </w:t>
                  </w:r>
                </w:p>
              </w:tc>
              <w:tc>
                <w:tcPr>
                  <w:tcW w:w="7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0.0618</w:t>
                  </w:r>
                </w:p>
              </w:tc>
              <w:tc>
                <w:tcPr>
                  <w:tcW w:w="462" w:type="dxa"/>
                  <w:vMerge w:val="continue"/>
                  <w:tcBorders>
                    <w:top w:val="single" w:color="auto" w:sz="4" w:space="0"/>
                    <w:bottom w:val="single" w:color="auto" w:sz="4" w:space="0"/>
                    <w:tl2br w:val="nil"/>
                    <w:tr2bl w:val="nil"/>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761" w:type="dxa"/>
                  <w:vMerge w:val="continue"/>
                  <w:tcBorders>
                    <w:top w:val="single" w:color="auto" w:sz="4" w:space="0"/>
                    <w:bottom w:val="single" w:color="auto" w:sz="4" w:space="0"/>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397" w:type="dxa"/>
                  <w:vMerge w:val="continue"/>
                  <w:tcBorders>
                    <w:top w:val="single" w:color="auto" w:sz="4" w:space="0"/>
                    <w:bottom w:val="single" w:color="auto" w:sz="4" w:space="0"/>
                    <w:tl2br w:val="nil"/>
                    <w:tr2bl w:val="nil"/>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60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28.77 </w:t>
                  </w:r>
                </w:p>
              </w:tc>
              <w:tc>
                <w:tcPr>
                  <w:tcW w:w="79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0.0062</w:t>
                  </w:r>
                </w:p>
              </w:tc>
              <w:tc>
                <w:tcPr>
                  <w:tcW w:w="428"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r>
          </w:tbl>
          <w:p>
            <w:pPr>
              <w:spacing w:line="360" w:lineRule="auto"/>
              <w:ind w:firstLine="480" w:firstLineChars="200"/>
              <w:rPr>
                <w:bCs/>
                <w:color w:val="auto"/>
                <w:sz w:val="24"/>
                <w:highlight w:val="none"/>
              </w:rPr>
            </w:pPr>
            <w:r>
              <w:rPr>
                <w:color w:val="auto"/>
                <w:sz w:val="24"/>
                <w:highlight w:val="none"/>
              </w:rPr>
              <w:t>本项目废水污染物及污染治理设施情况见下表。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 w:val="21"/>
                <w:szCs w:val="21"/>
                <w:highlight w:val="none"/>
              </w:rPr>
            </w:pPr>
            <w:r>
              <w:rPr>
                <w:b/>
                <w:color w:val="auto"/>
                <w:sz w:val="21"/>
                <w:szCs w:val="21"/>
                <w:highlight w:val="none"/>
              </w:rPr>
              <w:t>表4-2废水类别、污染物及污染治理设施信息表</w:t>
            </w:r>
          </w:p>
          <w:tbl>
            <w:tblPr>
              <w:tblStyle w:val="29"/>
              <w:tblW w:w="913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27"/>
              <w:gridCol w:w="772"/>
              <w:gridCol w:w="878"/>
              <w:gridCol w:w="1155"/>
              <w:gridCol w:w="934"/>
              <w:gridCol w:w="756"/>
              <w:gridCol w:w="663"/>
              <w:gridCol w:w="1295"/>
              <w:gridCol w:w="729"/>
              <w:gridCol w:w="951"/>
              <w:gridCol w:w="5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112" w:hRule="atLeast"/>
              </w:trPr>
              <w:tc>
                <w:tcPr>
                  <w:tcW w:w="427" w:type="dxa"/>
                  <w:vMerge w:val="restart"/>
                  <w:vAlign w:val="center"/>
                </w:tcPr>
                <w:p>
                  <w:pPr>
                    <w:pStyle w:val="63"/>
                    <w:rPr>
                      <w:color w:val="auto"/>
                      <w:highlight w:val="none"/>
                    </w:rPr>
                  </w:pPr>
                  <w:bookmarkStart w:id="39" w:name="_Toc31078"/>
                  <w:bookmarkStart w:id="40" w:name="_Toc5576"/>
                  <w:bookmarkStart w:id="41" w:name="_Toc22254"/>
                  <w:bookmarkStart w:id="42" w:name="_Toc391"/>
                  <w:bookmarkStart w:id="43" w:name="_Toc10977"/>
                  <w:bookmarkStart w:id="44" w:name="_Toc28129"/>
                  <w:bookmarkStart w:id="45" w:name="_Toc16191"/>
                  <w:bookmarkStart w:id="46" w:name="_Toc29874"/>
                  <w:bookmarkStart w:id="47" w:name="_Toc4094"/>
                  <w:bookmarkStart w:id="48" w:name="_Toc29667"/>
                  <w:bookmarkStart w:id="49" w:name="_Toc15308"/>
                  <w:bookmarkStart w:id="50" w:name="_Toc30821"/>
                  <w:bookmarkStart w:id="51" w:name="_Toc3888"/>
                  <w:bookmarkStart w:id="52" w:name="_Toc32013"/>
                  <w:bookmarkStart w:id="53" w:name="_Toc18532"/>
                  <w:bookmarkStart w:id="54" w:name="_Toc7599"/>
                  <w:bookmarkStart w:id="55" w:name="_Toc7503"/>
                  <w:bookmarkStart w:id="56" w:name="_Toc20823"/>
                  <w:r>
                    <w:rPr>
                      <w:color w:val="auto"/>
                      <w:highlight w:val="none"/>
                    </w:rPr>
                    <w:t>序号</w:t>
                  </w:r>
                </w:p>
              </w:tc>
              <w:tc>
                <w:tcPr>
                  <w:tcW w:w="772" w:type="dxa"/>
                  <w:vMerge w:val="restart"/>
                  <w:vAlign w:val="center"/>
                </w:tcPr>
                <w:p>
                  <w:pPr>
                    <w:pStyle w:val="63"/>
                    <w:rPr>
                      <w:color w:val="auto"/>
                      <w:highlight w:val="none"/>
                    </w:rPr>
                  </w:pPr>
                  <w:r>
                    <w:rPr>
                      <w:color w:val="auto"/>
                      <w:highlight w:val="none"/>
                    </w:rPr>
                    <w:t>废水类别</w:t>
                  </w:r>
                </w:p>
              </w:tc>
              <w:tc>
                <w:tcPr>
                  <w:tcW w:w="878" w:type="dxa"/>
                  <w:vMerge w:val="restart"/>
                  <w:vAlign w:val="center"/>
                </w:tcPr>
                <w:p>
                  <w:pPr>
                    <w:pStyle w:val="63"/>
                    <w:rPr>
                      <w:color w:val="auto"/>
                      <w:highlight w:val="none"/>
                    </w:rPr>
                  </w:pPr>
                  <w:r>
                    <w:rPr>
                      <w:color w:val="auto"/>
                      <w:highlight w:val="none"/>
                    </w:rPr>
                    <w:t>污染物种类</w:t>
                  </w:r>
                </w:p>
              </w:tc>
              <w:tc>
                <w:tcPr>
                  <w:tcW w:w="1155" w:type="dxa"/>
                  <w:vMerge w:val="restart"/>
                  <w:vAlign w:val="center"/>
                </w:tcPr>
                <w:p>
                  <w:pPr>
                    <w:pStyle w:val="63"/>
                    <w:rPr>
                      <w:color w:val="auto"/>
                      <w:highlight w:val="none"/>
                    </w:rPr>
                  </w:pPr>
                  <w:r>
                    <w:rPr>
                      <w:color w:val="auto"/>
                      <w:highlight w:val="none"/>
                    </w:rPr>
                    <w:t>排放去向</w:t>
                  </w:r>
                </w:p>
              </w:tc>
              <w:tc>
                <w:tcPr>
                  <w:tcW w:w="934" w:type="dxa"/>
                  <w:vMerge w:val="restart"/>
                  <w:vAlign w:val="center"/>
                </w:tcPr>
                <w:p>
                  <w:pPr>
                    <w:pStyle w:val="63"/>
                    <w:rPr>
                      <w:color w:val="auto"/>
                      <w:highlight w:val="none"/>
                    </w:rPr>
                  </w:pPr>
                  <w:r>
                    <w:rPr>
                      <w:color w:val="auto"/>
                      <w:highlight w:val="none"/>
                    </w:rPr>
                    <w:t>排放规律</w:t>
                  </w:r>
                </w:p>
              </w:tc>
              <w:tc>
                <w:tcPr>
                  <w:tcW w:w="2714" w:type="dxa"/>
                  <w:gridSpan w:val="3"/>
                  <w:vAlign w:val="center"/>
                </w:tcPr>
                <w:p>
                  <w:pPr>
                    <w:pStyle w:val="63"/>
                    <w:rPr>
                      <w:color w:val="auto"/>
                      <w:highlight w:val="none"/>
                    </w:rPr>
                  </w:pPr>
                  <w:r>
                    <w:rPr>
                      <w:color w:val="auto"/>
                      <w:highlight w:val="none"/>
                    </w:rPr>
                    <w:t>污染治理设施</w:t>
                  </w:r>
                </w:p>
              </w:tc>
              <w:tc>
                <w:tcPr>
                  <w:tcW w:w="729" w:type="dxa"/>
                  <w:vMerge w:val="restart"/>
                  <w:vAlign w:val="center"/>
                </w:tcPr>
                <w:p>
                  <w:pPr>
                    <w:pStyle w:val="63"/>
                    <w:rPr>
                      <w:color w:val="auto"/>
                      <w:highlight w:val="none"/>
                    </w:rPr>
                  </w:pPr>
                  <w:r>
                    <w:rPr>
                      <w:color w:val="auto"/>
                      <w:highlight w:val="none"/>
                    </w:rPr>
                    <w:t>排放口编号</w:t>
                  </w:r>
                </w:p>
              </w:tc>
              <w:tc>
                <w:tcPr>
                  <w:tcW w:w="951" w:type="dxa"/>
                  <w:vMerge w:val="restart"/>
                  <w:vAlign w:val="center"/>
                </w:tcPr>
                <w:p>
                  <w:pPr>
                    <w:pStyle w:val="63"/>
                    <w:rPr>
                      <w:color w:val="auto"/>
                      <w:highlight w:val="none"/>
                    </w:rPr>
                  </w:pPr>
                  <w:r>
                    <w:rPr>
                      <w:color w:val="auto"/>
                      <w:highlight w:val="none"/>
                    </w:rPr>
                    <w:t>排放口设置是否符合要求</w:t>
                  </w:r>
                </w:p>
              </w:tc>
              <w:tc>
                <w:tcPr>
                  <w:tcW w:w="576" w:type="dxa"/>
                  <w:vMerge w:val="restart"/>
                  <w:vAlign w:val="center"/>
                </w:tcPr>
                <w:p>
                  <w:pPr>
                    <w:pStyle w:val="63"/>
                    <w:rPr>
                      <w:color w:val="auto"/>
                      <w:highlight w:val="none"/>
                    </w:rPr>
                  </w:pPr>
                  <w:r>
                    <w:rPr>
                      <w:color w:val="auto"/>
                      <w:highlight w:val="none"/>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trPr>
              <w:tc>
                <w:tcPr>
                  <w:tcW w:w="427" w:type="dxa"/>
                  <w:vMerge w:val="continue"/>
                  <w:vAlign w:val="center"/>
                </w:tcPr>
                <w:p>
                  <w:pPr>
                    <w:pStyle w:val="63"/>
                    <w:rPr>
                      <w:color w:val="auto"/>
                      <w:highlight w:val="none"/>
                    </w:rPr>
                  </w:pPr>
                </w:p>
              </w:tc>
              <w:tc>
                <w:tcPr>
                  <w:tcW w:w="772" w:type="dxa"/>
                  <w:vMerge w:val="continue"/>
                  <w:vAlign w:val="center"/>
                </w:tcPr>
                <w:p>
                  <w:pPr>
                    <w:pStyle w:val="63"/>
                    <w:rPr>
                      <w:color w:val="auto"/>
                      <w:highlight w:val="none"/>
                    </w:rPr>
                  </w:pPr>
                </w:p>
              </w:tc>
              <w:tc>
                <w:tcPr>
                  <w:tcW w:w="878" w:type="dxa"/>
                  <w:vMerge w:val="continue"/>
                  <w:vAlign w:val="center"/>
                </w:tcPr>
                <w:p>
                  <w:pPr>
                    <w:pStyle w:val="63"/>
                    <w:rPr>
                      <w:color w:val="auto"/>
                      <w:highlight w:val="none"/>
                    </w:rPr>
                  </w:pPr>
                </w:p>
              </w:tc>
              <w:tc>
                <w:tcPr>
                  <w:tcW w:w="1155" w:type="dxa"/>
                  <w:vMerge w:val="continue"/>
                  <w:vAlign w:val="center"/>
                </w:tcPr>
                <w:p>
                  <w:pPr>
                    <w:pStyle w:val="63"/>
                    <w:rPr>
                      <w:color w:val="auto"/>
                      <w:highlight w:val="none"/>
                    </w:rPr>
                  </w:pPr>
                </w:p>
              </w:tc>
              <w:tc>
                <w:tcPr>
                  <w:tcW w:w="934" w:type="dxa"/>
                  <w:vMerge w:val="continue"/>
                  <w:vAlign w:val="center"/>
                </w:tcPr>
                <w:p>
                  <w:pPr>
                    <w:pStyle w:val="63"/>
                    <w:rPr>
                      <w:color w:val="auto"/>
                      <w:highlight w:val="none"/>
                    </w:rPr>
                  </w:pPr>
                </w:p>
              </w:tc>
              <w:tc>
                <w:tcPr>
                  <w:tcW w:w="756" w:type="dxa"/>
                  <w:vAlign w:val="center"/>
                </w:tcPr>
                <w:p>
                  <w:pPr>
                    <w:pStyle w:val="63"/>
                    <w:rPr>
                      <w:color w:val="auto"/>
                      <w:highlight w:val="none"/>
                    </w:rPr>
                  </w:pPr>
                  <w:r>
                    <w:rPr>
                      <w:color w:val="auto"/>
                      <w:highlight w:val="none"/>
                    </w:rPr>
                    <w:t>污染治理设施编号</w:t>
                  </w:r>
                </w:p>
              </w:tc>
              <w:tc>
                <w:tcPr>
                  <w:tcW w:w="663" w:type="dxa"/>
                  <w:vAlign w:val="center"/>
                </w:tcPr>
                <w:p>
                  <w:pPr>
                    <w:pStyle w:val="63"/>
                    <w:rPr>
                      <w:color w:val="auto"/>
                      <w:highlight w:val="yellow"/>
                    </w:rPr>
                  </w:pPr>
                  <w:r>
                    <w:rPr>
                      <w:color w:val="auto"/>
                      <w:highlight w:val="none"/>
                    </w:rPr>
                    <w:t>污染治理设施名称</w:t>
                  </w:r>
                </w:p>
              </w:tc>
              <w:tc>
                <w:tcPr>
                  <w:tcW w:w="1295" w:type="dxa"/>
                  <w:vAlign w:val="center"/>
                </w:tcPr>
                <w:p>
                  <w:pPr>
                    <w:pStyle w:val="63"/>
                    <w:rPr>
                      <w:color w:val="auto"/>
                      <w:highlight w:val="none"/>
                    </w:rPr>
                  </w:pPr>
                  <w:r>
                    <w:rPr>
                      <w:color w:val="auto"/>
                      <w:highlight w:val="none"/>
                    </w:rPr>
                    <w:t>污染治理设施工艺</w:t>
                  </w:r>
                </w:p>
              </w:tc>
              <w:tc>
                <w:tcPr>
                  <w:tcW w:w="729" w:type="dxa"/>
                  <w:vMerge w:val="continue"/>
                  <w:vAlign w:val="center"/>
                </w:tcPr>
                <w:p>
                  <w:pPr>
                    <w:pStyle w:val="63"/>
                    <w:rPr>
                      <w:color w:val="auto"/>
                      <w:highlight w:val="none"/>
                    </w:rPr>
                  </w:pPr>
                </w:p>
              </w:tc>
              <w:tc>
                <w:tcPr>
                  <w:tcW w:w="951" w:type="dxa"/>
                  <w:vMerge w:val="continue"/>
                  <w:vAlign w:val="center"/>
                </w:tcPr>
                <w:p>
                  <w:pPr>
                    <w:pStyle w:val="63"/>
                    <w:rPr>
                      <w:color w:val="auto"/>
                      <w:highlight w:val="none"/>
                    </w:rPr>
                  </w:pPr>
                </w:p>
              </w:tc>
              <w:tc>
                <w:tcPr>
                  <w:tcW w:w="576" w:type="dxa"/>
                  <w:vMerge w:val="continue"/>
                  <w:vAlign w:val="center"/>
                </w:tcPr>
                <w:p>
                  <w:pPr>
                    <w:pStyle w:val="63"/>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trPr>
              <w:tc>
                <w:tcPr>
                  <w:tcW w:w="427" w:type="dxa"/>
                  <w:vAlign w:val="center"/>
                </w:tcPr>
                <w:p>
                  <w:pPr>
                    <w:pStyle w:val="63"/>
                    <w:rPr>
                      <w:color w:val="auto"/>
                      <w:highlight w:val="none"/>
                    </w:rPr>
                  </w:pPr>
                  <w:r>
                    <w:rPr>
                      <w:color w:val="auto"/>
                      <w:highlight w:val="none"/>
                    </w:rPr>
                    <w:t>1</w:t>
                  </w:r>
                </w:p>
              </w:tc>
              <w:tc>
                <w:tcPr>
                  <w:tcW w:w="772" w:type="dxa"/>
                  <w:vAlign w:val="center"/>
                </w:tcPr>
                <w:p>
                  <w:pPr>
                    <w:pStyle w:val="63"/>
                    <w:rPr>
                      <w:rFonts w:hint="eastAsia" w:eastAsia="宋体"/>
                      <w:color w:val="auto"/>
                      <w:highlight w:val="none"/>
                      <w:lang w:val="en-US" w:eastAsia="zh-CN"/>
                    </w:rPr>
                  </w:pPr>
                  <w:r>
                    <w:rPr>
                      <w:rFonts w:hint="eastAsia"/>
                      <w:color w:val="auto"/>
                      <w:highlight w:val="none"/>
                      <w:lang w:val="en-US" w:eastAsia="zh-CN"/>
                    </w:rPr>
                    <w:t>生产废水</w:t>
                  </w:r>
                </w:p>
              </w:tc>
              <w:tc>
                <w:tcPr>
                  <w:tcW w:w="878" w:type="dxa"/>
                  <w:vAlign w:val="center"/>
                </w:tcPr>
                <w:p>
                  <w:pPr>
                    <w:pStyle w:val="63"/>
                    <w:rPr>
                      <w:rFonts w:hint="default" w:eastAsia="宋体"/>
                      <w:color w:val="auto"/>
                      <w:highlight w:val="none"/>
                      <w:lang w:val="en-US" w:eastAsia="zh-CN"/>
                    </w:rPr>
                  </w:pPr>
                  <w:r>
                    <w:rPr>
                      <w:color w:val="auto"/>
                      <w:highlight w:val="none"/>
                    </w:rPr>
                    <w:t>COD、氨氮</w:t>
                  </w:r>
                  <w:r>
                    <w:rPr>
                      <w:rFonts w:hint="eastAsia"/>
                      <w:color w:val="auto"/>
                      <w:highlight w:val="none"/>
                      <w:lang w:eastAsia="zh-CN"/>
                    </w:rPr>
                    <w:t>、</w:t>
                  </w:r>
                  <w:r>
                    <w:rPr>
                      <w:rFonts w:hint="eastAsia"/>
                      <w:color w:val="auto"/>
                      <w:highlight w:val="none"/>
                      <w:lang w:val="en-US" w:eastAsia="zh-CN"/>
                    </w:rPr>
                    <w:t>总氮、总磷</w:t>
                  </w:r>
                </w:p>
              </w:tc>
              <w:tc>
                <w:tcPr>
                  <w:tcW w:w="1155" w:type="dxa"/>
                  <w:vAlign w:val="center"/>
                </w:tcPr>
                <w:p>
                  <w:pPr>
                    <w:pStyle w:val="63"/>
                    <w:rPr>
                      <w:color w:val="auto"/>
                      <w:highlight w:val="none"/>
                    </w:rPr>
                  </w:pPr>
                  <w:r>
                    <w:rPr>
                      <w:rFonts w:hint="eastAsia" w:ascii="宋体" w:hAnsi="宋体" w:cs="宋体"/>
                      <w:i w:val="0"/>
                      <w:iCs w:val="0"/>
                      <w:color w:val="auto"/>
                      <w:kern w:val="0"/>
                      <w:sz w:val="21"/>
                      <w:szCs w:val="21"/>
                      <w:u w:val="none"/>
                      <w:lang w:val="en-US" w:eastAsia="zh-CN" w:bidi="ar"/>
                    </w:rPr>
                    <w:t>伊春市嘉荫县污水处理厂</w:t>
                  </w:r>
                </w:p>
              </w:tc>
              <w:tc>
                <w:tcPr>
                  <w:tcW w:w="934" w:type="dxa"/>
                  <w:vAlign w:val="center"/>
                </w:tcPr>
                <w:p>
                  <w:pPr>
                    <w:pStyle w:val="63"/>
                    <w:rPr>
                      <w:color w:val="auto"/>
                      <w:highlight w:val="none"/>
                    </w:rPr>
                  </w:pPr>
                  <w:r>
                    <w:rPr>
                      <w:rFonts w:hint="eastAsia"/>
                      <w:color w:val="auto"/>
                      <w:highlight w:val="none"/>
                    </w:rPr>
                    <w:t>间断排放，</w:t>
                  </w:r>
                  <w:r>
                    <w:rPr>
                      <w:color w:val="auto"/>
                      <w:highlight w:val="none"/>
                    </w:rPr>
                    <w:t>排放期间</w:t>
                  </w:r>
                  <w:r>
                    <w:rPr>
                      <w:rFonts w:hint="eastAsia"/>
                      <w:color w:val="auto"/>
                      <w:highlight w:val="none"/>
                    </w:rPr>
                    <w:t>流量稳定</w:t>
                  </w:r>
                </w:p>
              </w:tc>
              <w:tc>
                <w:tcPr>
                  <w:tcW w:w="756" w:type="dxa"/>
                  <w:vAlign w:val="center"/>
                </w:tcPr>
                <w:p>
                  <w:pPr>
                    <w:pStyle w:val="63"/>
                    <w:rPr>
                      <w:color w:val="auto"/>
                      <w:highlight w:val="none"/>
                    </w:rPr>
                  </w:pPr>
                  <w:r>
                    <w:rPr>
                      <w:color w:val="auto"/>
                      <w:highlight w:val="none"/>
                    </w:rPr>
                    <w:t>TW001</w:t>
                  </w:r>
                </w:p>
              </w:tc>
              <w:tc>
                <w:tcPr>
                  <w:tcW w:w="663" w:type="dxa"/>
                  <w:vAlign w:val="center"/>
                </w:tcPr>
                <w:p>
                  <w:pPr>
                    <w:pStyle w:val="63"/>
                    <w:rPr>
                      <w:color w:val="auto"/>
                      <w:highlight w:val="yellow"/>
                    </w:rPr>
                  </w:pPr>
                  <w:r>
                    <w:rPr>
                      <w:rFonts w:hint="default" w:ascii="Times New Roman" w:hAnsi="Times New Roman" w:eastAsia="宋体" w:cs="Times New Roman"/>
                      <w:bCs/>
                      <w:color w:val="auto"/>
                      <w:sz w:val="21"/>
                      <w:szCs w:val="21"/>
                    </w:rPr>
                    <w:t>污水处理站</w:t>
                  </w:r>
                </w:p>
              </w:tc>
              <w:tc>
                <w:tcPr>
                  <w:tcW w:w="1295" w:type="dxa"/>
                  <w:vAlign w:val="center"/>
                </w:tcPr>
                <w:p>
                  <w:pPr>
                    <w:pStyle w:val="63"/>
                    <w:rPr>
                      <w:color w:val="auto"/>
                      <w:highlight w:val="none"/>
                    </w:rPr>
                  </w:pPr>
                  <w:r>
                    <w:rPr>
                      <w:rFonts w:hint="eastAsia"/>
                    </w:rPr>
                    <w:t>格栅+收集池+调节池+PAC+PAM+沉淀池</w:t>
                  </w:r>
                </w:p>
              </w:tc>
              <w:tc>
                <w:tcPr>
                  <w:tcW w:w="729" w:type="dxa"/>
                  <w:vAlign w:val="center"/>
                </w:tcPr>
                <w:p>
                  <w:pPr>
                    <w:pStyle w:val="114"/>
                    <w:spacing w:line="240" w:lineRule="auto"/>
                    <w:rPr>
                      <w:color w:val="auto"/>
                      <w:highlight w:val="none"/>
                    </w:rPr>
                  </w:pPr>
                  <w:r>
                    <w:rPr>
                      <w:color w:val="auto"/>
                      <w:spacing w:val="-10"/>
                      <w:sz w:val="21"/>
                      <w:szCs w:val="21"/>
                      <w:highlight w:val="none"/>
                      <w:lang w:val="en-US" w:eastAsia="zh-CN"/>
                    </w:rPr>
                    <w:t>DW001</w:t>
                  </w:r>
                </w:p>
              </w:tc>
              <w:tc>
                <w:tcPr>
                  <w:tcW w:w="951" w:type="dxa"/>
                  <w:vAlign w:val="center"/>
                </w:tcPr>
                <w:p>
                  <w:pPr>
                    <w:pStyle w:val="114"/>
                    <w:spacing w:line="240" w:lineRule="auto"/>
                    <w:rPr>
                      <w:color w:val="auto"/>
                      <w:highlight w:val="none"/>
                    </w:rPr>
                  </w:pPr>
                  <w:r>
                    <w:rPr>
                      <w:color w:val="auto"/>
                      <w:spacing w:val="-10"/>
                      <w:sz w:val="21"/>
                      <w:szCs w:val="21"/>
                      <w:highlight w:val="none"/>
                      <w:lang w:val="en-US" w:eastAsia="zh-CN"/>
                    </w:rPr>
                    <w:t>是</w:t>
                  </w:r>
                </w:p>
              </w:tc>
              <w:tc>
                <w:tcPr>
                  <w:tcW w:w="576" w:type="dxa"/>
                  <w:vAlign w:val="center"/>
                </w:tcPr>
                <w:p>
                  <w:pPr>
                    <w:pStyle w:val="114"/>
                    <w:spacing w:line="240" w:lineRule="auto"/>
                    <w:rPr>
                      <w:color w:val="auto"/>
                      <w:highlight w:val="none"/>
                    </w:rPr>
                  </w:pPr>
                  <w:r>
                    <w:rPr>
                      <w:rFonts w:hint="eastAsia"/>
                      <w:color w:val="auto"/>
                      <w:spacing w:val="-10"/>
                      <w:sz w:val="21"/>
                      <w:szCs w:val="21"/>
                      <w:highlight w:val="none"/>
                      <w:lang w:val="en-US" w:eastAsia="zh-CN"/>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trPr>
              <w:tc>
                <w:tcPr>
                  <w:tcW w:w="427" w:type="dxa"/>
                  <w:vAlign w:val="center"/>
                </w:tcPr>
                <w:p>
                  <w:pPr>
                    <w:pStyle w:val="63"/>
                    <w:rPr>
                      <w:rFonts w:hint="default" w:eastAsia="宋体"/>
                      <w:color w:val="auto"/>
                      <w:highlight w:val="none"/>
                      <w:lang w:val="en-US" w:eastAsia="zh-CN"/>
                    </w:rPr>
                  </w:pPr>
                  <w:r>
                    <w:rPr>
                      <w:rFonts w:hint="eastAsia"/>
                      <w:color w:val="auto"/>
                      <w:highlight w:val="none"/>
                      <w:lang w:val="en-US" w:eastAsia="zh-CN"/>
                    </w:rPr>
                    <w:t>2</w:t>
                  </w:r>
                </w:p>
              </w:tc>
              <w:tc>
                <w:tcPr>
                  <w:tcW w:w="772" w:type="dxa"/>
                  <w:vAlign w:val="center"/>
                </w:tcPr>
                <w:p>
                  <w:pPr>
                    <w:pStyle w:val="63"/>
                    <w:rPr>
                      <w:rFonts w:hint="eastAsia"/>
                      <w:color w:val="auto"/>
                      <w:highlight w:val="none"/>
                      <w:lang w:val="en-US" w:eastAsia="zh-CN"/>
                    </w:rPr>
                  </w:pPr>
                  <w:r>
                    <w:rPr>
                      <w:rFonts w:hint="eastAsia"/>
                      <w:color w:val="auto"/>
                      <w:highlight w:val="none"/>
                      <w:lang w:val="en-US" w:eastAsia="zh-CN"/>
                    </w:rPr>
                    <w:t>生活污水</w:t>
                  </w:r>
                </w:p>
              </w:tc>
              <w:tc>
                <w:tcPr>
                  <w:tcW w:w="878" w:type="dxa"/>
                  <w:vAlign w:val="center"/>
                </w:tcPr>
                <w:p>
                  <w:pPr>
                    <w:pStyle w:val="63"/>
                    <w:rPr>
                      <w:rFonts w:hint="default" w:eastAsia="宋体"/>
                      <w:color w:val="auto"/>
                      <w:highlight w:val="none"/>
                      <w:lang w:val="en-US" w:eastAsia="zh-CN"/>
                    </w:rPr>
                  </w:pPr>
                  <w:r>
                    <w:rPr>
                      <w:rFonts w:hint="eastAsia"/>
                      <w:color w:val="auto"/>
                      <w:highlight w:val="none"/>
                      <w:lang w:val="en-US" w:eastAsia="zh-CN"/>
                    </w:rPr>
                    <w:t>COD、氨氮</w:t>
                  </w:r>
                </w:p>
              </w:tc>
              <w:tc>
                <w:tcPr>
                  <w:tcW w:w="1155" w:type="dxa"/>
                  <w:vAlign w:val="center"/>
                </w:tcPr>
                <w:p>
                  <w:pPr>
                    <w:pStyle w:val="63"/>
                    <w:rPr>
                      <w:rFonts w:hint="eastAsia"/>
                      <w:color w:val="auto"/>
                      <w:highlight w:val="none"/>
                    </w:rPr>
                  </w:pPr>
                  <w:r>
                    <w:rPr>
                      <w:rFonts w:hint="eastAsia" w:ascii="宋体" w:hAnsi="宋体" w:cs="宋体"/>
                      <w:i w:val="0"/>
                      <w:iCs w:val="0"/>
                      <w:color w:val="auto"/>
                      <w:kern w:val="0"/>
                      <w:sz w:val="21"/>
                      <w:szCs w:val="21"/>
                      <w:u w:val="none"/>
                      <w:lang w:val="en-US" w:eastAsia="zh-CN" w:bidi="ar"/>
                    </w:rPr>
                    <w:t>伊春市嘉荫县污水处理厂</w:t>
                  </w:r>
                </w:p>
              </w:tc>
              <w:tc>
                <w:tcPr>
                  <w:tcW w:w="934" w:type="dxa"/>
                  <w:vAlign w:val="center"/>
                </w:tcPr>
                <w:p>
                  <w:pPr>
                    <w:pStyle w:val="63"/>
                    <w:rPr>
                      <w:rFonts w:hint="eastAsia"/>
                      <w:color w:val="auto"/>
                      <w:highlight w:val="none"/>
                    </w:rPr>
                  </w:pPr>
                  <w:r>
                    <w:rPr>
                      <w:rFonts w:hint="eastAsia"/>
                      <w:color w:val="auto"/>
                      <w:highlight w:val="none"/>
                    </w:rPr>
                    <w:t>间断排放，</w:t>
                  </w:r>
                  <w:r>
                    <w:rPr>
                      <w:color w:val="auto"/>
                      <w:highlight w:val="none"/>
                    </w:rPr>
                    <w:t>排放期间</w:t>
                  </w:r>
                  <w:r>
                    <w:rPr>
                      <w:rFonts w:hint="eastAsia"/>
                      <w:color w:val="auto"/>
                      <w:highlight w:val="none"/>
                    </w:rPr>
                    <w:t>流量稳定</w:t>
                  </w:r>
                </w:p>
              </w:tc>
              <w:tc>
                <w:tcPr>
                  <w:tcW w:w="756" w:type="dxa"/>
                  <w:vAlign w:val="center"/>
                </w:tcPr>
                <w:p>
                  <w:pPr>
                    <w:pStyle w:val="63"/>
                    <w:rPr>
                      <w:rFonts w:hint="default" w:eastAsia="宋体"/>
                      <w:color w:val="auto"/>
                      <w:highlight w:val="none"/>
                      <w:lang w:val="en-US" w:eastAsia="zh-CN"/>
                    </w:rPr>
                  </w:pPr>
                  <w:r>
                    <w:rPr>
                      <w:rFonts w:hint="eastAsia"/>
                      <w:color w:val="auto"/>
                      <w:highlight w:val="none"/>
                      <w:lang w:val="en-US" w:eastAsia="zh-CN"/>
                    </w:rPr>
                    <w:t>TW002</w:t>
                  </w:r>
                </w:p>
              </w:tc>
              <w:tc>
                <w:tcPr>
                  <w:tcW w:w="663" w:type="dxa"/>
                  <w:vAlign w:val="center"/>
                </w:tcPr>
                <w:p>
                  <w:pPr>
                    <w:pStyle w:val="63"/>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化粪池</w:t>
                  </w:r>
                </w:p>
              </w:tc>
              <w:tc>
                <w:tcPr>
                  <w:tcW w:w="1295" w:type="dxa"/>
                  <w:vAlign w:val="center"/>
                </w:tcPr>
                <w:p>
                  <w:pPr>
                    <w:pStyle w:val="63"/>
                    <w:rPr>
                      <w:rFonts w:hint="eastAsia" w:eastAsia="宋体"/>
                      <w:color w:val="auto"/>
                      <w:highlight w:val="none"/>
                      <w:lang w:val="en-US" w:eastAsia="zh-CN"/>
                    </w:rPr>
                  </w:pPr>
                  <w:r>
                    <w:rPr>
                      <w:rFonts w:hint="eastAsia"/>
                      <w:color w:val="auto"/>
                      <w:highlight w:val="none"/>
                      <w:lang w:val="en-US" w:eastAsia="zh-CN"/>
                    </w:rPr>
                    <w:t>沉淀</w:t>
                  </w:r>
                </w:p>
              </w:tc>
              <w:tc>
                <w:tcPr>
                  <w:tcW w:w="729" w:type="dxa"/>
                  <w:vAlign w:val="center"/>
                </w:tcPr>
                <w:p>
                  <w:pPr>
                    <w:pStyle w:val="114"/>
                    <w:spacing w:line="240" w:lineRule="auto"/>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DW001</w:t>
                  </w:r>
                </w:p>
              </w:tc>
              <w:tc>
                <w:tcPr>
                  <w:tcW w:w="951" w:type="dxa"/>
                  <w:vAlign w:val="center"/>
                </w:tcPr>
                <w:p>
                  <w:pPr>
                    <w:pStyle w:val="114"/>
                    <w:spacing w:line="240" w:lineRule="auto"/>
                    <w:rPr>
                      <w:color w:val="auto"/>
                      <w:spacing w:val="-10"/>
                      <w:sz w:val="21"/>
                      <w:szCs w:val="21"/>
                      <w:highlight w:val="none"/>
                      <w:lang w:val="en-US" w:eastAsia="zh-CN"/>
                    </w:rPr>
                  </w:pPr>
                  <w:r>
                    <w:rPr>
                      <w:color w:val="auto"/>
                      <w:spacing w:val="-10"/>
                      <w:sz w:val="21"/>
                      <w:szCs w:val="21"/>
                      <w:highlight w:val="none"/>
                      <w:lang w:val="en-US" w:eastAsia="zh-CN"/>
                    </w:rPr>
                    <w:t>是</w:t>
                  </w:r>
                </w:p>
              </w:tc>
              <w:tc>
                <w:tcPr>
                  <w:tcW w:w="576" w:type="dxa"/>
                  <w:vAlign w:val="center"/>
                </w:tcPr>
                <w:p>
                  <w:pPr>
                    <w:pStyle w:val="114"/>
                    <w:spacing w:line="240" w:lineRule="auto"/>
                    <w:rPr>
                      <w:rFonts w:hint="eastAsia"/>
                      <w:color w:val="auto"/>
                      <w:spacing w:val="-10"/>
                      <w:sz w:val="21"/>
                      <w:szCs w:val="21"/>
                      <w:highlight w:val="none"/>
                      <w:lang w:val="en-US" w:eastAsia="zh-CN"/>
                    </w:rPr>
                  </w:pPr>
                  <w:r>
                    <w:rPr>
                      <w:rFonts w:hint="eastAsia"/>
                      <w:color w:val="auto"/>
                      <w:spacing w:val="-10"/>
                      <w:sz w:val="21"/>
                      <w:szCs w:val="21"/>
                      <w:highlight w:val="none"/>
                      <w:lang w:val="en-US" w:eastAsia="zh-CN"/>
                    </w:rPr>
                    <w:t>一般排放口</w:t>
                  </w:r>
                </w:p>
              </w:tc>
            </w:tr>
          </w:tbl>
          <w:p>
            <w:pPr>
              <w:pStyle w:val="7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b/>
                <w:bCs/>
                <w:color w:val="auto"/>
                <w:sz w:val="21"/>
                <w:szCs w:val="21"/>
                <w:highlight w:val="none"/>
                <w:lang w:val="en-US" w:eastAsia="zh-CN"/>
              </w:rPr>
            </w:pPr>
            <w:bookmarkStart w:id="57" w:name="_Toc14798"/>
            <w:bookmarkStart w:id="58" w:name="_Toc3478"/>
            <w:bookmarkStart w:id="59" w:name="_Toc12407"/>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eastAsia="宋体" w:cs="Times New Roman"/>
                <w:b/>
                <w:bCs/>
                <w:color w:val="auto"/>
                <w:sz w:val="21"/>
                <w:szCs w:val="21"/>
                <w:highlight w:val="none"/>
                <w:lang w:val="en-US" w:eastAsia="zh-CN"/>
              </w:rPr>
              <w:t xml:space="preserve">3 </w:t>
            </w:r>
            <w:r>
              <w:rPr>
                <w:rFonts w:hint="default" w:ascii="Times New Roman" w:hAnsi="Times New Roman" w:eastAsia="宋体" w:cs="Times New Roman"/>
                <w:b/>
                <w:bCs/>
                <w:color w:val="auto"/>
                <w:sz w:val="21"/>
                <w:szCs w:val="21"/>
                <w:highlight w:val="none"/>
                <w:lang w:val="en-US" w:eastAsia="zh-CN"/>
              </w:rPr>
              <w:t>废水污染物排放信息表</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tbl>
            <w:tblPr>
              <w:tblStyle w:val="29"/>
              <w:tblW w:w="913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450"/>
              <w:gridCol w:w="1463"/>
              <w:gridCol w:w="3427"/>
              <w:gridCol w:w="20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31" w:type="dxa"/>
                  <w:noWrap w:val="0"/>
                  <w:vAlign w:val="center"/>
                </w:tcPr>
                <w:p>
                  <w:pPr>
                    <w:pStyle w:val="79"/>
                    <w:keepNext w:val="0"/>
                    <w:keepLines w:val="0"/>
                    <w:pageBreakBefore w:val="0"/>
                    <w:kinsoku/>
                    <w:wordWrap/>
                    <w:overflowPunct/>
                    <w:topLinePunct w:val="0"/>
                    <w:bidi w:val="0"/>
                    <w:spacing w:before="0" w:after="0" w:line="240" w:lineRule="auto"/>
                    <w:rPr>
                      <w:rFonts w:hint="default" w:ascii="Times New Roman" w:hAnsi="Times New Roman" w:eastAsia="宋体" w:cs="Times New Roman"/>
                      <w:b w:val="0"/>
                      <w:bCs w:val="0"/>
                      <w:color w:val="auto"/>
                      <w:sz w:val="21"/>
                      <w:szCs w:val="21"/>
                      <w:highlight w:val="none"/>
                    </w:rPr>
                  </w:pPr>
                  <w:bookmarkStart w:id="60" w:name="_Toc29149"/>
                  <w:bookmarkStart w:id="61" w:name="_Toc5314"/>
                  <w:bookmarkStart w:id="62" w:name="_Toc20150"/>
                  <w:bookmarkStart w:id="63" w:name="_Toc30562"/>
                  <w:bookmarkStart w:id="64" w:name="_Toc21817"/>
                  <w:bookmarkStart w:id="65" w:name="_Toc6220"/>
                  <w:bookmarkStart w:id="66" w:name="_Toc12824"/>
                  <w:bookmarkStart w:id="67" w:name="_Toc1651"/>
                  <w:bookmarkStart w:id="68" w:name="_Toc2069"/>
                  <w:bookmarkStart w:id="69" w:name="_Toc10493"/>
                  <w:bookmarkStart w:id="70" w:name="_Toc1540"/>
                  <w:bookmarkStart w:id="71" w:name="_Toc30485"/>
                  <w:bookmarkStart w:id="72" w:name="_Toc21264"/>
                  <w:bookmarkStart w:id="73" w:name="_Toc18205"/>
                  <w:bookmarkStart w:id="74" w:name="_Toc30661"/>
                  <w:bookmarkStart w:id="75" w:name="_Toc18599"/>
                  <w:bookmarkStart w:id="76" w:name="_Toc1637"/>
                  <w:bookmarkStart w:id="77" w:name="_Toc10802"/>
                  <w:bookmarkStart w:id="78" w:name="_Toc28718"/>
                  <w:bookmarkStart w:id="79" w:name="_Toc32409"/>
                  <w:bookmarkStart w:id="80" w:name="_Toc11439"/>
                  <w:bookmarkStart w:id="81" w:name="_Toc5178"/>
                  <w:bookmarkStart w:id="82" w:name="_Toc11843"/>
                  <w:bookmarkStart w:id="83" w:name="_Toc30500"/>
                  <w:bookmarkStart w:id="84" w:name="_Toc14998"/>
                  <w:bookmarkStart w:id="85" w:name="_Toc20360"/>
                  <w:bookmarkStart w:id="86" w:name="_Toc31007"/>
                  <w:bookmarkStart w:id="87" w:name="_Toc9869"/>
                  <w:bookmarkStart w:id="88" w:name="_Toc31040"/>
                  <w:bookmarkStart w:id="89" w:name="_Toc10228"/>
                  <w:bookmarkStart w:id="90" w:name="_Toc531"/>
                  <w:bookmarkStart w:id="91" w:name="_Toc1039"/>
                  <w:bookmarkStart w:id="92" w:name="_Toc18655"/>
                  <w:bookmarkStart w:id="93" w:name="_Toc1000"/>
                  <w:bookmarkStart w:id="94" w:name="_Toc3075"/>
                  <w:bookmarkStart w:id="95" w:name="_Toc23812"/>
                  <w:bookmarkStart w:id="96" w:name="_Toc21916"/>
                  <w:bookmarkStart w:id="97" w:name="_Toc5813"/>
                  <w:r>
                    <w:rPr>
                      <w:rFonts w:hint="default" w:ascii="Times New Roman" w:hAnsi="Times New Roman" w:eastAsia="宋体" w:cs="Times New Roman"/>
                      <w:b w:val="0"/>
                      <w:bCs w:val="0"/>
                      <w:color w:val="auto"/>
                      <w:sz w:val="21"/>
                      <w:szCs w:val="21"/>
                      <w:highlight w:val="none"/>
                    </w:rPr>
                    <w:t>序号</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tc>
              <w:tc>
                <w:tcPr>
                  <w:tcW w:w="1450" w:type="dxa"/>
                  <w:noWrap w:val="0"/>
                  <w:vAlign w:val="center"/>
                </w:tcPr>
                <w:p>
                  <w:pPr>
                    <w:pStyle w:val="79"/>
                    <w:keepNext w:val="0"/>
                    <w:keepLines w:val="0"/>
                    <w:pageBreakBefore w:val="0"/>
                    <w:kinsoku/>
                    <w:wordWrap/>
                    <w:overflowPunct/>
                    <w:topLinePunct w:val="0"/>
                    <w:bidi w:val="0"/>
                    <w:spacing w:before="0" w:after="0" w:line="240" w:lineRule="auto"/>
                    <w:rPr>
                      <w:rFonts w:hint="default" w:ascii="Times New Roman" w:hAnsi="Times New Roman" w:eastAsia="宋体" w:cs="Times New Roman"/>
                      <w:b w:val="0"/>
                      <w:bCs w:val="0"/>
                      <w:color w:val="auto"/>
                      <w:sz w:val="21"/>
                      <w:szCs w:val="21"/>
                      <w:highlight w:val="none"/>
                    </w:rPr>
                  </w:pPr>
                  <w:bookmarkStart w:id="98" w:name="_Toc14757"/>
                  <w:bookmarkStart w:id="99" w:name="_Toc10618"/>
                  <w:bookmarkStart w:id="100" w:name="_Toc9665"/>
                  <w:bookmarkStart w:id="101" w:name="_Toc32698"/>
                  <w:bookmarkStart w:id="102" w:name="_Toc13715"/>
                  <w:bookmarkStart w:id="103" w:name="_Toc25532"/>
                  <w:bookmarkStart w:id="104" w:name="_Toc31409"/>
                  <w:bookmarkStart w:id="105" w:name="_Toc13164"/>
                  <w:bookmarkStart w:id="106" w:name="_Toc25039"/>
                  <w:bookmarkStart w:id="107" w:name="_Toc3469"/>
                  <w:bookmarkStart w:id="108" w:name="_Toc21386"/>
                  <w:bookmarkStart w:id="109" w:name="_Toc270"/>
                  <w:bookmarkStart w:id="110" w:name="_Toc12688"/>
                  <w:bookmarkStart w:id="111" w:name="_Toc23633"/>
                  <w:bookmarkStart w:id="112" w:name="_Toc19233"/>
                  <w:bookmarkStart w:id="113" w:name="_Toc7703"/>
                  <w:bookmarkStart w:id="114" w:name="_Toc5950"/>
                  <w:bookmarkStart w:id="115" w:name="_Toc26383"/>
                  <w:bookmarkStart w:id="116" w:name="_Toc2110"/>
                  <w:bookmarkStart w:id="117" w:name="_Toc14857"/>
                  <w:r>
                    <w:rPr>
                      <w:rFonts w:hint="default" w:ascii="Times New Roman" w:hAnsi="Times New Roman" w:eastAsia="宋体" w:cs="Times New Roman"/>
                      <w:b w:val="0"/>
                      <w:bCs w:val="0"/>
                      <w:color w:val="auto"/>
                      <w:sz w:val="21"/>
                      <w:szCs w:val="21"/>
                      <w:highlight w:val="none"/>
                    </w:rPr>
                    <w:t>排放口编号</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tc>
              <w:tc>
                <w:tcPr>
                  <w:tcW w:w="1463" w:type="dxa"/>
                  <w:noWrap w:val="0"/>
                  <w:vAlign w:val="center"/>
                </w:tcPr>
                <w:p>
                  <w:pPr>
                    <w:pStyle w:val="79"/>
                    <w:keepNext w:val="0"/>
                    <w:keepLines w:val="0"/>
                    <w:pageBreakBefore w:val="0"/>
                    <w:kinsoku/>
                    <w:wordWrap/>
                    <w:overflowPunct/>
                    <w:topLinePunct w:val="0"/>
                    <w:bidi w:val="0"/>
                    <w:spacing w:before="0" w:after="0" w:line="240" w:lineRule="auto"/>
                    <w:rPr>
                      <w:rFonts w:hint="default" w:ascii="Times New Roman" w:hAnsi="Times New Roman" w:eastAsia="宋体" w:cs="Times New Roman"/>
                      <w:b w:val="0"/>
                      <w:bCs w:val="0"/>
                      <w:color w:val="auto"/>
                      <w:sz w:val="21"/>
                      <w:szCs w:val="21"/>
                      <w:highlight w:val="none"/>
                    </w:rPr>
                  </w:pPr>
                  <w:bookmarkStart w:id="118" w:name="_Toc29107"/>
                  <w:bookmarkStart w:id="119" w:name="_Toc4026"/>
                  <w:bookmarkStart w:id="120" w:name="_Toc28814"/>
                  <w:bookmarkStart w:id="121" w:name="_Toc8324"/>
                  <w:bookmarkStart w:id="122" w:name="_Toc6481"/>
                  <w:bookmarkStart w:id="123" w:name="_Toc10813"/>
                  <w:bookmarkStart w:id="124" w:name="_Toc20784"/>
                  <w:bookmarkStart w:id="125" w:name="_Toc13788"/>
                  <w:bookmarkStart w:id="126" w:name="_Toc4468"/>
                  <w:bookmarkStart w:id="127" w:name="_Toc16937"/>
                  <w:bookmarkStart w:id="128" w:name="_Toc9432"/>
                  <w:bookmarkStart w:id="129" w:name="_Toc27075"/>
                  <w:bookmarkStart w:id="130" w:name="_Toc3713"/>
                  <w:bookmarkStart w:id="131" w:name="_Toc27865"/>
                  <w:bookmarkStart w:id="132" w:name="_Toc23860"/>
                  <w:bookmarkStart w:id="133" w:name="_Toc22125"/>
                  <w:bookmarkStart w:id="134" w:name="_Toc10537"/>
                  <w:bookmarkStart w:id="135" w:name="_Toc29588"/>
                  <w:bookmarkStart w:id="136" w:name="_Toc27255"/>
                  <w:bookmarkStart w:id="137" w:name="_Toc18304"/>
                  <w:r>
                    <w:rPr>
                      <w:rFonts w:hint="default" w:ascii="Times New Roman" w:hAnsi="Times New Roman" w:eastAsia="宋体" w:cs="Times New Roman"/>
                      <w:b w:val="0"/>
                      <w:bCs w:val="0"/>
                      <w:color w:val="auto"/>
                      <w:sz w:val="21"/>
                      <w:szCs w:val="21"/>
                      <w:highlight w:val="none"/>
                    </w:rPr>
                    <w:t>污染物种类</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tc>
              <w:tc>
                <w:tcPr>
                  <w:tcW w:w="3427" w:type="dxa"/>
                  <w:noWrap w:val="0"/>
                  <w:vAlign w:val="center"/>
                </w:tcPr>
                <w:p>
                  <w:pPr>
                    <w:pStyle w:val="79"/>
                    <w:keepNext w:val="0"/>
                    <w:keepLines w:val="0"/>
                    <w:pageBreakBefore w:val="0"/>
                    <w:kinsoku/>
                    <w:wordWrap/>
                    <w:overflowPunct/>
                    <w:topLinePunct w:val="0"/>
                    <w:bidi w:val="0"/>
                    <w:spacing w:before="0" w:after="0" w:line="240" w:lineRule="auto"/>
                    <w:rPr>
                      <w:rFonts w:hint="default" w:ascii="Times New Roman" w:hAnsi="Times New Roman" w:eastAsia="宋体" w:cs="Times New Roman"/>
                      <w:b w:val="0"/>
                      <w:bCs w:val="0"/>
                      <w:color w:val="auto"/>
                      <w:sz w:val="21"/>
                      <w:szCs w:val="21"/>
                      <w:highlight w:val="none"/>
                    </w:rPr>
                  </w:pPr>
                  <w:bookmarkStart w:id="138" w:name="_Toc15309"/>
                  <w:bookmarkStart w:id="139" w:name="_Toc26883"/>
                  <w:bookmarkStart w:id="140" w:name="_Toc25356"/>
                  <w:bookmarkStart w:id="141" w:name="_Toc14304"/>
                  <w:bookmarkStart w:id="142" w:name="_Toc19350"/>
                  <w:bookmarkStart w:id="143" w:name="_Toc18650"/>
                  <w:bookmarkStart w:id="144" w:name="_Toc1104"/>
                  <w:bookmarkStart w:id="145" w:name="_Toc12176"/>
                  <w:bookmarkStart w:id="146" w:name="_Toc24964"/>
                  <w:bookmarkStart w:id="147" w:name="_Toc25573"/>
                  <w:bookmarkStart w:id="148" w:name="_Toc17770"/>
                  <w:bookmarkStart w:id="149" w:name="_Toc8313"/>
                  <w:bookmarkStart w:id="150" w:name="_Toc6457"/>
                  <w:bookmarkStart w:id="151" w:name="_Toc19262"/>
                  <w:bookmarkStart w:id="152" w:name="_Toc14477"/>
                  <w:bookmarkStart w:id="153" w:name="_Toc1996"/>
                  <w:bookmarkStart w:id="154" w:name="_Toc10170"/>
                  <w:bookmarkStart w:id="155" w:name="_Toc15325"/>
                  <w:bookmarkStart w:id="156" w:name="_Toc1186"/>
                  <w:bookmarkStart w:id="157" w:name="_Toc1901"/>
                  <w:r>
                    <w:rPr>
                      <w:rFonts w:hint="default" w:ascii="Times New Roman" w:hAnsi="Times New Roman" w:eastAsia="宋体" w:cs="Times New Roman"/>
                      <w:b w:val="0"/>
                      <w:bCs w:val="0"/>
                      <w:color w:val="auto"/>
                      <w:sz w:val="21"/>
                      <w:szCs w:val="21"/>
                      <w:highlight w:val="none"/>
                    </w:rPr>
                    <w:t>排放浓度/（mg/L）</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tc>
              <w:tc>
                <w:tcPr>
                  <w:tcW w:w="2061" w:type="dxa"/>
                  <w:noWrap w:val="0"/>
                  <w:vAlign w:val="center"/>
                </w:tcPr>
                <w:p>
                  <w:pPr>
                    <w:keepNext w:val="0"/>
                    <w:keepLines w:val="0"/>
                    <w:pageBreakBefore w:val="0"/>
                    <w:kinsoku/>
                    <w:wordWrap/>
                    <w:overflowPunct/>
                    <w:topLinePunct w:val="0"/>
                    <w:bidi w:val="0"/>
                    <w:adjustRightInd/>
                    <w:snapToGrid/>
                    <w:spacing w:line="240" w:lineRule="auto"/>
                    <w:ind w:firstLine="0" w:firstLineChars="0"/>
                    <w:contextualSpacing/>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trPr>
              <w:tc>
                <w:tcPr>
                  <w:tcW w:w="731" w:type="dxa"/>
                  <w:noWrap w:val="0"/>
                  <w:vAlign w:val="center"/>
                </w:tcPr>
                <w:p>
                  <w:pPr>
                    <w:pStyle w:val="79"/>
                    <w:keepNext w:val="0"/>
                    <w:keepLines w:val="0"/>
                    <w:pageBreakBefore w:val="0"/>
                    <w:kinsoku/>
                    <w:wordWrap/>
                    <w:overflowPunct/>
                    <w:topLinePunct w:val="0"/>
                    <w:bidi w:val="0"/>
                    <w:spacing w:before="0" w:after="0" w:line="240" w:lineRule="auto"/>
                    <w:rPr>
                      <w:rFonts w:hint="default" w:ascii="Times New Roman" w:hAnsi="Times New Roman" w:eastAsia="宋体" w:cs="Times New Roman"/>
                      <w:b w:val="0"/>
                      <w:bCs w:val="0"/>
                      <w:color w:val="auto"/>
                      <w:sz w:val="21"/>
                      <w:szCs w:val="21"/>
                      <w:highlight w:val="none"/>
                    </w:rPr>
                  </w:pPr>
                  <w:bookmarkStart w:id="158" w:name="_Toc12300"/>
                  <w:bookmarkStart w:id="159" w:name="_Toc17692"/>
                  <w:bookmarkStart w:id="160" w:name="_Toc27408"/>
                  <w:bookmarkStart w:id="161" w:name="_Toc28277"/>
                  <w:bookmarkStart w:id="162" w:name="_Toc15662"/>
                  <w:bookmarkStart w:id="163" w:name="_Toc8987"/>
                  <w:bookmarkStart w:id="164" w:name="_Toc18291"/>
                  <w:bookmarkStart w:id="165" w:name="_Toc8810"/>
                  <w:bookmarkStart w:id="166" w:name="_Toc1275"/>
                  <w:bookmarkStart w:id="167" w:name="_Toc30337"/>
                  <w:bookmarkStart w:id="168" w:name="_Toc19150"/>
                  <w:bookmarkStart w:id="169" w:name="_Toc10917"/>
                  <w:bookmarkStart w:id="170" w:name="_Toc11072"/>
                  <w:bookmarkStart w:id="171" w:name="_Toc26778"/>
                  <w:bookmarkStart w:id="172" w:name="_Toc7998"/>
                  <w:bookmarkStart w:id="173" w:name="_Toc23355"/>
                  <w:bookmarkStart w:id="174" w:name="_Toc17237"/>
                  <w:bookmarkStart w:id="175" w:name="_Toc30620"/>
                  <w:bookmarkStart w:id="176" w:name="_Toc13306"/>
                  <w:r>
                    <w:rPr>
                      <w:rFonts w:hint="default" w:ascii="Times New Roman" w:hAnsi="Times New Roman" w:eastAsia="宋体" w:cs="Times New Roman"/>
                      <w:b w:val="0"/>
                      <w:bCs w:val="0"/>
                      <w:color w:val="auto"/>
                      <w:sz w:val="21"/>
                      <w:szCs w:val="21"/>
                      <w:highlight w:val="none"/>
                    </w:rPr>
                    <w:t>1</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tc>
              <w:tc>
                <w:tcPr>
                  <w:tcW w:w="1450" w:type="dxa"/>
                  <w:vMerge w:val="restart"/>
                  <w:noWrap w:val="0"/>
                  <w:vAlign w:val="center"/>
                </w:tcPr>
                <w:p>
                  <w:pPr>
                    <w:pStyle w:val="79"/>
                    <w:keepNext w:val="0"/>
                    <w:keepLines w:val="0"/>
                    <w:pageBreakBefore w:val="0"/>
                    <w:kinsoku/>
                    <w:wordWrap/>
                    <w:overflowPunct/>
                    <w:topLinePunct w:val="0"/>
                    <w:bidi w:val="0"/>
                    <w:spacing w:before="0" w:after="0" w:line="240" w:lineRule="auto"/>
                    <w:rPr>
                      <w:rFonts w:hint="default" w:ascii="Times New Roman" w:hAnsi="Times New Roman" w:eastAsia="宋体" w:cs="Times New Roman"/>
                      <w:b w:val="0"/>
                      <w:bCs w:val="0"/>
                      <w:color w:val="auto"/>
                      <w:sz w:val="21"/>
                      <w:szCs w:val="21"/>
                      <w:highlight w:val="none"/>
                    </w:rPr>
                  </w:pPr>
                  <w:bookmarkStart w:id="177" w:name="_Toc30081"/>
                  <w:bookmarkStart w:id="178" w:name="_Toc23731"/>
                  <w:bookmarkStart w:id="179" w:name="_Toc29179"/>
                  <w:bookmarkStart w:id="180" w:name="_Toc12942"/>
                  <w:bookmarkStart w:id="181" w:name="_Toc5586"/>
                  <w:bookmarkStart w:id="182" w:name="_Toc17454"/>
                  <w:bookmarkStart w:id="183" w:name="_Toc20803"/>
                  <w:bookmarkStart w:id="184" w:name="_Toc22053"/>
                  <w:bookmarkStart w:id="185" w:name="_Toc21338"/>
                  <w:bookmarkStart w:id="186" w:name="_Toc727"/>
                  <w:bookmarkStart w:id="187" w:name="_Toc29903"/>
                  <w:bookmarkStart w:id="188" w:name="_Toc14899"/>
                  <w:bookmarkStart w:id="189" w:name="_Toc12585"/>
                  <w:bookmarkStart w:id="190" w:name="_Toc12526"/>
                  <w:bookmarkStart w:id="191" w:name="_Toc32202"/>
                  <w:bookmarkStart w:id="192" w:name="_Toc6075"/>
                  <w:bookmarkStart w:id="193" w:name="_Toc31498"/>
                  <w:bookmarkStart w:id="194" w:name="_Toc19546"/>
                  <w:bookmarkStart w:id="195" w:name="_Toc22551"/>
                  <w:bookmarkStart w:id="196" w:name="_Toc4865"/>
                  <w:r>
                    <w:rPr>
                      <w:rFonts w:hint="default" w:ascii="Times New Roman" w:hAnsi="Times New Roman" w:eastAsia="宋体" w:cs="Times New Roman"/>
                      <w:b w:val="0"/>
                      <w:bCs w:val="0"/>
                      <w:color w:val="auto"/>
                      <w:sz w:val="21"/>
                      <w:szCs w:val="21"/>
                      <w:highlight w:val="none"/>
                    </w:rPr>
                    <w:t>DW001</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tc>
              <w:tc>
                <w:tcPr>
                  <w:tcW w:w="1463" w:type="dxa"/>
                  <w:noWrap w:val="0"/>
                  <w:vAlign w:val="center"/>
                </w:tcPr>
                <w:p>
                  <w:pPr>
                    <w:pStyle w:val="84"/>
                    <w:keepNext w:val="0"/>
                    <w:keepLines w:val="0"/>
                    <w:pageBreakBefore w:val="0"/>
                    <w:kinsoku/>
                    <w:wordWrap/>
                    <w:overflowPunct/>
                    <w:topLinePunct w:val="0"/>
                    <w:bidi w:val="0"/>
                    <w:spacing w:line="240" w:lineRule="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10"/>
                      <w:sz w:val="21"/>
                      <w:szCs w:val="21"/>
                      <w:highlight w:val="none"/>
                    </w:rPr>
                    <w:t>COD</w:t>
                  </w:r>
                </w:p>
              </w:tc>
              <w:tc>
                <w:tcPr>
                  <w:tcW w:w="34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245.45 </w:t>
                  </w:r>
                </w:p>
              </w:tc>
              <w:tc>
                <w:tcPr>
                  <w:tcW w:w="20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trPr>
              <w:tc>
                <w:tcPr>
                  <w:tcW w:w="731" w:type="dxa"/>
                  <w:noWrap w:val="0"/>
                  <w:vAlign w:val="center"/>
                </w:tcPr>
                <w:p>
                  <w:pPr>
                    <w:pStyle w:val="79"/>
                    <w:keepNext w:val="0"/>
                    <w:keepLines w:val="0"/>
                    <w:pageBreakBefore w:val="0"/>
                    <w:kinsoku/>
                    <w:wordWrap/>
                    <w:overflowPunct/>
                    <w:topLinePunct w:val="0"/>
                    <w:bidi w:val="0"/>
                    <w:spacing w:before="0" w:after="0" w:line="240" w:lineRule="auto"/>
                    <w:rPr>
                      <w:rFonts w:hint="eastAsia" w:ascii="Times New Roman" w:hAnsi="Times New Roman" w:eastAsia="宋体" w:cs="Times New Roman"/>
                      <w:b w:val="0"/>
                      <w:bCs w:val="0"/>
                      <w:color w:val="auto"/>
                      <w:sz w:val="21"/>
                      <w:szCs w:val="21"/>
                      <w:highlight w:val="none"/>
                      <w:lang w:eastAsia="zh-CN"/>
                    </w:rPr>
                  </w:pPr>
                  <w:bookmarkStart w:id="197" w:name="_Toc17815"/>
                  <w:bookmarkStart w:id="198" w:name="_Toc1756"/>
                  <w:bookmarkStart w:id="199" w:name="_Toc25964"/>
                  <w:bookmarkStart w:id="200" w:name="_Toc4342"/>
                  <w:bookmarkStart w:id="201" w:name="_Toc7106"/>
                  <w:bookmarkStart w:id="202" w:name="_Toc324"/>
                  <w:bookmarkStart w:id="203" w:name="_Toc7830"/>
                  <w:bookmarkStart w:id="204" w:name="_Toc5093"/>
                  <w:bookmarkStart w:id="205" w:name="_Toc20806"/>
                  <w:bookmarkStart w:id="206" w:name="_Toc26150"/>
                  <w:r>
                    <w:rPr>
                      <w:rFonts w:hint="eastAsia" w:ascii="Times New Roman" w:hAnsi="Times New Roman" w:eastAsia="宋体" w:cs="Times New Roman"/>
                      <w:b w:val="0"/>
                      <w:bCs w:val="0"/>
                      <w:color w:val="auto"/>
                      <w:sz w:val="21"/>
                      <w:szCs w:val="21"/>
                      <w:highlight w:val="none"/>
                      <w:lang w:val="en-US" w:eastAsia="zh-CN"/>
                    </w:rPr>
                    <w:t>2</w:t>
                  </w:r>
                  <w:bookmarkEnd w:id="197"/>
                  <w:bookmarkEnd w:id="198"/>
                  <w:bookmarkEnd w:id="199"/>
                  <w:bookmarkEnd w:id="200"/>
                  <w:bookmarkEnd w:id="201"/>
                  <w:bookmarkEnd w:id="202"/>
                  <w:bookmarkEnd w:id="203"/>
                  <w:bookmarkEnd w:id="204"/>
                  <w:bookmarkEnd w:id="205"/>
                  <w:bookmarkEnd w:id="206"/>
                </w:p>
              </w:tc>
              <w:tc>
                <w:tcPr>
                  <w:tcW w:w="1450" w:type="dxa"/>
                  <w:vMerge w:val="continue"/>
                  <w:noWrap w:val="0"/>
                  <w:vAlign w:val="center"/>
                </w:tcPr>
                <w:p>
                  <w:pPr>
                    <w:pStyle w:val="79"/>
                    <w:keepNext w:val="0"/>
                    <w:keepLines w:val="0"/>
                    <w:pageBreakBefore w:val="0"/>
                    <w:kinsoku/>
                    <w:wordWrap/>
                    <w:overflowPunct/>
                    <w:topLinePunct w:val="0"/>
                    <w:bidi w:val="0"/>
                    <w:spacing w:before="0" w:after="0" w:line="240" w:lineRule="auto"/>
                    <w:rPr>
                      <w:rFonts w:hint="default" w:ascii="Times New Roman" w:hAnsi="Times New Roman" w:eastAsia="宋体" w:cs="Times New Roman"/>
                      <w:b w:val="0"/>
                      <w:bCs w:val="0"/>
                      <w:color w:val="auto"/>
                      <w:sz w:val="21"/>
                      <w:szCs w:val="21"/>
                      <w:highlight w:val="none"/>
                    </w:rPr>
                  </w:pPr>
                </w:p>
              </w:tc>
              <w:tc>
                <w:tcPr>
                  <w:tcW w:w="1463" w:type="dxa"/>
                  <w:noWrap w:val="0"/>
                  <w:vAlign w:val="center"/>
                </w:tcPr>
                <w:p>
                  <w:pPr>
                    <w:pStyle w:val="84"/>
                    <w:keepNext w:val="0"/>
                    <w:keepLines w:val="0"/>
                    <w:pageBreakBefore w:val="0"/>
                    <w:kinsoku/>
                    <w:wordWrap/>
                    <w:overflowPunct/>
                    <w:topLinePunct w:val="0"/>
                    <w:bidi w:val="0"/>
                    <w:spacing w:line="240" w:lineRule="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10"/>
                      <w:sz w:val="21"/>
                      <w:szCs w:val="21"/>
                      <w:highlight w:val="none"/>
                      <w:lang w:val="en-US" w:eastAsia="zh-CN"/>
                    </w:rPr>
                    <w:t>氨氮</w:t>
                  </w:r>
                </w:p>
              </w:tc>
              <w:tc>
                <w:tcPr>
                  <w:tcW w:w="34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14.85 </w:t>
                  </w:r>
                </w:p>
              </w:tc>
              <w:tc>
                <w:tcPr>
                  <w:tcW w:w="20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trPr>
              <w:tc>
                <w:tcPr>
                  <w:tcW w:w="2181" w:type="dxa"/>
                  <w:gridSpan w:val="2"/>
                  <w:vMerge w:val="restart"/>
                  <w:noWrap w:val="0"/>
                  <w:vAlign w:val="center"/>
                </w:tcPr>
                <w:p>
                  <w:pPr>
                    <w:pStyle w:val="69"/>
                    <w:keepNext w:val="0"/>
                    <w:keepLines w:val="0"/>
                    <w:pageBreakBefore w:val="0"/>
                    <w:kinsoku/>
                    <w:wordWrap/>
                    <w:overflowPunct/>
                    <w:topLinePunct w:val="0"/>
                    <w:bidi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全厂排放口合计</w:t>
                  </w:r>
                </w:p>
              </w:tc>
              <w:tc>
                <w:tcPr>
                  <w:tcW w:w="4890" w:type="dxa"/>
                  <w:gridSpan w:val="2"/>
                  <w:noWrap w:val="0"/>
                  <w:vAlign w:val="center"/>
                </w:tcPr>
                <w:p>
                  <w:pPr>
                    <w:pStyle w:val="79"/>
                    <w:keepNext w:val="0"/>
                    <w:keepLines w:val="0"/>
                    <w:pageBreakBefore w:val="0"/>
                    <w:kinsoku/>
                    <w:wordWrap/>
                    <w:overflowPunct/>
                    <w:topLinePunct w:val="0"/>
                    <w:bidi w:val="0"/>
                    <w:spacing w:before="0" w:after="0" w:line="240" w:lineRule="auto"/>
                    <w:rPr>
                      <w:rFonts w:hint="default" w:ascii="Times New Roman" w:hAnsi="Times New Roman" w:eastAsia="宋体" w:cs="Times New Roman"/>
                      <w:b w:val="0"/>
                      <w:bCs w:val="0"/>
                      <w:color w:val="auto"/>
                      <w:sz w:val="21"/>
                      <w:szCs w:val="21"/>
                      <w:highlight w:val="none"/>
                    </w:rPr>
                  </w:pPr>
                  <w:bookmarkStart w:id="207" w:name="_Toc1998"/>
                  <w:bookmarkStart w:id="208" w:name="_Toc23382"/>
                  <w:bookmarkStart w:id="209" w:name="_Toc1633"/>
                  <w:bookmarkStart w:id="210" w:name="_Toc199"/>
                  <w:bookmarkStart w:id="211" w:name="_Toc27481"/>
                  <w:bookmarkStart w:id="212" w:name="_Toc22825"/>
                  <w:bookmarkStart w:id="213" w:name="_Toc28811"/>
                  <w:bookmarkStart w:id="214" w:name="_Toc30505"/>
                  <w:bookmarkStart w:id="215" w:name="_Toc16037"/>
                  <w:bookmarkStart w:id="216" w:name="_Toc22593"/>
                  <w:bookmarkStart w:id="217" w:name="_Toc27559"/>
                  <w:bookmarkStart w:id="218" w:name="_Toc19901"/>
                  <w:bookmarkStart w:id="219" w:name="_Toc8925"/>
                  <w:bookmarkStart w:id="220" w:name="_Toc20116"/>
                  <w:bookmarkStart w:id="221" w:name="_Toc2767"/>
                  <w:bookmarkStart w:id="222" w:name="_Toc16546"/>
                  <w:bookmarkStart w:id="223" w:name="_Toc23184"/>
                  <w:bookmarkStart w:id="224" w:name="_Toc29946"/>
                  <w:bookmarkStart w:id="225" w:name="_Toc30701"/>
                  <w:bookmarkStart w:id="226" w:name="_Toc28409"/>
                  <w:r>
                    <w:rPr>
                      <w:rFonts w:hint="default" w:ascii="Times New Roman" w:hAnsi="Times New Roman" w:eastAsia="宋体" w:cs="Times New Roman"/>
                      <w:b w:val="0"/>
                      <w:bCs w:val="0"/>
                      <w:color w:val="auto"/>
                      <w:sz w:val="21"/>
                      <w:szCs w:val="21"/>
                      <w:highlight w:val="none"/>
                    </w:rPr>
                    <w:t>COD</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tc>
              <w:tc>
                <w:tcPr>
                  <w:tcW w:w="20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2181" w:type="dxa"/>
                  <w:gridSpan w:val="2"/>
                  <w:vMerge w:val="continue"/>
                  <w:noWrap w:val="0"/>
                  <w:vAlign w:val="center"/>
                </w:tcPr>
                <w:p>
                  <w:pPr>
                    <w:pStyle w:val="69"/>
                    <w:keepNext w:val="0"/>
                    <w:keepLines w:val="0"/>
                    <w:pageBreakBefore w:val="0"/>
                    <w:kinsoku/>
                    <w:wordWrap/>
                    <w:overflowPunct/>
                    <w:topLinePunct w:val="0"/>
                    <w:bidi w:val="0"/>
                    <w:spacing w:line="240" w:lineRule="auto"/>
                    <w:jc w:val="center"/>
                    <w:rPr>
                      <w:rFonts w:hint="default" w:ascii="Times New Roman" w:hAnsi="Times New Roman" w:eastAsia="宋体" w:cs="Times New Roman"/>
                      <w:b w:val="0"/>
                      <w:bCs w:val="0"/>
                      <w:color w:val="auto"/>
                      <w:sz w:val="21"/>
                      <w:szCs w:val="21"/>
                      <w:highlight w:val="none"/>
                    </w:rPr>
                  </w:pPr>
                </w:p>
              </w:tc>
              <w:tc>
                <w:tcPr>
                  <w:tcW w:w="4890" w:type="dxa"/>
                  <w:gridSpan w:val="2"/>
                  <w:noWrap w:val="0"/>
                  <w:vAlign w:val="center"/>
                </w:tcPr>
                <w:p>
                  <w:pPr>
                    <w:pStyle w:val="79"/>
                    <w:keepNext w:val="0"/>
                    <w:keepLines w:val="0"/>
                    <w:pageBreakBefore w:val="0"/>
                    <w:kinsoku/>
                    <w:wordWrap/>
                    <w:overflowPunct/>
                    <w:topLinePunct w:val="0"/>
                    <w:bidi w:val="0"/>
                    <w:spacing w:before="0" w:after="0" w:line="240" w:lineRule="auto"/>
                    <w:rPr>
                      <w:rFonts w:hint="default" w:ascii="Times New Roman" w:hAnsi="Times New Roman" w:eastAsia="宋体" w:cs="Times New Roman"/>
                      <w:b w:val="0"/>
                      <w:bCs w:val="0"/>
                      <w:color w:val="auto"/>
                      <w:sz w:val="21"/>
                      <w:szCs w:val="21"/>
                      <w:highlight w:val="none"/>
                    </w:rPr>
                  </w:pPr>
                  <w:bookmarkStart w:id="227" w:name="_Toc24580"/>
                  <w:bookmarkStart w:id="228" w:name="_Toc32440"/>
                  <w:bookmarkStart w:id="229" w:name="_Toc26683"/>
                  <w:bookmarkStart w:id="230" w:name="_Toc28043"/>
                  <w:bookmarkStart w:id="231" w:name="_Toc21787"/>
                  <w:bookmarkStart w:id="232" w:name="_Toc5803"/>
                  <w:bookmarkStart w:id="233" w:name="_Toc19456"/>
                  <w:bookmarkStart w:id="234" w:name="_Toc5154"/>
                  <w:bookmarkStart w:id="235" w:name="_Toc14770"/>
                  <w:bookmarkStart w:id="236" w:name="_Toc19400"/>
                  <w:bookmarkStart w:id="237" w:name="_Toc19989"/>
                  <w:bookmarkStart w:id="238" w:name="_Toc13515"/>
                  <w:bookmarkStart w:id="239" w:name="_Toc12425"/>
                  <w:bookmarkStart w:id="240" w:name="_Toc16551"/>
                  <w:bookmarkStart w:id="241" w:name="_Toc26314"/>
                  <w:bookmarkStart w:id="242" w:name="_Toc14481"/>
                  <w:bookmarkStart w:id="243" w:name="_Toc28920"/>
                  <w:bookmarkStart w:id="244" w:name="_Toc22686"/>
                  <w:bookmarkStart w:id="245" w:name="_Toc1999"/>
                  <w:bookmarkStart w:id="246" w:name="_Toc6099"/>
                  <w:r>
                    <w:rPr>
                      <w:rFonts w:hint="default" w:ascii="Times New Roman" w:hAnsi="Times New Roman" w:eastAsia="宋体" w:cs="Times New Roman"/>
                      <w:b w:val="0"/>
                      <w:bCs w:val="0"/>
                      <w:color w:val="auto"/>
                      <w:sz w:val="21"/>
                      <w:szCs w:val="21"/>
                      <w:highlight w:val="none"/>
                    </w:rPr>
                    <w:t>氨氮</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tc>
              <w:tc>
                <w:tcPr>
                  <w:tcW w:w="20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0.0032</w:t>
                  </w:r>
                </w:p>
              </w:tc>
            </w:tr>
          </w:tbl>
          <w:p>
            <w:pPr>
              <w:pStyle w:val="7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ascii="Times New Roman" w:hAnsi="Times New Roman" w:eastAsia="宋体" w:cs="Times New Roman"/>
                <w:b/>
                <w:bCs/>
                <w:color w:val="auto"/>
                <w:sz w:val="21"/>
                <w:szCs w:val="21"/>
                <w:highlight w:val="none"/>
              </w:rPr>
            </w:pPr>
            <w:bookmarkStart w:id="247" w:name="_Toc22690"/>
            <w:bookmarkStart w:id="248" w:name="_Toc22194"/>
            <w:bookmarkStart w:id="249" w:name="_Toc23939"/>
            <w:r>
              <w:rPr>
                <w:rFonts w:ascii="Times New Roman" w:hAnsi="Times New Roman" w:eastAsia="宋体" w:cs="Times New Roman"/>
                <w:b/>
                <w:bCs/>
                <w:color w:val="auto"/>
                <w:sz w:val="21"/>
                <w:szCs w:val="21"/>
                <w:highlight w:val="none"/>
              </w:rPr>
              <w:t>表4-</w:t>
            </w:r>
            <w:r>
              <w:rPr>
                <w:rFonts w:hint="eastAsia" w:ascii="Times New Roman" w:hAnsi="Times New Roman" w:eastAsia="宋体" w:cs="Times New Roman"/>
                <w:b/>
                <w:bCs/>
                <w:color w:val="auto"/>
                <w:sz w:val="21"/>
                <w:szCs w:val="21"/>
                <w:highlight w:val="none"/>
                <w:lang w:val="en-US" w:eastAsia="zh-CN"/>
              </w:rPr>
              <w:t xml:space="preserve">4 </w:t>
            </w:r>
            <w:r>
              <w:rPr>
                <w:rFonts w:ascii="Times New Roman" w:hAnsi="Times New Roman" w:eastAsia="宋体" w:cs="Times New Roman"/>
                <w:b/>
                <w:bCs/>
                <w:color w:val="auto"/>
                <w:sz w:val="21"/>
                <w:szCs w:val="21"/>
                <w:highlight w:val="none"/>
              </w:rPr>
              <w:t>废水间接排放口基本情况表</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247"/>
            <w:bookmarkEnd w:id="248"/>
            <w:bookmarkEnd w:id="249"/>
          </w:p>
          <w:tbl>
            <w:tblPr>
              <w:tblStyle w:val="29"/>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61"/>
              <w:gridCol w:w="779"/>
              <w:gridCol w:w="1322"/>
              <w:gridCol w:w="1217"/>
              <w:gridCol w:w="1007"/>
              <w:gridCol w:w="467"/>
              <w:gridCol w:w="724"/>
              <w:gridCol w:w="437"/>
              <w:gridCol w:w="466"/>
              <w:gridCol w:w="645"/>
              <w:gridCol w:w="10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84" w:hRule="atLeast"/>
                <w:jc w:val="center"/>
              </w:trPr>
              <w:tc>
                <w:tcPr>
                  <w:tcW w:w="361" w:type="dxa"/>
                  <w:vMerge w:val="restart"/>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rPr>
                    <w:t>序号</w:t>
                  </w:r>
                </w:p>
              </w:tc>
              <w:tc>
                <w:tcPr>
                  <w:tcW w:w="779" w:type="dxa"/>
                  <w:vMerge w:val="restart"/>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rPr>
                    <w:t>排放口编号</w:t>
                  </w:r>
                </w:p>
              </w:tc>
              <w:tc>
                <w:tcPr>
                  <w:tcW w:w="2539" w:type="dxa"/>
                  <w:gridSpan w:val="2"/>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rPr>
                    <w:t>排放口地理坐标（</w:t>
                  </w:r>
                  <w:r>
                    <w:rPr>
                      <w:rFonts w:hint="default" w:ascii="Times New Roman" w:hAnsi="Times New Roman" w:eastAsia="宋体" w:cs="Times New Roman"/>
                      <w:bCs w:val="0"/>
                      <w:color w:val="auto"/>
                      <w:sz w:val="21"/>
                      <w:szCs w:val="21"/>
                      <w:highlight w:val="none"/>
                      <w:lang w:val="en-US" w:eastAsia="zh-CN"/>
                    </w:rPr>
                    <w:t>°</w:t>
                  </w:r>
                  <w:r>
                    <w:rPr>
                      <w:rFonts w:hint="default" w:ascii="Times New Roman" w:hAnsi="Times New Roman" w:eastAsia="宋体" w:cs="Times New Roman"/>
                      <w:bCs w:val="0"/>
                      <w:color w:val="auto"/>
                      <w:sz w:val="21"/>
                      <w:szCs w:val="21"/>
                      <w:highlight w:val="none"/>
                    </w:rPr>
                    <w:t>）</w:t>
                  </w:r>
                </w:p>
              </w:tc>
              <w:tc>
                <w:tcPr>
                  <w:tcW w:w="1007" w:type="dxa"/>
                  <w:vMerge w:val="restart"/>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rPr>
                    <w:t>废水排放量（万t/a）</w:t>
                  </w:r>
                </w:p>
              </w:tc>
              <w:tc>
                <w:tcPr>
                  <w:tcW w:w="467" w:type="dxa"/>
                  <w:vMerge w:val="restart"/>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rPr>
                    <w:t>排</w:t>
                  </w:r>
                  <w:r>
                    <w:rPr>
                      <w:rFonts w:hint="default" w:ascii="Times New Roman" w:hAnsi="Times New Roman" w:eastAsia="宋体" w:cs="Times New Roman"/>
                      <w:bCs w:val="0"/>
                      <w:color w:val="auto"/>
                      <w:sz w:val="21"/>
                      <w:szCs w:val="21"/>
                      <w:highlight w:val="none"/>
                    </w:rPr>
                    <w:t>放去向</w:t>
                  </w:r>
                </w:p>
              </w:tc>
              <w:tc>
                <w:tcPr>
                  <w:tcW w:w="724" w:type="dxa"/>
                  <w:vMerge w:val="restart"/>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rPr>
                    <w:t>排放规律</w:t>
                  </w:r>
                </w:p>
              </w:tc>
              <w:tc>
                <w:tcPr>
                  <w:tcW w:w="437" w:type="dxa"/>
                  <w:vMerge w:val="restart"/>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rPr>
                    <w:t>间歇排放时段</w:t>
                  </w:r>
                </w:p>
              </w:tc>
              <w:tc>
                <w:tcPr>
                  <w:tcW w:w="2190" w:type="dxa"/>
                  <w:gridSpan w:val="3"/>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rPr>
                    <w:t>受纳污水处理厂信息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518" w:hRule="atLeast"/>
                <w:jc w:val="center"/>
              </w:trPr>
              <w:tc>
                <w:tcPr>
                  <w:tcW w:w="361"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779"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1322" w:type="dxa"/>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rPr>
                    <w:t>经度</w:t>
                  </w:r>
                </w:p>
              </w:tc>
              <w:tc>
                <w:tcPr>
                  <w:tcW w:w="1217" w:type="dxa"/>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rPr>
                    <w:t>纬度</w:t>
                  </w:r>
                </w:p>
              </w:tc>
              <w:tc>
                <w:tcPr>
                  <w:tcW w:w="1007"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467"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724"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437"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466" w:type="dxa"/>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rPr>
                    <w:t>名称</w:t>
                  </w:r>
                </w:p>
              </w:tc>
              <w:tc>
                <w:tcPr>
                  <w:tcW w:w="645" w:type="dxa"/>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rPr>
                    <w:t>污染物种类</w:t>
                  </w:r>
                </w:p>
              </w:tc>
              <w:tc>
                <w:tcPr>
                  <w:tcW w:w="1079" w:type="dxa"/>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rPr>
                    <w:t>国家或地方污染物排放标准浓度限值（mg/L）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43" w:hRule="atLeast"/>
                <w:jc w:val="center"/>
              </w:trPr>
              <w:tc>
                <w:tcPr>
                  <w:tcW w:w="361" w:type="dxa"/>
                  <w:vMerge w:val="restart"/>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rPr>
                    <w:t>1</w:t>
                  </w:r>
                </w:p>
              </w:tc>
              <w:tc>
                <w:tcPr>
                  <w:tcW w:w="779" w:type="dxa"/>
                  <w:vMerge w:val="restart"/>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rPr>
                    <w:t>DW001</w:t>
                  </w:r>
                </w:p>
              </w:tc>
              <w:tc>
                <w:tcPr>
                  <w:tcW w:w="1322" w:type="dxa"/>
                  <w:vMerge w:val="restart"/>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kern w:val="0"/>
                      <w:sz w:val="21"/>
                      <w:szCs w:val="21"/>
                      <w:highlight w:val="none"/>
                      <w:lang w:val="en-US" w:eastAsia="zh-CN" w:bidi="ar"/>
                    </w:rPr>
                  </w:pPr>
                  <w:r>
                    <w:rPr>
                      <w:rFonts w:hint="default" w:ascii="Times New Roman" w:hAnsi="Times New Roman" w:eastAsia="宋体" w:cs="Times New Roman"/>
                      <w:bCs w:val="0"/>
                      <w:color w:val="auto"/>
                      <w:kern w:val="0"/>
                      <w:sz w:val="21"/>
                      <w:szCs w:val="21"/>
                      <w:highlight w:val="none"/>
                      <w:lang w:val="en-US" w:eastAsia="zh-CN" w:bidi="ar"/>
                    </w:rPr>
                    <w:t>128.70883584</w:t>
                  </w:r>
                </w:p>
              </w:tc>
              <w:tc>
                <w:tcPr>
                  <w:tcW w:w="1217" w:type="dxa"/>
                  <w:vMerge w:val="restart"/>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kern w:val="0"/>
                      <w:sz w:val="21"/>
                      <w:szCs w:val="21"/>
                      <w:highlight w:val="none"/>
                      <w:lang w:val="en-US" w:bidi="ar"/>
                    </w:rPr>
                  </w:pPr>
                  <w:r>
                    <w:rPr>
                      <w:rFonts w:hint="default" w:ascii="Times New Roman" w:hAnsi="Times New Roman" w:eastAsia="宋体" w:cs="Times New Roman"/>
                      <w:bCs w:val="0"/>
                      <w:color w:val="auto"/>
                      <w:kern w:val="0"/>
                      <w:sz w:val="21"/>
                      <w:szCs w:val="21"/>
                      <w:highlight w:val="none"/>
                      <w:lang w:val="en-US" w:eastAsia="zh-CN" w:bidi="ar"/>
                    </w:rPr>
                    <w:t>47.73357253</w:t>
                  </w:r>
                </w:p>
              </w:tc>
              <w:tc>
                <w:tcPr>
                  <w:tcW w:w="1007" w:type="dxa"/>
                  <w:vMerge w:val="restart"/>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lang w:val="en-US" w:eastAsia="zh-CN"/>
                    </w:rPr>
                  </w:pPr>
                  <w:r>
                    <w:rPr>
                      <w:rFonts w:hint="eastAsia"/>
                      <w:b w:val="0"/>
                      <w:bCs/>
                      <w:color w:val="auto"/>
                      <w:sz w:val="21"/>
                      <w:szCs w:val="21"/>
                      <w:highlight w:val="none"/>
                      <w:lang w:val="en-US" w:eastAsia="zh-CN"/>
                    </w:rPr>
                    <w:t>0.0216</w:t>
                  </w:r>
                </w:p>
              </w:tc>
              <w:tc>
                <w:tcPr>
                  <w:tcW w:w="467" w:type="dxa"/>
                  <w:vMerge w:val="restart"/>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rPr>
                  </w:pPr>
                  <w:r>
                    <w:rPr>
                      <w:rFonts w:hint="eastAsia" w:cs="Times New Roman"/>
                      <w:bCs w:val="0"/>
                      <w:color w:val="auto"/>
                      <w:sz w:val="21"/>
                      <w:szCs w:val="21"/>
                      <w:highlight w:val="none"/>
                      <w:lang w:val="en-US" w:eastAsia="zh-CN"/>
                    </w:rPr>
                    <w:t>伊春市嘉荫县污水处理厂</w:t>
                  </w:r>
                </w:p>
              </w:tc>
              <w:tc>
                <w:tcPr>
                  <w:tcW w:w="724" w:type="dxa"/>
                  <w:vMerge w:val="restart"/>
                  <w:tcBorders>
                    <w:tl2br w:val="nil"/>
                    <w:tr2bl w:val="nil"/>
                  </w:tcBorders>
                  <w:noWrap w:val="0"/>
                  <w:vAlign w:val="center"/>
                </w:tcPr>
                <w:p>
                  <w:pPr>
                    <w:adjustRightInd/>
                    <w:snapToGrid/>
                    <w:spacing w:line="240" w:lineRule="auto"/>
                    <w:ind w:left="0" w:leftChars="0" w:firstLine="0" w:firstLineChars="0"/>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lang w:val="en-US" w:eastAsia="zh-CN"/>
                    </w:rPr>
                    <w:t>非连续排放，流量不稳定且无规律，但不属于冲击型排放</w:t>
                  </w:r>
                </w:p>
              </w:tc>
              <w:tc>
                <w:tcPr>
                  <w:tcW w:w="437" w:type="dxa"/>
                  <w:vMerge w:val="restart"/>
                  <w:tcBorders>
                    <w:tl2br w:val="nil"/>
                    <w:tr2bl w:val="nil"/>
                  </w:tcBorders>
                  <w:noWrap w:val="0"/>
                  <w:vAlign w:val="center"/>
                </w:tcPr>
                <w:p>
                  <w:pPr>
                    <w:widowControl/>
                    <w:spacing w:before="100" w:beforeAutospacing="1" w:after="100" w:afterAutospacing="1" w:line="240" w:lineRule="auto"/>
                    <w:jc w:val="both"/>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生产时</w:t>
                  </w:r>
                </w:p>
              </w:tc>
              <w:tc>
                <w:tcPr>
                  <w:tcW w:w="466" w:type="dxa"/>
                  <w:vMerge w:val="restart"/>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rPr>
                  </w:pPr>
                  <w:r>
                    <w:rPr>
                      <w:rFonts w:hint="eastAsia" w:cs="Times New Roman"/>
                      <w:bCs w:val="0"/>
                      <w:color w:val="auto"/>
                      <w:sz w:val="21"/>
                      <w:szCs w:val="21"/>
                      <w:highlight w:val="none"/>
                      <w:lang w:val="en-US" w:eastAsia="zh-CN"/>
                    </w:rPr>
                    <w:t>伊春市嘉荫县污水处理厂</w:t>
                  </w:r>
                </w:p>
              </w:tc>
              <w:tc>
                <w:tcPr>
                  <w:tcW w:w="645" w:type="dxa"/>
                  <w:tcBorders>
                    <w:tl2br w:val="nil"/>
                    <w:tr2bl w:val="nil"/>
                  </w:tcBorders>
                  <w:noWrap w:val="0"/>
                  <w:vAlign w:val="center"/>
                </w:tcPr>
                <w:p>
                  <w:pPr>
                    <w:pStyle w:val="84"/>
                    <w:spacing w:line="240" w:lineRule="auto"/>
                    <w:rPr>
                      <w:rFonts w:hint="default" w:ascii="Times New Roman" w:hAnsi="Times New Roman" w:eastAsia="宋体" w:cs="Times New Roman"/>
                      <w:bCs w:val="0"/>
                      <w:color w:val="auto"/>
                      <w:sz w:val="21"/>
                      <w:szCs w:val="21"/>
                      <w:highlight w:val="none"/>
                    </w:rPr>
                  </w:pPr>
                  <w:r>
                    <w:rPr>
                      <w:color w:val="auto"/>
                      <w:spacing w:val="-10"/>
                      <w:sz w:val="21"/>
                      <w:szCs w:val="21"/>
                      <w:highlight w:val="none"/>
                    </w:rPr>
                    <w:t>COD</w:t>
                  </w:r>
                </w:p>
              </w:tc>
              <w:tc>
                <w:tcPr>
                  <w:tcW w:w="1079" w:type="dxa"/>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lang w:val="en-US"/>
                    </w:rPr>
                  </w:pPr>
                  <w:r>
                    <w:rPr>
                      <w:rFonts w:hint="default" w:ascii="Times New Roman" w:hAnsi="Times New Roman" w:eastAsia="宋体" w:cs="Times New Roman"/>
                      <w:bCs w:val="0"/>
                      <w:color w:val="auto"/>
                      <w:sz w:val="21"/>
                      <w:szCs w:val="21"/>
                      <w:highlight w:val="no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00" w:hRule="atLeast"/>
                <w:jc w:val="center"/>
              </w:trPr>
              <w:tc>
                <w:tcPr>
                  <w:tcW w:w="361"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779"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1322"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1217"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1007"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467"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724"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437"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466"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645" w:type="dxa"/>
                  <w:tcBorders>
                    <w:tl2br w:val="nil"/>
                    <w:tr2bl w:val="nil"/>
                  </w:tcBorders>
                  <w:noWrap w:val="0"/>
                  <w:vAlign w:val="center"/>
                </w:tcPr>
                <w:p>
                  <w:pPr>
                    <w:pStyle w:val="84"/>
                    <w:spacing w:line="240" w:lineRule="auto"/>
                    <w:rPr>
                      <w:rFonts w:hint="default" w:ascii="Times New Roman" w:hAnsi="Times New Roman" w:eastAsia="宋体" w:cs="Times New Roman"/>
                      <w:bCs w:val="0"/>
                      <w:color w:val="auto"/>
                      <w:sz w:val="21"/>
                      <w:szCs w:val="21"/>
                      <w:highlight w:val="none"/>
                    </w:rPr>
                  </w:pPr>
                  <w:r>
                    <w:rPr>
                      <w:color w:val="auto"/>
                      <w:spacing w:val="-10"/>
                      <w:sz w:val="21"/>
                      <w:szCs w:val="21"/>
                      <w:highlight w:val="none"/>
                    </w:rPr>
                    <w:t>BOD</w:t>
                  </w:r>
                  <w:r>
                    <w:rPr>
                      <w:color w:val="auto"/>
                      <w:spacing w:val="-10"/>
                      <w:sz w:val="21"/>
                      <w:szCs w:val="21"/>
                      <w:highlight w:val="none"/>
                      <w:vertAlign w:val="subscript"/>
                    </w:rPr>
                    <w:t>5</w:t>
                  </w:r>
                </w:p>
              </w:tc>
              <w:tc>
                <w:tcPr>
                  <w:tcW w:w="1079" w:type="dxa"/>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00" w:hRule="atLeast"/>
                <w:jc w:val="center"/>
              </w:trPr>
              <w:tc>
                <w:tcPr>
                  <w:tcW w:w="361"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779"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1322"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1217"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1007"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467"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724"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437"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466"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645" w:type="dxa"/>
                  <w:tcBorders>
                    <w:tl2br w:val="nil"/>
                    <w:tr2bl w:val="nil"/>
                  </w:tcBorders>
                  <w:noWrap w:val="0"/>
                  <w:vAlign w:val="center"/>
                </w:tcPr>
                <w:p>
                  <w:pPr>
                    <w:pStyle w:val="84"/>
                    <w:spacing w:line="240" w:lineRule="auto"/>
                    <w:rPr>
                      <w:rFonts w:hint="default" w:ascii="Times New Roman" w:hAnsi="Times New Roman" w:eastAsia="宋体" w:cs="Times New Roman"/>
                      <w:bCs w:val="0"/>
                      <w:color w:val="auto"/>
                      <w:sz w:val="21"/>
                      <w:szCs w:val="21"/>
                      <w:highlight w:val="none"/>
                      <w:lang w:val="en-US" w:eastAsia="zh-CN"/>
                    </w:rPr>
                  </w:pPr>
                  <w:r>
                    <w:rPr>
                      <w:color w:val="auto"/>
                      <w:spacing w:val="-10"/>
                      <w:sz w:val="21"/>
                      <w:szCs w:val="21"/>
                      <w:highlight w:val="none"/>
                    </w:rPr>
                    <w:t>SS</w:t>
                  </w:r>
                </w:p>
              </w:tc>
              <w:tc>
                <w:tcPr>
                  <w:tcW w:w="1079" w:type="dxa"/>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lang w:val="en-US"/>
                    </w:rPr>
                  </w:pPr>
                  <w:r>
                    <w:rPr>
                      <w:rFonts w:hint="default" w:ascii="Times New Roman" w:hAnsi="Times New Roman" w:eastAsia="宋体" w:cs="Times New Roman"/>
                      <w:bCs w:val="0"/>
                      <w:color w:val="auto"/>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42" w:hRule="atLeast"/>
                <w:jc w:val="center"/>
              </w:trPr>
              <w:tc>
                <w:tcPr>
                  <w:tcW w:w="361" w:type="dxa"/>
                  <w:vMerge w:val="continue"/>
                  <w:tcBorders>
                    <w:tl2br w:val="nil"/>
                    <w:tr2bl w:val="nil"/>
                  </w:tcBorders>
                  <w:noWrap w:val="0"/>
                  <w:vAlign w:val="center"/>
                </w:tcPr>
                <w:p>
                  <w:pPr>
                    <w:adjustRightInd/>
                    <w:snapToGrid/>
                    <w:spacing w:line="240" w:lineRule="auto"/>
                    <w:contextualSpacing/>
                    <w:jc w:val="center"/>
                    <w:rPr>
                      <w:rFonts w:hint="eastAsia" w:ascii="Times New Roman" w:hAnsi="Times New Roman" w:eastAsia="宋体" w:cs="Times New Roman"/>
                      <w:bCs w:val="0"/>
                      <w:color w:val="auto"/>
                      <w:sz w:val="21"/>
                      <w:szCs w:val="21"/>
                      <w:highlight w:val="none"/>
                      <w:lang w:val="en-US" w:eastAsia="zh-CN"/>
                    </w:rPr>
                  </w:pPr>
                </w:p>
              </w:tc>
              <w:tc>
                <w:tcPr>
                  <w:tcW w:w="779" w:type="dxa"/>
                  <w:vMerge w:val="continue"/>
                  <w:tcBorders>
                    <w:tl2br w:val="nil"/>
                    <w:tr2bl w:val="nil"/>
                  </w:tcBorders>
                  <w:noWrap w:val="0"/>
                  <w:vAlign w:val="center"/>
                </w:tcPr>
                <w:p>
                  <w:pPr>
                    <w:adjustRightInd/>
                    <w:snapToGrid/>
                    <w:spacing w:line="240" w:lineRule="auto"/>
                    <w:contextualSpacing/>
                    <w:jc w:val="center"/>
                    <w:rPr>
                      <w:rFonts w:hint="default" w:ascii="Times New Roman" w:hAnsi="Times New Roman" w:eastAsia="宋体" w:cs="Times New Roman"/>
                      <w:bCs w:val="0"/>
                      <w:color w:val="auto"/>
                      <w:sz w:val="21"/>
                      <w:szCs w:val="21"/>
                      <w:highlight w:val="none"/>
                      <w:lang w:val="en-US" w:eastAsia="zh-CN"/>
                    </w:rPr>
                  </w:pPr>
                </w:p>
              </w:tc>
              <w:tc>
                <w:tcPr>
                  <w:tcW w:w="1322" w:type="dxa"/>
                  <w:vMerge w:val="continue"/>
                  <w:tcBorders>
                    <w:tl2br w:val="nil"/>
                    <w:tr2bl w:val="nil"/>
                  </w:tcBorders>
                  <w:noWrap w:val="0"/>
                  <w:vAlign w:val="center"/>
                </w:tcPr>
                <w:p>
                  <w:pPr>
                    <w:adjustRightInd/>
                    <w:snapToGrid/>
                    <w:spacing w:line="240" w:lineRule="auto"/>
                    <w:contextualSpacing/>
                    <w:jc w:val="center"/>
                    <w:rPr>
                      <w:rFonts w:hint="default" w:ascii="Times New Roman" w:hAnsi="Times New Roman" w:eastAsia="宋体" w:cs="Times New Roman"/>
                      <w:bCs w:val="0"/>
                      <w:color w:val="auto"/>
                      <w:sz w:val="21"/>
                      <w:szCs w:val="21"/>
                      <w:highlight w:val="none"/>
                    </w:rPr>
                  </w:pPr>
                </w:p>
              </w:tc>
              <w:tc>
                <w:tcPr>
                  <w:tcW w:w="1217" w:type="dxa"/>
                  <w:vMerge w:val="continue"/>
                  <w:tcBorders>
                    <w:tl2br w:val="nil"/>
                    <w:tr2bl w:val="nil"/>
                  </w:tcBorders>
                  <w:noWrap w:val="0"/>
                  <w:vAlign w:val="center"/>
                </w:tcPr>
                <w:p>
                  <w:pPr>
                    <w:adjustRightInd/>
                    <w:snapToGrid/>
                    <w:spacing w:line="240" w:lineRule="auto"/>
                    <w:contextualSpacing/>
                    <w:jc w:val="center"/>
                    <w:rPr>
                      <w:rFonts w:hint="default" w:ascii="Times New Roman" w:hAnsi="Times New Roman" w:eastAsia="宋体" w:cs="Times New Roman"/>
                      <w:bCs w:val="0"/>
                      <w:color w:val="auto"/>
                      <w:sz w:val="21"/>
                      <w:szCs w:val="21"/>
                      <w:highlight w:val="none"/>
                    </w:rPr>
                  </w:pPr>
                </w:p>
              </w:tc>
              <w:tc>
                <w:tcPr>
                  <w:tcW w:w="1007" w:type="dxa"/>
                  <w:vMerge w:val="continue"/>
                  <w:tcBorders>
                    <w:tl2br w:val="nil"/>
                    <w:tr2bl w:val="nil"/>
                  </w:tcBorders>
                  <w:noWrap w:val="0"/>
                  <w:vAlign w:val="center"/>
                </w:tcPr>
                <w:p>
                  <w:pPr>
                    <w:adjustRightInd/>
                    <w:snapToGrid/>
                    <w:spacing w:line="240" w:lineRule="auto"/>
                    <w:contextualSpacing/>
                    <w:jc w:val="center"/>
                    <w:rPr>
                      <w:rFonts w:hint="default" w:ascii="Times New Roman" w:hAnsi="Times New Roman" w:eastAsia="宋体" w:cs="Times New Roman"/>
                      <w:bCs w:val="0"/>
                      <w:color w:val="auto"/>
                      <w:sz w:val="21"/>
                      <w:szCs w:val="21"/>
                      <w:highlight w:val="none"/>
                      <w:lang w:val="en-US" w:eastAsia="zh-CN"/>
                    </w:rPr>
                  </w:pPr>
                </w:p>
              </w:tc>
              <w:tc>
                <w:tcPr>
                  <w:tcW w:w="467"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724"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437"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466"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645" w:type="dxa"/>
                  <w:tcBorders>
                    <w:tl2br w:val="nil"/>
                    <w:tr2bl w:val="nil"/>
                  </w:tcBorders>
                  <w:noWrap w:val="0"/>
                  <w:vAlign w:val="center"/>
                </w:tcPr>
                <w:p>
                  <w:pPr>
                    <w:pStyle w:val="84"/>
                    <w:spacing w:line="240" w:lineRule="auto"/>
                    <w:rPr>
                      <w:rFonts w:hint="default" w:ascii="Times New Roman" w:hAnsi="Times New Roman" w:eastAsia="宋体" w:cs="Times New Roman"/>
                      <w:bCs w:val="0"/>
                      <w:color w:val="auto"/>
                      <w:sz w:val="21"/>
                      <w:szCs w:val="21"/>
                      <w:highlight w:val="none"/>
                    </w:rPr>
                  </w:pPr>
                  <w:r>
                    <w:rPr>
                      <w:rFonts w:hint="eastAsia"/>
                      <w:color w:val="auto"/>
                      <w:spacing w:val="-10"/>
                      <w:sz w:val="21"/>
                      <w:szCs w:val="21"/>
                      <w:highlight w:val="none"/>
                      <w:lang w:val="en-US" w:eastAsia="zh-CN"/>
                    </w:rPr>
                    <w:t>氨氮</w:t>
                  </w:r>
                </w:p>
              </w:tc>
              <w:tc>
                <w:tcPr>
                  <w:tcW w:w="1079" w:type="dxa"/>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lang w:val="en-US"/>
                    </w:rPr>
                  </w:pPr>
                  <w:r>
                    <w:rPr>
                      <w:rFonts w:hint="default" w:ascii="Times New Roman" w:hAnsi="Times New Roman" w:eastAsia="宋体" w:cs="Times New Roman"/>
                      <w:bCs w:val="0"/>
                      <w:color w:val="auto"/>
                      <w:sz w:val="21"/>
                      <w:szCs w:val="21"/>
                      <w:highlight w:val="none"/>
                      <w:lang w:val="en-US" w:eastAsia="zh-CN"/>
                    </w:rPr>
                    <w:t>5</w:t>
                  </w:r>
                  <w:r>
                    <w:rPr>
                      <w:rFonts w:hint="eastAsia" w:cs="Times New Roman"/>
                      <w:bCs w:val="0"/>
                      <w:color w:val="auto"/>
                      <w:sz w:val="21"/>
                      <w:szCs w:val="21"/>
                      <w:highlight w:val="none"/>
                      <w:lang w:val="en-US" w:eastAsia="zh-CN"/>
                    </w:rPr>
                    <w:t>(</w:t>
                  </w:r>
                  <w:r>
                    <w:rPr>
                      <w:rFonts w:hint="default" w:ascii="Times New Roman" w:hAnsi="Times New Roman" w:eastAsia="宋体" w:cs="Times New Roman"/>
                      <w:bCs w:val="0"/>
                      <w:color w:val="auto"/>
                      <w:sz w:val="21"/>
                      <w:szCs w:val="21"/>
                      <w:highlight w:val="none"/>
                      <w:lang w:val="en-US" w:eastAsia="zh-CN"/>
                    </w:rPr>
                    <w:t>8</w:t>
                  </w:r>
                  <w:r>
                    <w:rPr>
                      <w:rFonts w:hint="eastAsia" w:cs="Times New Roman"/>
                      <w:bCs w:val="0"/>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jc w:val="center"/>
              </w:trPr>
              <w:tc>
                <w:tcPr>
                  <w:tcW w:w="361"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779"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1322"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1217"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1007"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467"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724"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437"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466"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645" w:type="dxa"/>
                  <w:tcBorders>
                    <w:tl2br w:val="nil"/>
                    <w:tr2bl w:val="nil"/>
                  </w:tcBorders>
                  <w:noWrap w:val="0"/>
                  <w:vAlign w:val="center"/>
                </w:tcPr>
                <w:p>
                  <w:pPr>
                    <w:pStyle w:val="84"/>
                    <w:spacing w:line="240" w:lineRule="auto"/>
                    <w:rPr>
                      <w:rFonts w:hint="default" w:ascii="Times New Roman" w:hAnsi="Times New Roman" w:eastAsia="宋体" w:cs="Times New Roman"/>
                      <w:bCs w:val="0"/>
                      <w:color w:val="auto"/>
                      <w:sz w:val="21"/>
                      <w:szCs w:val="21"/>
                      <w:highlight w:val="none"/>
                    </w:rPr>
                  </w:pPr>
                  <w:r>
                    <w:rPr>
                      <w:color w:val="auto"/>
                      <w:spacing w:val="-10"/>
                      <w:sz w:val="21"/>
                      <w:szCs w:val="21"/>
                      <w:highlight w:val="none"/>
                    </w:rPr>
                    <w:t>总磷</w:t>
                  </w:r>
                </w:p>
              </w:tc>
              <w:tc>
                <w:tcPr>
                  <w:tcW w:w="1079" w:type="dxa"/>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lang w:val="en-US" w:eastAsia="zh-CN"/>
                    </w:rPr>
                  </w:pPr>
                  <w:r>
                    <w:rPr>
                      <w:rFonts w:hint="eastAsia" w:ascii="Times New Roman" w:hAnsi="Times New Roman" w:eastAsia="宋体" w:cs="Times New Roman"/>
                      <w:bCs w:val="0"/>
                      <w:color w:val="auto"/>
                      <w:sz w:val="21"/>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jc w:val="center"/>
              </w:trPr>
              <w:tc>
                <w:tcPr>
                  <w:tcW w:w="361"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779"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1322"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1217"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1007"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467"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724"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437"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466" w:type="dxa"/>
                  <w:vMerge w:val="continue"/>
                  <w:tcBorders>
                    <w:tl2br w:val="nil"/>
                    <w:tr2bl w:val="nil"/>
                  </w:tcBorders>
                  <w:noWrap w:val="0"/>
                  <w:vAlign w:val="center"/>
                </w:tcPr>
                <w:p>
                  <w:pPr>
                    <w:adjustRightInd/>
                    <w:snapToGrid/>
                    <w:spacing w:line="240" w:lineRule="auto"/>
                    <w:ind w:firstLine="420"/>
                    <w:contextualSpacing/>
                    <w:jc w:val="center"/>
                    <w:rPr>
                      <w:rFonts w:hint="default" w:ascii="Times New Roman" w:hAnsi="Times New Roman" w:eastAsia="宋体" w:cs="Times New Roman"/>
                      <w:bCs w:val="0"/>
                      <w:color w:val="auto"/>
                      <w:sz w:val="21"/>
                      <w:szCs w:val="21"/>
                      <w:highlight w:val="none"/>
                    </w:rPr>
                  </w:pPr>
                </w:p>
              </w:tc>
              <w:tc>
                <w:tcPr>
                  <w:tcW w:w="645" w:type="dxa"/>
                  <w:tcBorders>
                    <w:tl2br w:val="nil"/>
                    <w:tr2bl w:val="nil"/>
                  </w:tcBorders>
                  <w:noWrap w:val="0"/>
                  <w:vAlign w:val="center"/>
                </w:tcPr>
                <w:p>
                  <w:pPr>
                    <w:pStyle w:val="84"/>
                    <w:spacing w:line="240" w:lineRule="auto"/>
                    <w:rPr>
                      <w:rFonts w:hint="default" w:ascii="Times New Roman" w:hAnsi="Times New Roman" w:eastAsia="宋体" w:cs="Times New Roman"/>
                      <w:bCs w:val="0"/>
                      <w:color w:val="auto"/>
                      <w:sz w:val="21"/>
                      <w:szCs w:val="21"/>
                      <w:highlight w:val="none"/>
                    </w:rPr>
                  </w:pPr>
                  <w:r>
                    <w:rPr>
                      <w:rFonts w:hint="eastAsia"/>
                      <w:color w:val="auto"/>
                      <w:spacing w:val="-10"/>
                      <w:sz w:val="21"/>
                      <w:szCs w:val="21"/>
                      <w:highlight w:val="none"/>
                      <w:lang w:val="en-US" w:eastAsia="zh-CN"/>
                    </w:rPr>
                    <w:t>动植物油</w:t>
                  </w:r>
                </w:p>
              </w:tc>
              <w:tc>
                <w:tcPr>
                  <w:tcW w:w="1079" w:type="dxa"/>
                  <w:tcBorders>
                    <w:tl2br w:val="nil"/>
                    <w:tr2bl w:val="nil"/>
                  </w:tcBorders>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rPr>
                    <w:t>1</w:t>
                  </w:r>
                </w:p>
              </w:tc>
            </w:tr>
          </w:tbl>
          <w:p>
            <w:pPr>
              <w:adjustRightInd/>
              <w:snapToGrid/>
              <w:spacing w:line="360" w:lineRule="auto"/>
              <w:ind w:firstLine="480"/>
              <w:rPr>
                <w:rFonts w:hint="default" w:ascii="Times New Roman" w:hAnsi="Times New Roman" w:eastAsia="宋体" w:cs="Times New Roman"/>
                <w:bCs w:val="0"/>
                <w:color w:val="auto"/>
                <w:sz w:val="24"/>
                <w:szCs w:val="24"/>
                <w:highlight w:val="none"/>
              </w:rPr>
            </w:pPr>
            <w:r>
              <w:rPr>
                <w:rFonts w:hint="default" w:ascii="Times New Roman" w:hAnsi="Times New Roman" w:eastAsia="宋体" w:cs="Times New Roman"/>
                <w:bCs w:val="0"/>
                <w:color w:val="auto"/>
                <w:sz w:val="24"/>
                <w:szCs w:val="24"/>
                <w:highlight w:val="none"/>
                <w:lang w:eastAsia="zh-CN"/>
              </w:rPr>
              <w:t>（</w:t>
            </w:r>
            <w:r>
              <w:rPr>
                <w:rFonts w:hint="eastAsia" w:ascii="Times New Roman" w:hAnsi="Times New Roman" w:eastAsia="宋体" w:cs="Times New Roman"/>
                <w:bCs w:val="0"/>
                <w:color w:val="auto"/>
                <w:sz w:val="24"/>
                <w:szCs w:val="24"/>
                <w:highlight w:val="none"/>
                <w:lang w:val="en-US" w:eastAsia="zh-CN"/>
              </w:rPr>
              <w:t>2</w:t>
            </w:r>
            <w:r>
              <w:rPr>
                <w:rFonts w:hint="default" w:ascii="Times New Roman" w:hAnsi="Times New Roman" w:eastAsia="宋体" w:cs="Times New Roman"/>
                <w:bCs w:val="0"/>
                <w:color w:val="auto"/>
                <w:sz w:val="24"/>
                <w:szCs w:val="24"/>
                <w:highlight w:val="none"/>
                <w:lang w:eastAsia="zh-CN"/>
              </w:rPr>
              <w:t>）</w:t>
            </w:r>
            <w:r>
              <w:rPr>
                <w:rFonts w:hint="default" w:ascii="Times New Roman" w:hAnsi="Times New Roman" w:eastAsia="宋体" w:cs="Times New Roman"/>
                <w:bCs w:val="0"/>
                <w:color w:val="auto"/>
                <w:sz w:val="24"/>
                <w:szCs w:val="24"/>
                <w:highlight w:val="none"/>
              </w:rPr>
              <w:t>废水监测要求</w:t>
            </w:r>
          </w:p>
          <w:p>
            <w:pPr>
              <w:adjustRightInd/>
              <w:snapToGrid/>
              <w:spacing w:line="360" w:lineRule="auto"/>
              <w:ind w:firstLine="480"/>
              <w:rPr>
                <w:rFonts w:hint="default" w:ascii="Times New Roman" w:hAnsi="Times New Roman" w:eastAsia="宋体" w:cs="Times New Roman"/>
                <w:bCs w:val="0"/>
                <w:color w:val="auto"/>
                <w:sz w:val="24"/>
                <w:szCs w:val="24"/>
                <w:highlight w:val="none"/>
              </w:rPr>
            </w:pPr>
            <w:r>
              <w:rPr>
                <w:rFonts w:hint="default" w:ascii="Times New Roman" w:hAnsi="Times New Roman" w:eastAsia="宋体" w:cs="Times New Roman"/>
                <w:bCs/>
                <w:color w:val="auto"/>
                <w:kern w:val="0"/>
                <w:sz w:val="24"/>
                <w:szCs w:val="24"/>
                <w:highlight w:val="none"/>
                <w:lang w:val="en-US" w:eastAsia="zh-CN" w:bidi="ar-SA"/>
              </w:rPr>
              <w:t>依据《排污单位自行监测技术指南 总则》（HJ819-2017）要求，确定本项目废水污染源监测计划，具体</w:t>
            </w:r>
            <w:r>
              <w:rPr>
                <w:rFonts w:hint="default" w:ascii="Times New Roman" w:hAnsi="Times New Roman" w:eastAsia="宋体" w:cs="Times New Roman"/>
                <w:color w:val="auto"/>
                <w:kern w:val="0"/>
                <w:sz w:val="24"/>
                <w:szCs w:val="24"/>
                <w:highlight w:val="none"/>
                <w:lang w:val="en-US" w:eastAsia="zh-CN" w:bidi="ar-SA"/>
              </w:rPr>
              <w:t>见下表。</w:t>
            </w:r>
          </w:p>
          <w:p>
            <w:pPr>
              <w:pStyle w:val="7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b/>
                <w:bCs/>
                <w:color w:val="auto"/>
                <w:sz w:val="21"/>
                <w:szCs w:val="21"/>
                <w:highlight w:val="none"/>
              </w:rPr>
            </w:pPr>
            <w:bookmarkStart w:id="250" w:name="_Toc750"/>
            <w:bookmarkStart w:id="251" w:name="_Toc21946"/>
            <w:bookmarkStart w:id="252" w:name="_Toc10799"/>
            <w:bookmarkStart w:id="253" w:name="_Toc12853"/>
            <w:bookmarkStart w:id="254" w:name="_Toc13406"/>
            <w:bookmarkStart w:id="255" w:name="_Toc26656"/>
            <w:bookmarkStart w:id="256" w:name="_Toc28263"/>
            <w:bookmarkStart w:id="257" w:name="_Toc26268"/>
            <w:bookmarkStart w:id="258" w:name="_Toc24066"/>
            <w:bookmarkStart w:id="259" w:name="_Toc2165"/>
            <w:bookmarkStart w:id="260" w:name="_Toc6417"/>
            <w:bookmarkStart w:id="261" w:name="_Toc31809"/>
            <w:bookmarkStart w:id="262" w:name="_Toc10348"/>
            <w:bookmarkStart w:id="263" w:name="_Toc7981"/>
            <w:bookmarkStart w:id="264" w:name="_Toc29743"/>
            <w:bookmarkStart w:id="265" w:name="_Toc25862"/>
            <w:bookmarkStart w:id="266" w:name="_Toc28429"/>
            <w:bookmarkStart w:id="267" w:name="_Toc14073"/>
            <w:bookmarkStart w:id="268" w:name="_Toc4396"/>
            <w:bookmarkStart w:id="269" w:name="_Toc11758"/>
            <w:bookmarkStart w:id="270" w:name="_Toc10919"/>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w:t>
            </w:r>
            <w:r>
              <w:rPr>
                <w:rFonts w:hint="eastAsia" w:ascii="Times New Roman" w:hAnsi="Times New Roman" w:eastAsia="宋体" w:cs="Times New Roman"/>
                <w:b/>
                <w:bCs/>
                <w:color w:val="auto"/>
                <w:sz w:val="21"/>
                <w:szCs w:val="21"/>
                <w:highlight w:val="none"/>
                <w:lang w:val="en-US" w:eastAsia="zh-CN"/>
              </w:rPr>
              <w:t xml:space="preserve">5 </w:t>
            </w:r>
            <w:r>
              <w:rPr>
                <w:rFonts w:hint="default" w:ascii="Times New Roman" w:hAnsi="Times New Roman" w:eastAsia="宋体" w:cs="Times New Roman"/>
                <w:b/>
                <w:bCs/>
                <w:color w:val="auto"/>
                <w:sz w:val="21"/>
                <w:szCs w:val="21"/>
                <w:highlight w:val="none"/>
              </w:rPr>
              <w:t>监测计划</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tbl>
            <w:tblPr>
              <w:tblStyle w:val="29"/>
              <w:tblW w:w="9078"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0" w:type="dxa"/>
                <w:bottom w:w="0" w:type="dxa"/>
                <w:right w:w="0" w:type="dxa"/>
              </w:tblCellMar>
            </w:tblPr>
            <w:tblGrid>
              <w:gridCol w:w="979"/>
              <w:gridCol w:w="1818"/>
              <w:gridCol w:w="4052"/>
              <w:gridCol w:w="222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0" w:type="dxa"/>
                  <w:bottom w:w="0" w:type="dxa"/>
                  <w:right w:w="0" w:type="dxa"/>
                </w:tblCellMar>
              </w:tblPrEx>
              <w:trPr>
                <w:trHeight w:val="362" w:hRule="atLeast"/>
                <w:jc w:val="center"/>
              </w:trPr>
              <w:tc>
                <w:tcPr>
                  <w:tcW w:w="979" w:type="dxa"/>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lang w:val="en-US" w:eastAsia="zh-CN"/>
                    </w:rPr>
                  </w:pPr>
                  <w:r>
                    <w:rPr>
                      <w:rFonts w:hint="default" w:ascii="Times New Roman" w:hAnsi="Times New Roman" w:eastAsia="宋体" w:cs="Times New Roman"/>
                      <w:bCs w:val="0"/>
                      <w:color w:val="auto"/>
                      <w:sz w:val="21"/>
                      <w:szCs w:val="21"/>
                      <w:highlight w:val="none"/>
                      <w:lang w:val="en-US" w:eastAsia="zh-CN"/>
                    </w:rPr>
                    <w:t>环境要素</w:t>
                  </w:r>
                </w:p>
              </w:tc>
              <w:tc>
                <w:tcPr>
                  <w:tcW w:w="1818" w:type="dxa"/>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lang w:val="en-US" w:eastAsia="zh-CN"/>
                    </w:rPr>
                  </w:pPr>
                  <w:r>
                    <w:rPr>
                      <w:rFonts w:hint="default" w:ascii="Times New Roman" w:hAnsi="Times New Roman" w:eastAsia="宋体" w:cs="Times New Roman"/>
                      <w:bCs w:val="0"/>
                      <w:color w:val="auto"/>
                      <w:sz w:val="21"/>
                      <w:szCs w:val="21"/>
                      <w:highlight w:val="none"/>
                      <w:lang w:val="en-US" w:eastAsia="zh-CN"/>
                    </w:rPr>
                    <w:t>监测地点</w:t>
                  </w:r>
                </w:p>
              </w:tc>
              <w:tc>
                <w:tcPr>
                  <w:tcW w:w="4052" w:type="dxa"/>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lang w:val="en-US" w:eastAsia="zh-CN"/>
                    </w:rPr>
                  </w:pPr>
                  <w:r>
                    <w:rPr>
                      <w:rFonts w:hint="default" w:ascii="Times New Roman" w:hAnsi="Times New Roman" w:eastAsia="宋体" w:cs="Times New Roman"/>
                      <w:bCs w:val="0"/>
                      <w:color w:val="auto"/>
                      <w:sz w:val="21"/>
                      <w:szCs w:val="21"/>
                      <w:highlight w:val="none"/>
                      <w:lang w:val="en-US" w:eastAsia="zh-CN"/>
                    </w:rPr>
                    <w:t>监测项目</w:t>
                  </w:r>
                </w:p>
              </w:tc>
              <w:tc>
                <w:tcPr>
                  <w:tcW w:w="2229" w:type="dxa"/>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lang w:val="en-US" w:eastAsia="zh-CN"/>
                    </w:rPr>
                  </w:pPr>
                  <w:r>
                    <w:rPr>
                      <w:rFonts w:hint="default" w:ascii="Times New Roman" w:hAnsi="Times New Roman" w:eastAsia="宋体" w:cs="Times New Roman"/>
                      <w:bCs w:val="0"/>
                      <w:color w:val="auto"/>
                      <w:sz w:val="21"/>
                      <w:szCs w:val="21"/>
                      <w:highlight w:val="none"/>
                      <w:lang w:val="en-US" w:eastAsia="zh-CN"/>
                    </w:rPr>
                    <w:t>监测时间及频率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0" w:type="dxa"/>
                  <w:bottom w:w="0" w:type="dxa"/>
                  <w:right w:w="0" w:type="dxa"/>
                </w:tblCellMar>
              </w:tblPrEx>
              <w:trPr>
                <w:trHeight w:val="796" w:hRule="atLeast"/>
                <w:jc w:val="center"/>
              </w:trPr>
              <w:tc>
                <w:tcPr>
                  <w:tcW w:w="979" w:type="dxa"/>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lang w:val="en-US" w:eastAsia="zh-CN"/>
                    </w:rPr>
                  </w:pPr>
                  <w:r>
                    <w:rPr>
                      <w:rFonts w:hint="default" w:ascii="Times New Roman" w:hAnsi="Times New Roman" w:eastAsia="宋体" w:cs="Times New Roman"/>
                      <w:bCs w:val="0"/>
                      <w:color w:val="auto"/>
                      <w:sz w:val="21"/>
                      <w:szCs w:val="21"/>
                      <w:highlight w:val="none"/>
                      <w:lang w:val="en-US" w:eastAsia="zh-CN"/>
                    </w:rPr>
                    <w:t>水环境</w:t>
                  </w:r>
                </w:p>
              </w:tc>
              <w:tc>
                <w:tcPr>
                  <w:tcW w:w="1818" w:type="dxa"/>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lang w:val="en-US" w:eastAsia="zh-CN"/>
                    </w:rPr>
                  </w:pPr>
                  <w:r>
                    <w:rPr>
                      <w:rFonts w:hint="eastAsia" w:ascii="Times New Roman" w:hAnsi="Times New Roman" w:eastAsia="宋体" w:cs="Times New Roman"/>
                      <w:bCs w:val="0"/>
                      <w:color w:val="auto"/>
                      <w:sz w:val="21"/>
                      <w:szCs w:val="21"/>
                      <w:highlight w:val="none"/>
                      <w:lang w:val="en-US" w:eastAsia="zh-CN"/>
                    </w:rPr>
                    <w:t>总排口</w:t>
                  </w:r>
                </w:p>
              </w:tc>
              <w:tc>
                <w:tcPr>
                  <w:tcW w:w="4052" w:type="dxa"/>
                  <w:noWrap w:val="0"/>
                  <w:vAlign w:val="center"/>
                </w:tcPr>
                <w:p>
                  <w:pPr>
                    <w:jc w:val="center"/>
                    <w:rPr>
                      <w:rFonts w:hint="default" w:ascii="Times New Roman" w:hAnsi="Times New Roman" w:eastAsia="宋体" w:cs="Times New Roman"/>
                      <w:bCs/>
                      <w:color w:val="auto"/>
                      <w:kern w:val="0"/>
                      <w:szCs w:val="21"/>
                      <w:highlight w:val="none"/>
                    </w:rPr>
                  </w:pPr>
                  <w:r>
                    <w:rPr>
                      <w:rFonts w:hint="eastAsia"/>
                    </w:rPr>
                    <w:t>化学需氧量、五日生化需氧量、氨氮、总磷、总氮、悬浮物</w:t>
                  </w:r>
                </w:p>
              </w:tc>
              <w:tc>
                <w:tcPr>
                  <w:tcW w:w="2229" w:type="dxa"/>
                  <w:noWrap w:val="0"/>
                  <w:vAlign w:val="center"/>
                </w:tcPr>
                <w:p>
                  <w:pPr>
                    <w:adjustRightInd/>
                    <w:snapToGrid/>
                    <w:spacing w:line="240" w:lineRule="auto"/>
                    <w:ind w:firstLine="0" w:firstLineChars="0"/>
                    <w:contextualSpacing/>
                    <w:jc w:val="center"/>
                    <w:rPr>
                      <w:rFonts w:hint="default" w:ascii="Times New Roman" w:hAnsi="Times New Roman" w:eastAsia="宋体" w:cs="Times New Roman"/>
                      <w:bCs w:val="0"/>
                      <w:color w:val="auto"/>
                      <w:sz w:val="21"/>
                      <w:szCs w:val="21"/>
                      <w:highlight w:val="none"/>
                      <w:lang w:val="en-US" w:eastAsia="zh-CN"/>
                    </w:rPr>
                  </w:pPr>
                  <w:r>
                    <w:rPr>
                      <w:rFonts w:hint="default" w:ascii="Times New Roman" w:hAnsi="Times New Roman" w:eastAsia="宋体" w:cs="Times New Roman"/>
                      <w:bCs w:val="0"/>
                      <w:color w:val="auto"/>
                      <w:sz w:val="21"/>
                      <w:szCs w:val="21"/>
                      <w:highlight w:val="none"/>
                      <w:lang w:val="en-US" w:eastAsia="zh-CN"/>
                    </w:rPr>
                    <w:t>1次/</w:t>
                  </w:r>
                  <w:r>
                    <w:rPr>
                      <w:rFonts w:hint="eastAsia" w:cs="Times New Roman"/>
                      <w:bCs w:val="0"/>
                      <w:color w:val="auto"/>
                      <w:sz w:val="21"/>
                      <w:szCs w:val="21"/>
                      <w:highlight w:val="none"/>
                      <w:lang w:val="en-US" w:eastAsia="zh-CN"/>
                    </w:rPr>
                    <w:t>季度</w:t>
                  </w:r>
                </w:p>
              </w:tc>
            </w:tr>
          </w:tbl>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非正常</w:t>
            </w:r>
            <w:r>
              <w:rPr>
                <w:rFonts w:hint="default" w:ascii="Times New Roman" w:hAnsi="Times New Roman" w:eastAsia="宋体" w:cs="Times New Roman"/>
                <w:color w:val="auto"/>
                <w:sz w:val="24"/>
                <w:szCs w:val="24"/>
                <w:highlight w:val="none"/>
                <w:lang w:eastAsia="zh-CN"/>
              </w:rPr>
              <w:t>工况</w:t>
            </w:r>
          </w:p>
          <w:p>
            <w:pPr>
              <w:spacing w:line="360" w:lineRule="auto"/>
              <w:ind w:firstLine="480" w:firstLineChars="200"/>
              <w:rPr>
                <w:color w:val="auto"/>
                <w:kern w:val="0"/>
                <w:sz w:val="24"/>
                <w:highlight w:val="yellow"/>
              </w:rPr>
            </w:pPr>
            <w:r>
              <w:rPr>
                <w:rFonts w:hint="eastAsia"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非正常工况表现为</w:t>
            </w:r>
            <w:r>
              <w:rPr>
                <w:rFonts w:hint="eastAsia" w:cs="Times New Roman"/>
                <w:color w:val="auto"/>
                <w:sz w:val="24"/>
                <w:szCs w:val="24"/>
                <w:highlight w:val="none"/>
                <w:lang w:val="en-US" w:eastAsia="zh-CN"/>
              </w:rPr>
              <w:t>污水处理站设备</w:t>
            </w:r>
            <w:r>
              <w:rPr>
                <w:rFonts w:hint="eastAsia" w:ascii="Times New Roman" w:hAnsi="Times New Roman" w:eastAsia="宋体" w:cs="Times New Roman"/>
                <w:color w:val="auto"/>
                <w:sz w:val="24"/>
                <w:szCs w:val="24"/>
                <w:highlight w:val="none"/>
                <w:lang w:val="en-US" w:eastAsia="zh-CN"/>
              </w:rPr>
              <w:t>故障，污水直接排放</w:t>
            </w:r>
            <w:r>
              <w:rPr>
                <w:rFonts w:hint="eastAsia" w:ascii="Times New Roman" w:hAnsi="Times New Roman" w:eastAsia="宋体" w:cs="Times New Roman"/>
                <w:color w:val="auto"/>
                <w:sz w:val="24"/>
                <w:szCs w:val="24"/>
                <w:highlight w:val="none"/>
                <w:lang w:eastAsia="zh-CN"/>
              </w:rPr>
              <w:t>；</w:t>
            </w:r>
            <w:r>
              <w:rPr>
                <w:color w:val="auto"/>
                <w:kern w:val="0"/>
                <w:sz w:val="24"/>
                <w:highlight w:val="none"/>
              </w:rPr>
              <w:t>本项目每次污染物非正常排放情况发生时间不超过</w:t>
            </w:r>
            <w:r>
              <w:rPr>
                <w:rFonts w:hint="eastAsia"/>
                <w:color w:val="auto"/>
                <w:kern w:val="0"/>
                <w:sz w:val="24"/>
                <w:highlight w:val="none"/>
                <w:lang w:val="en-US" w:eastAsia="zh-CN"/>
              </w:rPr>
              <w:t>0.5</w:t>
            </w:r>
            <w:r>
              <w:rPr>
                <w:color w:val="auto"/>
                <w:kern w:val="0"/>
                <w:sz w:val="24"/>
                <w:highlight w:val="none"/>
              </w:rPr>
              <w:t>小时，每年发生次数不超过</w:t>
            </w:r>
            <w:r>
              <w:rPr>
                <w:rFonts w:hint="eastAsia"/>
                <w:color w:val="auto"/>
                <w:kern w:val="0"/>
                <w:sz w:val="24"/>
                <w:highlight w:val="none"/>
                <w:lang w:val="en-US" w:eastAsia="zh-CN"/>
              </w:rPr>
              <w:t>1</w:t>
            </w:r>
            <w:r>
              <w:rPr>
                <w:color w:val="auto"/>
                <w:kern w:val="0"/>
                <w:sz w:val="24"/>
                <w:highlight w:val="none"/>
              </w:rPr>
              <w:t>次。</w:t>
            </w:r>
          </w:p>
          <w:p>
            <w:pPr>
              <w:spacing w:line="360" w:lineRule="auto"/>
              <w:ind w:firstLine="480" w:firstLineChars="200"/>
              <w:rPr>
                <w:color w:val="auto"/>
                <w:kern w:val="0"/>
                <w:sz w:val="24"/>
                <w:highlight w:val="none"/>
              </w:rPr>
            </w:pPr>
            <w:r>
              <w:rPr>
                <w:rFonts w:hint="eastAsia"/>
                <w:color w:val="auto"/>
                <w:kern w:val="0"/>
                <w:sz w:val="24"/>
                <w:highlight w:val="none"/>
                <w:lang w:eastAsia="zh-CN"/>
              </w:rPr>
              <w:t>水</w:t>
            </w:r>
            <w:r>
              <w:rPr>
                <w:color w:val="auto"/>
                <w:kern w:val="0"/>
                <w:sz w:val="24"/>
                <w:highlight w:val="none"/>
              </w:rPr>
              <w:t>污染物源强非正常排放核算</w:t>
            </w:r>
            <w:r>
              <w:rPr>
                <w:rFonts w:hint="eastAsia"/>
                <w:color w:val="auto"/>
                <w:kern w:val="0"/>
                <w:sz w:val="24"/>
                <w:highlight w:val="none"/>
                <w:lang w:eastAsia="zh-CN"/>
              </w:rPr>
              <w:t>见下</w:t>
            </w:r>
            <w:r>
              <w:rPr>
                <w:color w:val="auto"/>
                <w:kern w:val="0"/>
                <w:sz w:val="24"/>
                <w:highlight w:val="none"/>
              </w:rPr>
              <w:t>表。</w:t>
            </w:r>
          </w:p>
          <w:p>
            <w:pPr>
              <w:pStyle w:val="9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w:t>
            </w:r>
            <w:r>
              <w:rPr>
                <w:rFonts w:hint="eastAsia" w:eastAsia="宋体" w:cs="Times New Roman"/>
                <w:b/>
                <w:bCs/>
                <w:color w:val="auto"/>
                <w:sz w:val="21"/>
                <w:szCs w:val="21"/>
                <w:highlight w:val="none"/>
                <w:lang w:val="en-US" w:eastAsia="zh-CN"/>
              </w:rPr>
              <w:t>6</w:t>
            </w:r>
            <w:r>
              <w:rPr>
                <w:rFonts w:hint="eastAsia" w:ascii="Times New Roman" w:hAnsi="Times New Roman" w:eastAsia="宋体" w:cs="Times New Roman"/>
                <w:b/>
                <w:bCs/>
                <w:color w:val="auto"/>
                <w:sz w:val="21"/>
                <w:szCs w:val="21"/>
                <w:highlight w:val="none"/>
                <w:lang w:val="en-US" w:eastAsia="zh-CN"/>
              </w:rPr>
              <w:t xml:space="preserve"> 污染源非正常排放核算表</w:t>
            </w:r>
          </w:p>
          <w:tbl>
            <w:tblPr>
              <w:tblStyle w:val="29"/>
              <w:tblW w:w="913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107"/>
              <w:gridCol w:w="1602"/>
              <w:gridCol w:w="1076"/>
              <w:gridCol w:w="1851"/>
              <w:gridCol w:w="1480"/>
              <w:gridCol w:w="1038"/>
              <w:gridCol w:w="9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jc w:val="center"/>
              </w:trPr>
              <w:tc>
                <w:tcPr>
                  <w:tcW w:w="110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污染源</w:t>
                  </w:r>
                </w:p>
              </w:tc>
              <w:tc>
                <w:tcPr>
                  <w:tcW w:w="1602"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非正常排放原因</w:t>
                  </w:r>
                </w:p>
              </w:tc>
              <w:tc>
                <w:tcPr>
                  <w:tcW w:w="1076"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污染物</w:t>
                  </w:r>
                </w:p>
              </w:tc>
              <w:tc>
                <w:tcPr>
                  <w:tcW w:w="185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非正常排放浓度</w:t>
                  </w: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mg/m</w:t>
                  </w:r>
                  <w:r>
                    <w:rPr>
                      <w:rFonts w:hint="eastAsia" w:ascii="Times New Roman" w:hAnsi="Times New Roman" w:eastAsia="宋体" w:cs="Times New Roman"/>
                      <w:color w:val="auto"/>
                      <w:kern w:val="0"/>
                      <w:sz w:val="21"/>
                      <w:szCs w:val="21"/>
                      <w:highlight w:val="none"/>
                      <w:vertAlign w:val="superscript"/>
                      <w:lang w:val="en-US" w:eastAsia="zh-CN"/>
                    </w:rPr>
                    <w:t>3</w:t>
                  </w:r>
                  <w:r>
                    <w:rPr>
                      <w:rFonts w:hint="eastAsia" w:ascii="Times New Roman" w:hAnsi="Times New Roman" w:eastAsia="宋体" w:cs="Times New Roman"/>
                      <w:color w:val="auto"/>
                      <w:kern w:val="0"/>
                      <w:sz w:val="21"/>
                      <w:szCs w:val="21"/>
                      <w:highlight w:val="none"/>
                      <w:lang w:eastAsia="zh-CN"/>
                    </w:rPr>
                    <w:t>）</w:t>
                  </w:r>
                </w:p>
              </w:tc>
              <w:tc>
                <w:tcPr>
                  <w:tcW w:w="148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单次持续时间（h）</w:t>
                  </w:r>
                </w:p>
              </w:tc>
              <w:tc>
                <w:tcPr>
                  <w:tcW w:w="1038"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年发生频次</w:t>
                  </w:r>
                </w:p>
              </w:tc>
              <w:tc>
                <w:tcPr>
                  <w:tcW w:w="97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90" w:hRule="atLeast"/>
                <w:jc w:val="center"/>
              </w:trPr>
              <w:tc>
                <w:tcPr>
                  <w:tcW w:w="1107" w:type="dxa"/>
                  <w:vMerge w:val="restart"/>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污水处理设施</w:t>
                  </w:r>
                </w:p>
              </w:tc>
              <w:tc>
                <w:tcPr>
                  <w:tcW w:w="1602" w:type="dxa"/>
                  <w:vMerge w:val="restart"/>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污水处理</w:t>
                  </w:r>
                  <w:r>
                    <w:rPr>
                      <w:rFonts w:hint="eastAsia" w:ascii="Times New Roman" w:hAnsi="Times New Roman" w:eastAsia="宋体" w:cs="Times New Roman"/>
                      <w:color w:val="auto"/>
                      <w:kern w:val="0"/>
                      <w:sz w:val="21"/>
                      <w:szCs w:val="21"/>
                      <w:highlight w:val="none"/>
                      <w:lang w:val="en-US" w:eastAsia="zh-CN"/>
                    </w:rPr>
                    <w:t>装置故障，去除效率降低至0%</w:t>
                  </w:r>
                </w:p>
              </w:tc>
              <w:tc>
                <w:tcPr>
                  <w:tcW w:w="1076" w:type="dxa"/>
                  <w:noWrap w:val="0"/>
                  <w:vAlign w:val="center"/>
                </w:tcPr>
                <w:p>
                  <w:pPr>
                    <w:pStyle w:val="74"/>
                    <w:adjustRightInd w:val="0"/>
                    <w:snapToGrid w:val="0"/>
                    <w:rPr>
                      <w:rFonts w:hint="eastAsia" w:ascii="Times New Roman" w:hAnsi="Times New Roman" w:eastAsia="宋体" w:cs="Times New Roman"/>
                      <w:i w:val="0"/>
                      <w:iCs w:val="0"/>
                      <w:color w:val="auto"/>
                      <w:kern w:val="2"/>
                      <w:sz w:val="21"/>
                      <w:szCs w:val="21"/>
                      <w:highlight w:val="none"/>
                      <w:lang w:val="en-US" w:eastAsia="zh-CN" w:bidi="ar-SA"/>
                    </w:rPr>
                  </w:pPr>
                  <w:r>
                    <w:rPr>
                      <w:i w:val="0"/>
                      <w:iCs w:val="0"/>
                      <w:color w:val="auto"/>
                      <w:sz w:val="21"/>
                      <w:szCs w:val="21"/>
                      <w:highlight w:val="none"/>
                    </w:rPr>
                    <w:t>COD</w:t>
                  </w:r>
                </w:p>
              </w:tc>
              <w:tc>
                <w:tcPr>
                  <w:tcW w:w="185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755.85 </w:t>
                  </w:r>
                </w:p>
              </w:tc>
              <w:tc>
                <w:tcPr>
                  <w:tcW w:w="1480" w:type="dxa"/>
                  <w:vMerge w:val="restar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0.5</w:t>
                  </w:r>
                </w:p>
              </w:tc>
              <w:tc>
                <w:tcPr>
                  <w:tcW w:w="1038" w:type="dxa"/>
                  <w:vMerge w:val="restart"/>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1</w:t>
                  </w:r>
                  <w:r>
                    <w:rPr>
                      <w:rFonts w:hint="eastAsia" w:ascii="Times New Roman" w:hAnsi="Times New Roman" w:eastAsia="宋体" w:cs="Times New Roman"/>
                      <w:color w:val="auto"/>
                      <w:kern w:val="0"/>
                      <w:sz w:val="21"/>
                      <w:szCs w:val="21"/>
                      <w:highlight w:val="none"/>
                      <w:lang w:val="en-US" w:eastAsia="zh-CN"/>
                    </w:rPr>
                    <w:t>次</w:t>
                  </w:r>
                </w:p>
              </w:tc>
              <w:tc>
                <w:tcPr>
                  <w:tcW w:w="977" w:type="dxa"/>
                  <w:vMerge w:val="restart"/>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加强日常</w:t>
                  </w:r>
                  <w:r>
                    <w:rPr>
                      <w:rFonts w:hint="eastAsia" w:cs="Times New Roman"/>
                      <w:color w:val="auto"/>
                      <w:kern w:val="0"/>
                      <w:sz w:val="21"/>
                      <w:szCs w:val="21"/>
                      <w:highlight w:val="none"/>
                      <w:lang w:val="en-US" w:eastAsia="zh-CN"/>
                    </w:rPr>
                    <w:t>巡视、</w:t>
                  </w:r>
                  <w:r>
                    <w:rPr>
                      <w:rFonts w:hint="eastAsia" w:ascii="Times New Roman" w:hAnsi="Times New Roman" w:eastAsia="宋体" w:cs="Times New Roman"/>
                      <w:color w:val="auto"/>
                      <w:kern w:val="0"/>
                      <w:sz w:val="21"/>
                      <w:szCs w:val="21"/>
                      <w:highlight w:val="none"/>
                      <w:lang w:val="en-US" w:eastAsia="zh-CN"/>
                    </w:rPr>
                    <w:t>检修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jc w:val="center"/>
              </w:trPr>
              <w:tc>
                <w:tcPr>
                  <w:tcW w:w="1107" w:type="dxa"/>
                  <w:vMerge w:val="continue"/>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1602" w:type="dxa"/>
                  <w:vMerge w:val="continue"/>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1076" w:type="dxa"/>
                  <w:noWrap w:val="0"/>
                  <w:vAlign w:val="center"/>
                </w:tcPr>
                <w:p>
                  <w:pPr>
                    <w:pStyle w:val="74"/>
                    <w:adjustRightInd w:val="0"/>
                    <w:snapToGrid w:val="0"/>
                    <w:rPr>
                      <w:rFonts w:hint="eastAsia" w:ascii="Times New Roman" w:hAnsi="Times New Roman" w:eastAsia="宋体" w:cs="Times New Roman"/>
                      <w:i w:val="0"/>
                      <w:iCs w:val="0"/>
                      <w:color w:val="auto"/>
                      <w:kern w:val="2"/>
                      <w:sz w:val="21"/>
                      <w:szCs w:val="21"/>
                      <w:highlight w:val="none"/>
                      <w:lang w:val="en-US" w:eastAsia="zh-CN" w:bidi="ar-SA"/>
                    </w:rPr>
                  </w:pPr>
                  <w:r>
                    <w:rPr>
                      <w:i w:val="0"/>
                      <w:iCs w:val="0"/>
                      <w:color w:val="auto"/>
                      <w:sz w:val="21"/>
                      <w:szCs w:val="21"/>
                      <w:highlight w:val="none"/>
                    </w:rPr>
                    <w:t>NH</w:t>
                  </w:r>
                  <w:r>
                    <w:rPr>
                      <w:i w:val="0"/>
                      <w:iCs w:val="0"/>
                      <w:color w:val="auto"/>
                      <w:sz w:val="21"/>
                      <w:szCs w:val="21"/>
                      <w:highlight w:val="none"/>
                      <w:vertAlign w:val="subscript"/>
                    </w:rPr>
                    <w:t>3</w:t>
                  </w:r>
                  <w:r>
                    <w:rPr>
                      <w:i w:val="0"/>
                      <w:iCs w:val="0"/>
                      <w:color w:val="auto"/>
                      <w:sz w:val="21"/>
                      <w:szCs w:val="21"/>
                      <w:highlight w:val="none"/>
                    </w:rPr>
                    <w:t>-N</w:t>
                  </w:r>
                </w:p>
              </w:tc>
              <w:tc>
                <w:tcPr>
                  <w:tcW w:w="185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15.78 </w:t>
                  </w:r>
                </w:p>
              </w:tc>
              <w:tc>
                <w:tcPr>
                  <w:tcW w:w="1480" w:type="dxa"/>
                  <w:vMerge w:val="continue"/>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1038" w:type="dxa"/>
                  <w:vMerge w:val="continue"/>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977" w:type="dxa"/>
                  <w:vMerge w:val="continue"/>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p>
              </w:tc>
            </w:tr>
          </w:tbl>
          <w:p>
            <w:pPr>
              <w:pStyle w:val="115"/>
              <w:autoSpaceDE w:val="0"/>
              <w:autoSpaceDN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（二）污染防治措施及可行性分析 </w:t>
            </w:r>
          </w:p>
          <w:p>
            <w:pPr>
              <w:pStyle w:val="115"/>
              <w:autoSpaceDE w:val="0"/>
              <w:autoSpaceDN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（1）废水污染防治措施</w:t>
            </w:r>
          </w:p>
          <w:p>
            <w:pPr>
              <w:pStyle w:val="115"/>
              <w:autoSpaceDE w:val="0"/>
              <w:autoSpaceDN w:val="0"/>
              <w:spacing w:line="360" w:lineRule="auto"/>
              <w:ind w:firstLine="480" w:firstLineChars="200"/>
              <w:jc w:val="both"/>
              <w:rPr>
                <w:rFonts w:hint="eastAsia"/>
                <w:bCs/>
                <w:color w:val="auto"/>
                <w:sz w:val="24"/>
                <w:highlight w:val="none"/>
              </w:rPr>
            </w:pPr>
            <w:r>
              <w:rPr>
                <w:rFonts w:hint="eastAsia"/>
                <w:bCs/>
                <w:color w:val="auto"/>
                <w:sz w:val="24"/>
                <w:highlight w:val="none"/>
                <w:lang w:val="en-US" w:eastAsia="zh-CN"/>
              </w:rPr>
              <w:t>本项目生产废水</w:t>
            </w:r>
            <w:r>
              <w:rPr>
                <w:rFonts w:hint="eastAsia"/>
                <w:bCs/>
                <w:color w:val="auto"/>
                <w:sz w:val="24"/>
                <w:highlight w:val="none"/>
                <w:lang w:eastAsia="zh-CN"/>
              </w:rPr>
              <w:t>经场内自建污水处理站处理</w:t>
            </w:r>
            <w:r>
              <w:rPr>
                <w:rFonts w:hint="eastAsia" w:ascii="Times New Roman" w:hAnsi="Times New Roman" w:eastAsia="宋体" w:cs="Times New Roman"/>
                <w:bCs/>
                <w:color w:val="auto"/>
                <w:sz w:val="24"/>
                <w:highlight w:val="none"/>
                <w:lang w:val="en-US" w:eastAsia="zh-CN"/>
              </w:rPr>
              <w:t>后</w:t>
            </w:r>
            <w:r>
              <w:rPr>
                <w:rFonts w:hint="eastAsia" w:cs="Times New Roman"/>
                <w:bCs/>
                <w:color w:val="auto"/>
                <w:sz w:val="24"/>
                <w:highlight w:val="none"/>
                <w:lang w:val="en-US" w:eastAsia="zh-CN"/>
              </w:rPr>
              <w:t>与生活污水经化粪池处理后，定期拉运至伊春市嘉荫县污水处理厂。</w:t>
            </w:r>
            <w:r>
              <w:rPr>
                <w:rFonts w:hint="eastAsia"/>
                <w:bCs/>
                <w:color w:val="auto"/>
                <w:sz w:val="24"/>
                <w:highlight w:val="none"/>
                <w:lang w:eastAsia="zh-CN"/>
              </w:rPr>
              <w:t>污水处理站</w:t>
            </w:r>
            <w:r>
              <w:rPr>
                <w:rFonts w:hint="eastAsia"/>
                <w:bCs/>
                <w:color w:val="auto"/>
                <w:sz w:val="24"/>
                <w:highlight w:val="none"/>
              </w:rPr>
              <w:t>处理工</w:t>
            </w:r>
            <w:r>
              <w:rPr>
                <w:rFonts w:hint="eastAsia" w:ascii="Times New Roman" w:hAnsi="Times New Roman" w:eastAsia="宋体" w:cs="Times New Roman"/>
                <w:bCs/>
                <w:color w:val="auto"/>
                <w:sz w:val="24"/>
                <w:highlight w:val="none"/>
                <w:lang w:eastAsia="zh-CN"/>
              </w:rPr>
              <w:t>艺为“</w:t>
            </w:r>
            <w:r>
              <w:rPr>
                <w:rFonts w:hint="eastAsia" w:ascii="Times New Roman" w:hAnsi="Times New Roman" w:eastAsia="宋体" w:cs="Times New Roman"/>
                <w:bCs/>
                <w:color w:val="auto"/>
                <w:sz w:val="24"/>
                <w:highlight w:val="none"/>
                <w:lang w:val="en-US" w:eastAsia="zh-CN"/>
              </w:rPr>
              <w:t>格栅+收集池+调节池+PAC+PAM+沉淀池</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处理能力为</w:t>
            </w:r>
            <w:r>
              <w:rPr>
                <w:rFonts w:hint="eastAsia" w:cs="Times New Roman"/>
                <w:bCs/>
                <w:color w:val="auto"/>
                <w:sz w:val="24"/>
                <w:highlight w:val="none"/>
                <w:lang w:val="en-US" w:eastAsia="zh-CN"/>
              </w:rPr>
              <w:t>10t/d</w:t>
            </w:r>
            <w:r>
              <w:rPr>
                <w:rFonts w:hint="eastAsia" w:ascii="Times New Roman" w:hAnsi="Times New Roman" w:eastAsia="宋体" w:cs="Times New Roman"/>
                <w:bCs/>
                <w:color w:val="auto"/>
                <w:sz w:val="24"/>
                <w:highlight w:val="none"/>
                <w:lang w:eastAsia="zh-CN"/>
              </w:rPr>
              <w:t>，</w:t>
            </w:r>
            <w:r>
              <w:rPr>
                <w:rFonts w:hint="eastAsia"/>
                <w:bCs/>
                <w:color w:val="auto"/>
                <w:sz w:val="24"/>
                <w:highlight w:val="none"/>
                <w:lang w:eastAsia="zh-CN"/>
              </w:rPr>
              <w:t>属于</w:t>
            </w:r>
            <w:r>
              <w:rPr>
                <w:rFonts w:hint="default" w:ascii="Times New Roman" w:hAnsi="Times New Roman" w:eastAsia="宋体" w:cs="Times New Roman"/>
                <w:b w:val="0"/>
                <w:bCs/>
                <w:color w:val="auto"/>
                <w:spacing w:val="-10"/>
                <w:sz w:val="24"/>
                <w:szCs w:val="24"/>
                <w:highlight w:val="none"/>
                <w:u w:val="none"/>
                <w:lang w:eastAsia="zh-CN"/>
              </w:rPr>
              <w:t>《排污许可证申请与核发技术规范 总则》（</w:t>
            </w:r>
            <w:r>
              <w:rPr>
                <w:rFonts w:hint="default" w:ascii="Times New Roman" w:hAnsi="Times New Roman" w:eastAsia="宋体" w:cs="Times New Roman"/>
                <w:b w:val="0"/>
                <w:bCs/>
                <w:color w:val="auto"/>
                <w:spacing w:val="-10"/>
                <w:sz w:val="24"/>
                <w:szCs w:val="24"/>
                <w:highlight w:val="none"/>
                <w:u w:val="none"/>
                <w:lang w:val="en-US" w:eastAsia="zh-CN"/>
              </w:rPr>
              <w:t>HJ942—2018</w:t>
            </w:r>
            <w:r>
              <w:rPr>
                <w:rFonts w:hint="default" w:ascii="Times New Roman" w:hAnsi="Times New Roman" w:eastAsia="宋体" w:cs="Times New Roman"/>
                <w:b w:val="0"/>
                <w:bCs/>
                <w:color w:val="auto"/>
                <w:spacing w:val="-10"/>
                <w:sz w:val="24"/>
                <w:szCs w:val="24"/>
                <w:highlight w:val="none"/>
                <w:u w:val="none"/>
                <w:lang w:eastAsia="zh-CN"/>
              </w:rPr>
              <w:t>）</w:t>
            </w:r>
            <w:r>
              <w:rPr>
                <w:rFonts w:hint="default" w:ascii="Times New Roman" w:hAnsi="Times New Roman" w:cs="Times New Roman"/>
                <w:bCs/>
                <w:color w:val="auto"/>
                <w:sz w:val="24"/>
                <w:szCs w:val="24"/>
                <w:highlight w:val="none"/>
              </w:rPr>
              <w:t>中的</w:t>
            </w:r>
            <w:r>
              <w:rPr>
                <w:rFonts w:hint="eastAsia" w:ascii="Times New Roman" w:hAnsi="Times New Roman" w:cs="Times New Roman"/>
                <w:bCs/>
                <w:color w:val="auto"/>
                <w:sz w:val="24"/>
                <w:szCs w:val="24"/>
                <w:highlight w:val="none"/>
                <w:lang w:eastAsia="zh-CN"/>
              </w:rPr>
              <w:t>可行技术。</w:t>
            </w:r>
          </w:p>
          <w:p>
            <w:pPr>
              <w:pStyle w:val="115"/>
              <w:autoSpaceDE w:val="0"/>
              <w:autoSpaceDN w:val="0"/>
              <w:spacing w:line="360" w:lineRule="auto"/>
              <w:ind w:firstLine="480" w:firstLineChars="200"/>
              <w:jc w:val="both"/>
              <w:rPr>
                <w:rFonts w:hint="default" w:ascii="Times New Roman" w:hAnsi="Times New Roman" w:eastAsia="宋体" w:cs="Times New Roman"/>
                <w:iCs w:val="0"/>
                <w:color w:val="auto"/>
                <w:kern w:val="2"/>
                <w:sz w:val="24"/>
                <w:szCs w:val="24"/>
                <w:highlight w:val="none"/>
                <w:lang w:val="en-US" w:eastAsia="zh-CN" w:bidi="ar-SA"/>
              </w:rPr>
            </w:pPr>
            <w:r>
              <w:rPr>
                <w:rFonts w:hint="default" w:ascii="Times New Roman" w:hAnsi="Times New Roman" w:eastAsia="宋体" w:cs="Times New Roman"/>
                <w:iCs w:val="0"/>
                <w:color w:val="auto"/>
                <w:kern w:val="2"/>
                <w:sz w:val="24"/>
                <w:szCs w:val="24"/>
                <w:highlight w:val="none"/>
                <w:lang w:val="en-US" w:eastAsia="zh-CN" w:bidi="ar-SA"/>
              </w:rPr>
              <w:t>（2）依托</w:t>
            </w:r>
            <w:r>
              <w:rPr>
                <w:rFonts w:hint="eastAsia" w:cs="Times New Roman"/>
                <w:iCs w:val="0"/>
                <w:color w:val="auto"/>
                <w:kern w:val="2"/>
                <w:sz w:val="24"/>
                <w:szCs w:val="24"/>
                <w:highlight w:val="none"/>
                <w:lang w:val="en-US" w:eastAsia="zh-CN" w:bidi="ar-SA"/>
              </w:rPr>
              <w:t>伊春市嘉荫县污水处理厂</w:t>
            </w:r>
            <w:r>
              <w:rPr>
                <w:rFonts w:hint="default" w:ascii="Times New Roman" w:hAnsi="Times New Roman" w:eastAsia="宋体" w:cs="Times New Roman"/>
                <w:iCs w:val="0"/>
                <w:color w:val="auto"/>
                <w:kern w:val="2"/>
                <w:sz w:val="24"/>
                <w:szCs w:val="24"/>
                <w:highlight w:val="none"/>
                <w:lang w:val="en-US" w:eastAsia="zh-CN" w:bidi="ar-SA"/>
              </w:rPr>
              <w:t>处理本工程污水可行性分析</w:t>
            </w:r>
            <w:r>
              <w:rPr>
                <w:rFonts w:hint="eastAsia" w:ascii="Times New Roman" w:hAnsi="Times New Roman" w:eastAsia="宋体" w:cs="Times New Roman"/>
                <w:iCs w:val="0"/>
                <w:color w:val="auto"/>
                <w:kern w:val="2"/>
                <w:sz w:val="24"/>
                <w:szCs w:val="24"/>
                <w:highlight w:val="none"/>
                <w:lang w:val="en-US" w:eastAsia="zh-CN" w:bidi="ar-SA"/>
              </w:rPr>
              <w:t>：</w:t>
            </w:r>
          </w:p>
          <w:p>
            <w:pPr>
              <w:spacing w:line="360" w:lineRule="auto"/>
              <w:ind w:firstLine="480" w:firstLineChars="200"/>
              <w:rPr>
                <w:rFonts w:hint="default" w:ascii="Times New Roman" w:hAnsi="Times New Roman" w:eastAsia="宋体" w:cs="Times New Roman"/>
                <w:b w:val="0"/>
                <w:bCs w:val="0"/>
                <w:color w:val="auto"/>
                <w:sz w:val="24"/>
                <w:szCs w:val="24"/>
                <w:highlight w:val="none"/>
                <w:lang w:eastAsia="zh-CN"/>
              </w:rPr>
            </w:pPr>
            <w:r>
              <w:rPr>
                <w:rFonts w:hint="eastAsia" w:ascii="Times New Roman" w:hAnsi="Times New Roman" w:eastAsia="宋体" w:cs="Times New Roman"/>
                <w:snapToGrid w:val="0"/>
                <w:color w:val="auto"/>
                <w:sz w:val="24"/>
                <w:szCs w:val="24"/>
                <w:highlight w:val="none"/>
                <w:lang w:val="en-US" w:eastAsia="zh-CN"/>
              </w:rPr>
              <w:t>嘉荫县污水处理厂位于黑龙江省伊春市嘉荫县东南侧，污水处理工艺为EBIS工艺，设计处理能力6000m</w:t>
            </w:r>
            <w:r>
              <w:rPr>
                <w:rFonts w:hint="eastAsia" w:ascii="Times New Roman" w:hAnsi="Times New Roman" w:eastAsia="宋体" w:cs="Times New Roman"/>
                <w:snapToGrid w:val="0"/>
                <w:color w:val="auto"/>
                <w:sz w:val="24"/>
                <w:szCs w:val="24"/>
                <w:highlight w:val="none"/>
                <w:vertAlign w:val="superscript"/>
                <w:lang w:val="en-US" w:eastAsia="zh-CN"/>
              </w:rPr>
              <w:t>3</w:t>
            </w:r>
            <w:r>
              <w:rPr>
                <w:rFonts w:hint="eastAsia" w:ascii="Times New Roman" w:hAnsi="Times New Roman" w:eastAsia="宋体" w:cs="Times New Roman"/>
                <w:snapToGrid w:val="0"/>
                <w:color w:val="auto"/>
                <w:sz w:val="24"/>
                <w:szCs w:val="24"/>
                <w:highlight w:val="none"/>
                <w:lang w:val="en-US" w:eastAsia="zh-CN"/>
              </w:rPr>
              <w:t>/d，执行《城镇污水处理污染物排放标准》GB 18918-2002表1中一级A标准，嘉荫县污水处理厂入水指标为COD≤300mg/L，氨氮≤25mg/L，BOD</w:t>
            </w:r>
            <w:r>
              <w:rPr>
                <w:rFonts w:hint="eastAsia" w:ascii="Times New Roman" w:hAnsi="Times New Roman" w:eastAsia="宋体" w:cs="Times New Roman"/>
                <w:snapToGrid w:val="0"/>
                <w:color w:val="auto"/>
                <w:sz w:val="24"/>
                <w:szCs w:val="24"/>
                <w:highlight w:val="none"/>
                <w:vertAlign w:val="subscript"/>
                <w:lang w:val="en-US" w:eastAsia="zh-CN"/>
              </w:rPr>
              <w:t>5</w:t>
            </w:r>
            <w:r>
              <w:rPr>
                <w:rFonts w:hint="eastAsia" w:ascii="Times New Roman" w:hAnsi="Times New Roman" w:eastAsia="宋体" w:cs="Times New Roman"/>
                <w:snapToGrid w:val="0"/>
                <w:color w:val="auto"/>
                <w:sz w:val="24"/>
                <w:szCs w:val="24"/>
                <w:highlight w:val="none"/>
                <w:lang w:val="en-US" w:eastAsia="zh-CN"/>
              </w:rPr>
              <w:t>≤150mg/L，SS≤250mg/L，总磷≤5mg/L，pH值6-9。</w:t>
            </w:r>
            <w:r>
              <w:rPr>
                <w:rFonts w:hint="default" w:ascii="Times New Roman" w:hAnsi="Times New Roman" w:eastAsia="宋体" w:cs="Times New Roman"/>
                <w:b w:val="0"/>
                <w:bCs w:val="0"/>
                <w:color w:val="auto"/>
                <w:sz w:val="24"/>
                <w:szCs w:val="24"/>
                <w:highlight w:val="none"/>
                <w:lang w:val="en-US" w:eastAsia="zh-CN"/>
              </w:rPr>
              <w:t>本项目污水排水量为</w:t>
            </w:r>
            <w:r>
              <w:rPr>
                <w:rFonts w:hint="eastAsia" w:cs="Times New Roman"/>
                <w:b w:val="0"/>
                <w:bCs w:val="0"/>
                <w:color w:val="auto"/>
                <w:sz w:val="24"/>
                <w:szCs w:val="24"/>
                <w:highlight w:val="none"/>
                <w:lang w:val="en-US" w:eastAsia="zh-CN"/>
              </w:rPr>
              <w:t>3.592</w:t>
            </w:r>
            <w:r>
              <w:rPr>
                <w:rFonts w:hint="default" w:ascii="Times New Roman" w:hAnsi="Times New Roman" w:eastAsia="宋体" w:cs="Times New Roman"/>
                <w:b w:val="0"/>
                <w:bCs w:val="0"/>
                <w:color w:val="auto"/>
                <w:sz w:val="24"/>
                <w:szCs w:val="24"/>
                <w:highlight w:val="none"/>
                <w:lang w:val="en-US" w:eastAsia="zh-CN"/>
              </w:rPr>
              <w:t>t/d，水质简单易于处理达标，</w:t>
            </w:r>
            <w:r>
              <w:rPr>
                <w:rFonts w:hint="eastAsia" w:ascii="Times New Roman" w:hAnsi="Times New Roman" w:eastAsia="宋体" w:cs="Times New Roman"/>
                <w:b w:val="0"/>
                <w:bCs w:val="0"/>
                <w:color w:val="auto"/>
                <w:sz w:val="24"/>
                <w:szCs w:val="24"/>
                <w:highlight w:val="none"/>
                <w:lang w:val="en-US" w:eastAsia="zh-CN"/>
              </w:rPr>
              <w:t>排放浓度满足《食品加工制造业水污染物排放标准》（GB46817—2025）间接排放标准</w:t>
            </w:r>
            <w:r>
              <w:rPr>
                <w:rFonts w:hint="eastAsia" w:ascii="Times New Roman" w:hAnsi="Times New Roman" w:eastAsia="宋体" w:cs="Times New Roman"/>
                <w:color w:val="auto"/>
                <w:kern w:val="0"/>
                <w:sz w:val="24"/>
                <w:szCs w:val="24"/>
                <w:highlight w:val="none"/>
                <w:lang w:val="en-US" w:eastAsia="zh-CN"/>
              </w:rPr>
              <w:t>要求同时满足嘉荫县污水处理厂入水指标，</w:t>
            </w:r>
            <w:r>
              <w:rPr>
                <w:rFonts w:hint="default" w:ascii="Times New Roman" w:hAnsi="Times New Roman" w:eastAsia="宋体" w:cs="Times New Roman"/>
                <w:b w:val="0"/>
                <w:bCs w:val="0"/>
                <w:color w:val="auto"/>
                <w:sz w:val="24"/>
                <w:szCs w:val="24"/>
                <w:highlight w:val="none"/>
                <w:lang w:val="en-US" w:eastAsia="zh-CN"/>
              </w:rPr>
              <w:t>不会对污水处理厂带来较大冲击。因此，项目污水排入</w:t>
            </w:r>
            <w:r>
              <w:rPr>
                <w:rFonts w:hint="eastAsia" w:ascii="Times New Roman" w:hAnsi="Times New Roman" w:eastAsia="宋体" w:cs="Times New Roman"/>
                <w:snapToGrid w:val="0"/>
                <w:color w:val="auto"/>
                <w:sz w:val="24"/>
                <w:szCs w:val="24"/>
                <w:highlight w:val="none"/>
                <w:lang w:val="en-US" w:eastAsia="zh-CN"/>
              </w:rPr>
              <w:t>嘉荫县污水处理厂</w:t>
            </w:r>
            <w:r>
              <w:rPr>
                <w:rFonts w:hint="default" w:ascii="Times New Roman" w:hAnsi="Times New Roman" w:eastAsia="宋体" w:cs="Times New Roman"/>
                <w:b w:val="0"/>
                <w:bCs w:val="0"/>
                <w:color w:val="auto"/>
                <w:sz w:val="24"/>
                <w:szCs w:val="24"/>
                <w:highlight w:val="none"/>
                <w:lang w:val="en-US" w:eastAsia="zh-CN"/>
              </w:rPr>
              <w:t>可行。</w:t>
            </w:r>
          </w:p>
          <w:p>
            <w:pPr>
              <w:pStyle w:val="27"/>
              <w:snapToGrid/>
              <w:spacing w:before="0" w:after="0" w:line="360" w:lineRule="auto"/>
              <w:ind w:left="0" w:leftChars="0" w:right="0" w:firstLine="0" w:firstLineChars="0"/>
              <w:rPr>
                <w:b/>
                <w:bCs/>
                <w:color w:val="auto"/>
                <w:sz w:val="24"/>
                <w:szCs w:val="24"/>
              </w:rPr>
            </w:pPr>
            <w:r>
              <w:rPr>
                <w:b/>
                <w:bCs/>
                <w:color w:val="auto"/>
                <w:sz w:val="24"/>
                <w:szCs w:val="24"/>
              </w:rPr>
              <w:t>二、废气</w:t>
            </w:r>
          </w:p>
          <w:p>
            <w:pPr>
              <w:pStyle w:val="90"/>
              <w:spacing w:line="360" w:lineRule="auto"/>
              <w:ind w:firstLine="480"/>
              <w:rPr>
                <w:rFonts w:ascii="Times New Roman" w:hAnsi="Times New Roman"/>
                <w:color w:val="auto"/>
                <w:sz w:val="24"/>
                <w:szCs w:val="24"/>
                <w:highlight w:val="none"/>
              </w:rPr>
            </w:pPr>
            <w:r>
              <w:rPr>
                <w:rFonts w:hint="eastAsia"/>
                <w:color w:val="auto"/>
                <w:sz w:val="24"/>
                <w:szCs w:val="24"/>
                <w:highlight w:val="none"/>
              </w:rPr>
              <w:t>（一）源强核算及达标排放情况</w:t>
            </w:r>
          </w:p>
          <w:p>
            <w:pPr>
              <w:spacing w:line="360" w:lineRule="auto"/>
              <w:ind w:firstLine="480"/>
              <w:rPr>
                <w:rFonts w:hint="default" w:eastAsia="宋体"/>
                <w:color w:val="auto"/>
                <w:sz w:val="24"/>
                <w:szCs w:val="24"/>
                <w:highlight w:val="none"/>
                <w:lang w:val="en-US" w:eastAsia="zh-CN"/>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szCs w:val="24"/>
                <w:highlight w:val="none"/>
                <w:lang w:val="en-US" w:eastAsia="zh-CN"/>
              </w:rPr>
              <w:t>正常工况</w:t>
            </w:r>
          </w:p>
          <w:p>
            <w:pPr>
              <w:pStyle w:val="113"/>
              <w:spacing w:line="360" w:lineRule="auto"/>
              <w:ind w:firstLine="48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运行期产生的废气</w:t>
            </w:r>
            <w:r>
              <w:rPr>
                <w:rFonts w:hint="eastAsia" w:cs="Times New Roman"/>
                <w:color w:val="auto"/>
                <w:sz w:val="24"/>
                <w:szCs w:val="24"/>
                <w:highlight w:val="none"/>
                <w:lang w:val="en-US" w:eastAsia="zh-CN"/>
              </w:rPr>
              <w:t>主要是</w:t>
            </w:r>
            <w:r>
              <w:rPr>
                <w:rFonts w:hint="eastAsia"/>
                <w:bCs/>
                <w:color w:val="auto"/>
              </w:rPr>
              <w:t>污水处理设施在进行污水处理</w:t>
            </w:r>
            <w:r>
              <w:rPr>
                <w:rFonts w:hint="eastAsia"/>
                <w:bCs/>
                <w:color w:val="auto"/>
                <w:lang w:eastAsia="zh-CN"/>
              </w:rPr>
              <w:t>时</w:t>
            </w:r>
            <w:r>
              <w:rPr>
                <w:rFonts w:hint="eastAsia"/>
                <w:bCs/>
                <w:color w:val="auto"/>
              </w:rPr>
              <w:t>产生</w:t>
            </w:r>
            <w:r>
              <w:rPr>
                <w:rFonts w:hint="eastAsia"/>
                <w:bCs/>
                <w:color w:val="auto"/>
                <w:lang w:eastAsia="zh-CN"/>
              </w:rPr>
              <w:t>的恶臭</w:t>
            </w:r>
            <w:r>
              <w:rPr>
                <w:rFonts w:hint="eastAsia"/>
                <w:bCs/>
                <w:color w:val="auto"/>
              </w:rPr>
              <w:t>气体</w:t>
            </w:r>
            <w:r>
              <w:rPr>
                <w:rFonts w:hint="eastAsia" w:ascii="Times New Roman" w:hAnsi="Times New Roman" w:eastAsia="宋体" w:cs="Times New Roman"/>
                <w:color w:val="auto"/>
                <w:sz w:val="24"/>
                <w:szCs w:val="24"/>
                <w:highlight w:val="none"/>
                <w:lang w:val="en-US" w:eastAsia="zh-CN"/>
              </w:rPr>
              <w:t>。</w:t>
            </w:r>
          </w:p>
          <w:p>
            <w:pPr>
              <w:pStyle w:val="75"/>
              <w:spacing w:line="360" w:lineRule="auto"/>
              <w:ind w:firstLine="482"/>
              <w:rPr>
                <w:bCs/>
                <w:color w:val="auto"/>
              </w:rPr>
            </w:pPr>
            <w:r>
              <w:rPr>
                <w:rFonts w:hint="eastAsia"/>
                <w:bCs/>
                <w:color w:val="auto"/>
              </w:rPr>
              <w:t>项目污水处理设施在进行污水处理时会产生恶臭气体，恶臭气体是一种无组织排放的多成分混合气体，主要成分为硫化氢、氨、臭气浓度，且对人感官刺激强烈。</w:t>
            </w:r>
          </w:p>
          <w:p>
            <w:pPr>
              <w:pStyle w:val="75"/>
              <w:spacing w:line="360" w:lineRule="auto"/>
              <w:ind w:firstLine="482"/>
              <w:rPr>
                <w:rFonts w:hint="eastAsia"/>
                <w:bCs/>
                <w:color w:val="auto"/>
                <w:highlight w:val="none"/>
              </w:rPr>
            </w:pPr>
            <w:r>
              <w:rPr>
                <w:rFonts w:hint="eastAsia"/>
                <w:bCs/>
                <w:color w:val="auto"/>
              </w:rPr>
              <w:t>本项目污水处理设施恶臭气体产生量类比美国</w:t>
            </w:r>
            <w:r>
              <w:rPr>
                <w:bCs/>
                <w:color w:val="auto"/>
              </w:rPr>
              <w:t>EPA对城市污水处理厂恶臭污染物产生情况的研究，每处理1gBOD</w:t>
            </w:r>
            <w:r>
              <w:rPr>
                <w:bCs/>
                <w:color w:val="auto"/>
                <w:vertAlign w:val="subscript"/>
              </w:rPr>
              <w:t>5</w:t>
            </w:r>
            <w:r>
              <w:rPr>
                <w:bCs/>
                <w:color w:val="auto"/>
              </w:rPr>
              <w:t>可产生0.0031gNH</w:t>
            </w:r>
            <w:r>
              <w:rPr>
                <w:bCs/>
                <w:color w:val="auto"/>
                <w:vertAlign w:val="subscript"/>
              </w:rPr>
              <w:t>3</w:t>
            </w:r>
            <w:r>
              <w:rPr>
                <w:bCs/>
                <w:color w:val="auto"/>
              </w:rPr>
              <w:t>和0.00012gH</w:t>
            </w:r>
            <w:r>
              <w:rPr>
                <w:bCs/>
                <w:color w:val="auto"/>
                <w:vertAlign w:val="subscript"/>
              </w:rPr>
              <w:t>2</w:t>
            </w:r>
            <w:r>
              <w:rPr>
                <w:bCs/>
                <w:color w:val="auto"/>
              </w:rPr>
              <w:t>S</w:t>
            </w:r>
            <w:r>
              <w:rPr>
                <w:bCs/>
                <w:color w:val="auto"/>
                <w:highlight w:val="none"/>
              </w:rPr>
              <w:t>，</w:t>
            </w:r>
            <w:r>
              <w:rPr>
                <w:rFonts w:hint="eastAsia" w:ascii="Times New Roman" w:hAnsi="Times New Roman" w:eastAsia="宋体" w:cs="Times New Roman"/>
                <w:bCs/>
                <w:color w:val="auto"/>
                <w:spacing w:val="0"/>
                <w:position w:val="0"/>
                <w:szCs w:val="21"/>
                <w:highlight w:val="none"/>
                <w:lang w:eastAsia="zh-CN"/>
              </w:rPr>
              <w:t>本项目</w:t>
            </w:r>
            <w:r>
              <w:rPr>
                <w:rFonts w:hint="eastAsia" w:cs="Times New Roman"/>
                <w:bCs/>
                <w:color w:val="auto"/>
                <w:spacing w:val="0"/>
                <w:position w:val="0"/>
                <w:szCs w:val="21"/>
                <w:highlight w:val="none"/>
                <w:lang w:val="en-US" w:eastAsia="zh-CN"/>
              </w:rPr>
              <w:t>进入污水处理站的</w:t>
            </w:r>
            <w:r>
              <w:rPr>
                <w:rFonts w:hint="eastAsia" w:ascii="Times New Roman" w:hAnsi="Times New Roman" w:eastAsia="宋体" w:cs="Times New Roman"/>
                <w:bCs/>
                <w:color w:val="auto"/>
                <w:spacing w:val="0"/>
                <w:position w:val="0"/>
                <w:szCs w:val="21"/>
                <w:highlight w:val="none"/>
                <w:lang w:eastAsia="zh-CN"/>
              </w:rPr>
              <w:t>废水量为</w:t>
            </w:r>
            <w:r>
              <w:rPr>
                <w:rFonts w:hint="eastAsia" w:cs="Times New Roman"/>
                <w:bCs/>
                <w:color w:val="auto"/>
                <w:spacing w:val="0"/>
                <w:position w:val="0"/>
                <w:szCs w:val="21"/>
                <w:highlight w:val="none"/>
                <w:lang w:val="en-US" w:eastAsia="zh-CN"/>
              </w:rPr>
              <w:t>196.32</w:t>
            </w:r>
            <w:r>
              <w:rPr>
                <w:rFonts w:hint="eastAsia" w:ascii="Times New Roman" w:hAnsi="Times New Roman" w:eastAsia="宋体" w:cs="Times New Roman"/>
                <w:bCs/>
                <w:color w:val="auto"/>
                <w:spacing w:val="0"/>
                <w:position w:val="0"/>
                <w:szCs w:val="21"/>
                <w:highlight w:val="none"/>
                <w:lang w:eastAsia="zh-CN"/>
              </w:rPr>
              <w:t>m</w:t>
            </w:r>
            <w:r>
              <w:rPr>
                <w:rFonts w:hint="eastAsia" w:ascii="Times New Roman" w:hAnsi="Times New Roman" w:eastAsia="宋体" w:cs="Times New Roman"/>
                <w:bCs/>
                <w:color w:val="auto"/>
                <w:spacing w:val="0"/>
                <w:position w:val="0"/>
                <w:szCs w:val="21"/>
                <w:highlight w:val="none"/>
                <w:vertAlign w:val="superscript"/>
                <w:lang w:eastAsia="zh-CN"/>
              </w:rPr>
              <w:t>3</w:t>
            </w:r>
            <w:r>
              <w:rPr>
                <w:rFonts w:hint="eastAsia" w:ascii="Times New Roman" w:hAnsi="Times New Roman" w:eastAsia="宋体" w:cs="Times New Roman"/>
                <w:bCs/>
                <w:color w:val="auto"/>
                <w:spacing w:val="0"/>
                <w:position w:val="0"/>
                <w:szCs w:val="21"/>
                <w:highlight w:val="none"/>
                <w:lang w:eastAsia="zh-CN"/>
              </w:rPr>
              <w:t>/</w:t>
            </w:r>
            <w:r>
              <w:rPr>
                <w:rFonts w:hint="eastAsia" w:cs="Times New Roman"/>
                <w:bCs/>
                <w:color w:val="auto"/>
                <w:spacing w:val="0"/>
                <w:position w:val="0"/>
                <w:szCs w:val="21"/>
                <w:highlight w:val="none"/>
                <w:lang w:val="en-US" w:eastAsia="zh-CN"/>
              </w:rPr>
              <w:t>a</w:t>
            </w:r>
            <w:r>
              <w:rPr>
                <w:rFonts w:hint="eastAsia" w:ascii="Times New Roman" w:hAnsi="Times New Roman" w:eastAsia="宋体" w:cs="Times New Roman"/>
                <w:bCs/>
                <w:color w:val="auto"/>
                <w:spacing w:val="0"/>
                <w:position w:val="0"/>
                <w:szCs w:val="21"/>
                <w:highlight w:val="none"/>
                <w:lang w:eastAsia="zh-CN"/>
              </w:rPr>
              <w:t>，共处理BOD</w:t>
            </w:r>
            <w:r>
              <w:rPr>
                <w:rFonts w:hint="eastAsia" w:ascii="Times New Roman" w:hAnsi="Times New Roman" w:eastAsia="宋体" w:cs="Times New Roman"/>
                <w:bCs/>
                <w:color w:val="auto"/>
                <w:spacing w:val="0"/>
                <w:position w:val="0"/>
                <w:szCs w:val="21"/>
                <w:highlight w:val="none"/>
                <w:vertAlign w:val="subscript"/>
                <w:lang w:eastAsia="zh-CN"/>
              </w:rPr>
              <w:t>5</w:t>
            </w:r>
            <w:r>
              <w:rPr>
                <w:rFonts w:hint="eastAsia" w:cs="Times New Roman"/>
                <w:bCs/>
                <w:color w:val="auto"/>
                <w:spacing w:val="0"/>
                <w:position w:val="0"/>
                <w:szCs w:val="21"/>
                <w:highlight w:val="none"/>
                <w:lang w:val="en-US" w:eastAsia="zh-CN"/>
              </w:rPr>
              <w:t>0.035</w:t>
            </w:r>
            <w:r>
              <w:rPr>
                <w:rFonts w:hint="eastAsia" w:ascii="Times New Roman" w:hAnsi="Times New Roman" w:cs="Times New Roman"/>
                <w:bCs/>
                <w:color w:val="auto"/>
                <w:spacing w:val="0"/>
                <w:position w:val="0"/>
                <w:szCs w:val="21"/>
                <w:highlight w:val="none"/>
                <w:lang w:val="en-US" w:eastAsia="zh-CN"/>
              </w:rPr>
              <w:t>t/a</w:t>
            </w:r>
            <w:r>
              <w:rPr>
                <w:rFonts w:hint="eastAsia" w:ascii="Times New Roman" w:hAnsi="Times New Roman" w:eastAsia="宋体" w:cs="Times New Roman"/>
                <w:bCs/>
                <w:color w:val="auto"/>
                <w:spacing w:val="0"/>
                <w:position w:val="0"/>
                <w:szCs w:val="21"/>
                <w:highlight w:val="none"/>
                <w:lang w:eastAsia="zh-CN"/>
              </w:rPr>
              <w:t>，由此可计算出本项目NH</w:t>
            </w:r>
            <w:r>
              <w:rPr>
                <w:rFonts w:hint="eastAsia" w:ascii="Times New Roman" w:hAnsi="Times New Roman" w:eastAsia="宋体" w:cs="Times New Roman"/>
                <w:bCs/>
                <w:color w:val="auto"/>
                <w:spacing w:val="0"/>
                <w:position w:val="0"/>
                <w:szCs w:val="21"/>
                <w:highlight w:val="none"/>
                <w:vertAlign w:val="subscript"/>
                <w:lang w:eastAsia="zh-CN"/>
              </w:rPr>
              <w:t>3</w:t>
            </w:r>
            <w:r>
              <w:rPr>
                <w:rFonts w:hint="eastAsia" w:ascii="Times New Roman" w:hAnsi="Times New Roman" w:eastAsia="宋体" w:cs="Times New Roman"/>
                <w:bCs/>
                <w:color w:val="auto"/>
                <w:spacing w:val="0"/>
                <w:position w:val="0"/>
                <w:szCs w:val="21"/>
                <w:highlight w:val="none"/>
                <w:lang w:eastAsia="zh-CN"/>
              </w:rPr>
              <w:t>产生量为</w:t>
            </w:r>
            <w:r>
              <w:rPr>
                <w:rFonts w:hint="eastAsia" w:cs="Times New Roman"/>
                <w:bCs/>
                <w:color w:val="auto"/>
                <w:spacing w:val="0"/>
                <w:position w:val="0"/>
                <w:szCs w:val="21"/>
                <w:highlight w:val="none"/>
                <w:lang w:val="en-US" w:eastAsia="zh-CN"/>
              </w:rPr>
              <w:t>1.085×10</w:t>
            </w:r>
            <w:r>
              <w:rPr>
                <w:rFonts w:hint="eastAsia" w:cs="Times New Roman"/>
                <w:bCs/>
                <w:color w:val="auto"/>
                <w:spacing w:val="0"/>
                <w:position w:val="0"/>
                <w:szCs w:val="21"/>
                <w:highlight w:val="none"/>
                <w:vertAlign w:val="superscript"/>
                <w:lang w:val="en-US" w:eastAsia="zh-CN"/>
              </w:rPr>
              <w:t>-4</w:t>
            </w:r>
            <w:r>
              <w:rPr>
                <w:rFonts w:hint="eastAsia" w:ascii="Times New Roman" w:hAnsi="Times New Roman" w:cs="Times New Roman"/>
                <w:bCs/>
                <w:color w:val="auto"/>
                <w:spacing w:val="0"/>
                <w:position w:val="0"/>
                <w:szCs w:val="21"/>
                <w:highlight w:val="none"/>
                <w:lang w:val="en-US" w:eastAsia="zh-CN"/>
              </w:rPr>
              <w:t>t/a</w:t>
            </w:r>
            <w:r>
              <w:rPr>
                <w:rFonts w:hint="eastAsia" w:ascii="Times New Roman" w:hAnsi="Times New Roman" w:eastAsia="宋体" w:cs="Times New Roman"/>
                <w:bCs/>
                <w:color w:val="auto"/>
                <w:spacing w:val="0"/>
                <w:position w:val="0"/>
                <w:szCs w:val="21"/>
                <w:highlight w:val="none"/>
                <w:lang w:eastAsia="zh-CN"/>
              </w:rPr>
              <w:t>，H</w:t>
            </w:r>
            <w:r>
              <w:rPr>
                <w:rFonts w:hint="eastAsia" w:ascii="Times New Roman" w:hAnsi="Times New Roman" w:eastAsia="宋体" w:cs="Times New Roman"/>
                <w:bCs/>
                <w:color w:val="auto"/>
                <w:spacing w:val="0"/>
                <w:position w:val="0"/>
                <w:szCs w:val="21"/>
                <w:highlight w:val="none"/>
                <w:vertAlign w:val="subscript"/>
                <w:lang w:eastAsia="zh-CN"/>
              </w:rPr>
              <w:t>2</w:t>
            </w:r>
            <w:r>
              <w:rPr>
                <w:rFonts w:hint="eastAsia" w:ascii="Times New Roman" w:hAnsi="Times New Roman" w:eastAsia="宋体" w:cs="Times New Roman"/>
                <w:bCs/>
                <w:color w:val="auto"/>
                <w:spacing w:val="0"/>
                <w:position w:val="0"/>
                <w:szCs w:val="21"/>
                <w:highlight w:val="none"/>
                <w:lang w:eastAsia="zh-CN"/>
              </w:rPr>
              <w:t>S产生量为</w:t>
            </w:r>
            <w:r>
              <w:rPr>
                <w:rFonts w:hint="eastAsia" w:cs="Times New Roman"/>
                <w:bCs/>
                <w:color w:val="auto"/>
                <w:spacing w:val="0"/>
                <w:position w:val="0"/>
                <w:szCs w:val="21"/>
                <w:highlight w:val="none"/>
                <w:lang w:val="en-US" w:eastAsia="zh-CN"/>
              </w:rPr>
              <w:t>4.2×10</w:t>
            </w:r>
            <w:r>
              <w:rPr>
                <w:rFonts w:hint="eastAsia" w:cs="Times New Roman"/>
                <w:bCs/>
                <w:color w:val="auto"/>
                <w:spacing w:val="0"/>
                <w:position w:val="0"/>
                <w:szCs w:val="21"/>
                <w:highlight w:val="none"/>
                <w:vertAlign w:val="superscript"/>
                <w:lang w:val="en-US" w:eastAsia="zh-CN"/>
              </w:rPr>
              <w:t>-6</w:t>
            </w:r>
            <w:r>
              <w:rPr>
                <w:rFonts w:hint="eastAsia" w:ascii="Times New Roman" w:hAnsi="Times New Roman" w:eastAsia="宋体" w:cs="Times New Roman"/>
                <w:bCs/>
                <w:color w:val="auto"/>
                <w:spacing w:val="0"/>
                <w:position w:val="0"/>
                <w:szCs w:val="21"/>
                <w:highlight w:val="none"/>
                <w:lang w:val="en-US" w:eastAsia="zh-CN"/>
              </w:rPr>
              <w:t>/a</w:t>
            </w:r>
            <w:r>
              <w:rPr>
                <w:rFonts w:hint="eastAsia"/>
                <w:bCs/>
                <w:color w:val="auto"/>
                <w:highlight w:val="none"/>
              </w:rPr>
              <w:t>。由于各池体进行全封闭，</w:t>
            </w:r>
            <w:r>
              <w:rPr>
                <w:rFonts w:hint="eastAsia"/>
                <w:bCs/>
                <w:color w:val="auto"/>
                <w:highlight w:val="none"/>
                <w:lang w:val="en-US" w:eastAsia="zh-CN"/>
              </w:rPr>
              <w:t>本项目风机风量为2000m</w:t>
            </w:r>
            <w:r>
              <w:rPr>
                <w:rFonts w:hint="eastAsia"/>
                <w:bCs/>
                <w:color w:val="auto"/>
                <w:highlight w:val="none"/>
                <w:vertAlign w:val="superscript"/>
                <w:lang w:val="en-US" w:eastAsia="zh-CN"/>
              </w:rPr>
              <w:t>3</w:t>
            </w:r>
            <w:r>
              <w:rPr>
                <w:rFonts w:hint="eastAsia"/>
                <w:bCs/>
                <w:color w:val="auto"/>
                <w:highlight w:val="none"/>
                <w:lang w:val="en-US" w:eastAsia="zh-CN"/>
              </w:rPr>
              <w:t>/h，</w:t>
            </w:r>
            <w:r>
              <w:rPr>
                <w:rFonts w:hint="eastAsia"/>
                <w:bCs/>
                <w:color w:val="auto"/>
                <w:highlight w:val="none"/>
              </w:rPr>
              <w:t>产生的恶臭气体经风机集气</w:t>
            </w:r>
            <w:r>
              <w:rPr>
                <w:rFonts w:hint="eastAsia"/>
                <w:color w:val="auto"/>
                <w:szCs w:val="21"/>
                <w:highlight w:val="none"/>
              </w:rPr>
              <w:t>活性炭吸附（</w:t>
            </w:r>
            <w:r>
              <w:rPr>
                <w:rFonts w:hint="eastAsia"/>
                <w:color w:val="auto"/>
                <w:sz w:val="24"/>
                <w:szCs w:val="24"/>
                <w:highlight w:val="none"/>
                <w:lang w:val="en-US" w:eastAsia="zh-CN"/>
              </w:rPr>
              <w:t>本次环评集气效率按95%，</w:t>
            </w:r>
            <w:r>
              <w:rPr>
                <w:rFonts w:hint="eastAsia"/>
                <w:color w:val="auto"/>
                <w:szCs w:val="21"/>
                <w:highlight w:val="none"/>
              </w:rPr>
              <w:t>去除效率90</w:t>
            </w:r>
            <w:r>
              <w:rPr>
                <w:color w:val="auto"/>
                <w:szCs w:val="21"/>
                <w:highlight w:val="none"/>
              </w:rPr>
              <w:t>%</w:t>
            </w:r>
            <w:r>
              <w:rPr>
                <w:rFonts w:hint="eastAsia"/>
                <w:color w:val="auto"/>
                <w:sz w:val="24"/>
                <w:szCs w:val="24"/>
                <w:highlight w:val="none"/>
                <w:lang w:val="en-US" w:eastAsia="zh-CN"/>
              </w:rPr>
              <w:t>进行计算</w:t>
            </w:r>
            <w:r>
              <w:rPr>
                <w:color w:val="auto"/>
                <w:szCs w:val="21"/>
                <w:highlight w:val="none"/>
              </w:rPr>
              <w:t>）</w:t>
            </w:r>
            <w:r>
              <w:rPr>
                <w:rFonts w:hint="eastAsia"/>
                <w:color w:val="auto"/>
                <w:szCs w:val="21"/>
                <w:highlight w:val="none"/>
              </w:rPr>
              <w:t>后</w:t>
            </w:r>
            <w:r>
              <w:rPr>
                <w:rFonts w:hint="eastAsia"/>
                <w:bCs/>
                <w:color w:val="auto"/>
                <w:highlight w:val="none"/>
              </w:rPr>
              <w:t>经15m高排气筒排放，废气排放得到有效控制，</w:t>
            </w:r>
            <w:r>
              <w:rPr>
                <w:rFonts w:hint="eastAsia"/>
                <w:bCs/>
                <w:color w:val="auto"/>
                <w:highlight w:val="none"/>
                <w:lang w:val="en-US" w:eastAsia="zh-CN"/>
              </w:rPr>
              <w:t>有组织</w:t>
            </w:r>
            <w:r>
              <w:rPr>
                <w:rFonts w:hint="eastAsia"/>
                <w:bCs/>
                <w:color w:val="auto"/>
                <w:highlight w:val="none"/>
              </w:rPr>
              <w:t>氨</w:t>
            </w:r>
            <w:r>
              <w:rPr>
                <w:rFonts w:hint="eastAsia"/>
                <w:bCs/>
                <w:color w:val="auto"/>
                <w:highlight w:val="none"/>
                <w:lang w:val="en-US" w:eastAsia="zh-CN"/>
              </w:rPr>
              <w:t>产生量为1.031</w:t>
            </w:r>
            <w:r>
              <w:rPr>
                <w:rFonts w:hint="eastAsia" w:cs="Times New Roman"/>
                <w:bCs/>
                <w:color w:val="auto"/>
                <w:spacing w:val="0"/>
                <w:position w:val="0"/>
                <w:szCs w:val="21"/>
                <w:highlight w:val="none"/>
                <w:lang w:val="en-US" w:eastAsia="zh-CN"/>
              </w:rPr>
              <w:t>×10</w:t>
            </w:r>
            <w:r>
              <w:rPr>
                <w:rFonts w:hint="eastAsia" w:cs="Times New Roman"/>
                <w:bCs/>
                <w:color w:val="auto"/>
                <w:spacing w:val="0"/>
                <w:position w:val="0"/>
                <w:szCs w:val="21"/>
                <w:highlight w:val="none"/>
                <w:vertAlign w:val="superscript"/>
                <w:lang w:val="en-US" w:eastAsia="zh-CN"/>
              </w:rPr>
              <w:t>-4</w:t>
            </w:r>
            <w:r>
              <w:rPr>
                <w:rFonts w:hint="eastAsia"/>
                <w:bCs/>
                <w:color w:val="auto"/>
                <w:highlight w:val="none"/>
                <w:lang w:val="en-US" w:eastAsia="zh-CN"/>
              </w:rPr>
              <w:t>t/a</w:t>
            </w:r>
            <w:r>
              <w:rPr>
                <w:rFonts w:hint="eastAsia"/>
                <w:bCs/>
                <w:color w:val="auto"/>
                <w:highlight w:val="none"/>
              </w:rPr>
              <w:t>（</w:t>
            </w:r>
            <w:r>
              <w:rPr>
                <w:rFonts w:hint="eastAsia"/>
                <w:bCs/>
                <w:color w:val="auto"/>
                <w:highlight w:val="none"/>
                <w:lang w:val="en-US" w:eastAsia="zh-CN"/>
              </w:rPr>
              <w:t>1.718</w:t>
            </w:r>
            <w:r>
              <w:rPr>
                <w:rFonts w:hint="eastAsia" w:cs="Times New Roman"/>
                <w:bCs/>
                <w:color w:val="auto"/>
                <w:spacing w:val="0"/>
                <w:position w:val="0"/>
                <w:szCs w:val="21"/>
                <w:highlight w:val="none"/>
                <w:lang w:val="en-US" w:eastAsia="zh-CN"/>
              </w:rPr>
              <w:t>×10</w:t>
            </w:r>
            <w:r>
              <w:rPr>
                <w:rFonts w:hint="eastAsia" w:cs="Times New Roman"/>
                <w:bCs/>
                <w:color w:val="auto"/>
                <w:spacing w:val="0"/>
                <w:position w:val="0"/>
                <w:szCs w:val="21"/>
                <w:highlight w:val="none"/>
                <w:vertAlign w:val="superscript"/>
                <w:lang w:val="en-US" w:eastAsia="zh-CN"/>
              </w:rPr>
              <w:t>-4</w:t>
            </w:r>
            <w:r>
              <w:rPr>
                <w:bCs/>
                <w:color w:val="auto"/>
                <w:highlight w:val="none"/>
              </w:rPr>
              <w:t>kg</w:t>
            </w:r>
            <w:r>
              <w:rPr>
                <w:rFonts w:hint="eastAsia"/>
                <w:bCs/>
                <w:color w:val="auto"/>
                <w:highlight w:val="none"/>
              </w:rPr>
              <w:t>/</w:t>
            </w:r>
            <w:r>
              <w:rPr>
                <w:bCs/>
                <w:color w:val="auto"/>
                <w:highlight w:val="none"/>
              </w:rPr>
              <w:t>h）</w:t>
            </w:r>
            <w:r>
              <w:rPr>
                <w:rFonts w:hint="eastAsia"/>
                <w:bCs/>
                <w:color w:val="auto"/>
                <w:highlight w:val="none"/>
              </w:rPr>
              <w:t>，</w:t>
            </w:r>
            <w:r>
              <w:rPr>
                <w:rFonts w:hint="eastAsia"/>
                <w:bCs/>
                <w:color w:val="auto"/>
                <w:highlight w:val="none"/>
                <w:lang w:val="en-US" w:eastAsia="zh-CN"/>
              </w:rPr>
              <w:t>产生浓度为0.0859mg/m</w:t>
            </w:r>
            <w:r>
              <w:rPr>
                <w:rFonts w:hint="eastAsia"/>
                <w:bCs/>
                <w:color w:val="auto"/>
                <w:highlight w:val="none"/>
                <w:vertAlign w:val="superscript"/>
                <w:lang w:val="en-US" w:eastAsia="zh-CN"/>
              </w:rPr>
              <w:t>3</w:t>
            </w:r>
            <w:r>
              <w:rPr>
                <w:rFonts w:hint="eastAsia"/>
                <w:bCs/>
                <w:color w:val="auto"/>
                <w:highlight w:val="none"/>
                <w:lang w:val="en-US" w:eastAsia="zh-CN"/>
              </w:rPr>
              <w:t>，</w:t>
            </w:r>
            <w:r>
              <w:rPr>
                <w:rFonts w:hint="eastAsia"/>
                <w:bCs/>
                <w:color w:val="auto"/>
                <w:highlight w:val="none"/>
              </w:rPr>
              <w:t>硫化氢</w:t>
            </w:r>
            <w:r>
              <w:rPr>
                <w:rFonts w:hint="eastAsia"/>
                <w:bCs/>
                <w:color w:val="auto"/>
                <w:highlight w:val="none"/>
                <w:lang w:val="en-US" w:eastAsia="zh-CN"/>
              </w:rPr>
              <w:t>产生量为3.99</w:t>
            </w:r>
            <w:r>
              <w:rPr>
                <w:rFonts w:hint="eastAsia" w:cs="Times New Roman"/>
                <w:bCs/>
                <w:color w:val="auto"/>
                <w:spacing w:val="0"/>
                <w:position w:val="0"/>
                <w:szCs w:val="21"/>
                <w:highlight w:val="none"/>
                <w:lang w:val="en-US" w:eastAsia="zh-CN"/>
              </w:rPr>
              <w:t>×10</w:t>
            </w:r>
            <w:r>
              <w:rPr>
                <w:rFonts w:hint="eastAsia" w:cs="Times New Roman"/>
                <w:bCs/>
                <w:color w:val="auto"/>
                <w:spacing w:val="0"/>
                <w:position w:val="0"/>
                <w:szCs w:val="21"/>
                <w:highlight w:val="none"/>
                <w:vertAlign w:val="superscript"/>
                <w:lang w:val="en-US" w:eastAsia="zh-CN"/>
              </w:rPr>
              <w:t>-6</w:t>
            </w:r>
            <w:r>
              <w:rPr>
                <w:rFonts w:hint="eastAsia"/>
                <w:bCs/>
                <w:color w:val="auto"/>
                <w:highlight w:val="none"/>
              </w:rPr>
              <w:t>t/a</w:t>
            </w:r>
            <w:r>
              <w:rPr>
                <w:rFonts w:hint="eastAsia"/>
                <w:bCs/>
                <w:color w:val="auto"/>
                <w:highlight w:val="none"/>
                <w:lang w:eastAsia="zh-CN"/>
              </w:rPr>
              <w:t>（</w:t>
            </w:r>
            <w:r>
              <w:rPr>
                <w:rFonts w:hint="eastAsia"/>
                <w:bCs/>
                <w:color w:val="auto"/>
                <w:highlight w:val="none"/>
                <w:lang w:val="en-US" w:eastAsia="zh-CN"/>
              </w:rPr>
              <w:t>6.65</w:t>
            </w:r>
            <w:r>
              <w:rPr>
                <w:rFonts w:hint="eastAsia" w:cs="Times New Roman"/>
                <w:bCs/>
                <w:color w:val="auto"/>
                <w:spacing w:val="0"/>
                <w:position w:val="0"/>
                <w:szCs w:val="21"/>
                <w:highlight w:val="none"/>
                <w:lang w:val="en-US" w:eastAsia="zh-CN"/>
              </w:rPr>
              <w:t>×10</w:t>
            </w:r>
            <w:r>
              <w:rPr>
                <w:rFonts w:hint="eastAsia" w:cs="Times New Roman"/>
                <w:bCs/>
                <w:color w:val="auto"/>
                <w:spacing w:val="0"/>
                <w:position w:val="0"/>
                <w:szCs w:val="21"/>
                <w:highlight w:val="none"/>
                <w:vertAlign w:val="superscript"/>
                <w:lang w:val="en-US" w:eastAsia="zh-CN"/>
              </w:rPr>
              <w:t>-6</w:t>
            </w:r>
            <w:r>
              <w:rPr>
                <w:bCs/>
                <w:color w:val="auto"/>
                <w:highlight w:val="none"/>
              </w:rPr>
              <w:t>kg</w:t>
            </w:r>
            <w:r>
              <w:rPr>
                <w:rFonts w:hint="eastAsia"/>
                <w:bCs/>
                <w:color w:val="auto"/>
                <w:highlight w:val="none"/>
              </w:rPr>
              <w:t>/</w:t>
            </w:r>
            <w:r>
              <w:rPr>
                <w:bCs/>
                <w:color w:val="auto"/>
                <w:highlight w:val="none"/>
              </w:rPr>
              <w:t>h）</w:t>
            </w:r>
            <w:r>
              <w:rPr>
                <w:rFonts w:hint="eastAsia"/>
                <w:bCs/>
                <w:color w:val="auto"/>
                <w:highlight w:val="none"/>
                <w:lang w:eastAsia="zh-CN"/>
              </w:rPr>
              <w:t>，</w:t>
            </w:r>
            <w:r>
              <w:rPr>
                <w:rFonts w:hint="eastAsia"/>
                <w:bCs/>
                <w:color w:val="auto"/>
                <w:highlight w:val="none"/>
                <w:lang w:val="en-US" w:eastAsia="zh-CN"/>
              </w:rPr>
              <w:t>产生浓度为0.0033mg/m</w:t>
            </w:r>
            <w:r>
              <w:rPr>
                <w:rFonts w:hint="eastAsia"/>
                <w:bCs/>
                <w:color w:val="auto"/>
                <w:highlight w:val="none"/>
                <w:vertAlign w:val="superscript"/>
                <w:lang w:val="en-US" w:eastAsia="zh-CN"/>
              </w:rPr>
              <w:t>3</w:t>
            </w:r>
            <w:r>
              <w:rPr>
                <w:rFonts w:hint="eastAsia"/>
                <w:bCs/>
                <w:color w:val="auto"/>
                <w:highlight w:val="none"/>
              </w:rPr>
              <w:t>。</w:t>
            </w:r>
            <w:r>
              <w:rPr>
                <w:rFonts w:hint="eastAsia"/>
                <w:bCs/>
                <w:color w:val="auto"/>
                <w:highlight w:val="none"/>
                <w:lang w:val="en-US" w:eastAsia="zh-CN"/>
              </w:rPr>
              <w:t>有组织</w:t>
            </w:r>
            <w:r>
              <w:rPr>
                <w:rFonts w:hint="eastAsia"/>
                <w:bCs/>
                <w:color w:val="auto"/>
                <w:highlight w:val="none"/>
              </w:rPr>
              <w:t>氨</w:t>
            </w:r>
            <w:r>
              <w:rPr>
                <w:rFonts w:hint="eastAsia"/>
                <w:bCs/>
                <w:color w:val="auto"/>
                <w:highlight w:val="none"/>
                <w:lang w:val="en-US" w:eastAsia="zh-CN"/>
              </w:rPr>
              <w:t>排放量为1.031</w:t>
            </w:r>
            <w:r>
              <w:rPr>
                <w:rFonts w:hint="eastAsia" w:cs="Times New Roman"/>
                <w:bCs/>
                <w:color w:val="auto"/>
                <w:spacing w:val="0"/>
                <w:position w:val="0"/>
                <w:szCs w:val="21"/>
                <w:highlight w:val="none"/>
                <w:lang w:val="en-US" w:eastAsia="zh-CN"/>
              </w:rPr>
              <w:t>×10</w:t>
            </w:r>
            <w:r>
              <w:rPr>
                <w:rFonts w:hint="eastAsia" w:cs="Times New Roman"/>
                <w:bCs/>
                <w:color w:val="auto"/>
                <w:spacing w:val="0"/>
                <w:position w:val="0"/>
                <w:szCs w:val="21"/>
                <w:highlight w:val="none"/>
                <w:vertAlign w:val="superscript"/>
                <w:lang w:val="en-US" w:eastAsia="zh-CN"/>
              </w:rPr>
              <w:t>-5</w:t>
            </w:r>
            <w:r>
              <w:rPr>
                <w:rFonts w:hint="eastAsia"/>
                <w:bCs/>
                <w:color w:val="auto"/>
                <w:highlight w:val="none"/>
                <w:lang w:val="en-US" w:eastAsia="zh-CN"/>
              </w:rPr>
              <w:t>t/a</w:t>
            </w:r>
            <w:r>
              <w:rPr>
                <w:rFonts w:hint="eastAsia"/>
                <w:bCs/>
                <w:color w:val="auto"/>
                <w:highlight w:val="none"/>
              </w:rPr>
              <w:t>（</w:t>
            </w:r>
            <w:r>
              <w:rPr>
                <w:rFonts w:hint="eastAsia"/>
                <w:bCs/>
                <w:color w:val="auto"/>
                <w:highlight w:val="none"/>
                <w:lang w:val="en-US" w:eastAsia="zh-CN"/>
              </w:rPr>
              <w:t>1.718</w:t>
            </w:r>
            <w:r>
              <w:rPr>
                <w:rFonts w:hint="eastAsia" w:cs="Times New Roman"/>
                <w:bCs/>
                <w:color w:val="auto"/>
                <w:spacing w:val="0"/>
                <w:position w:val="0"/>
                <w:szCs w:val="21"/>
                <w:highlight w:val="none"/>
                <w:lang w:val="en-US" w:eastAsia="zh-CN"/>
              </w:rPr>
              <w:t>×10</w:t>
            </w:r>
            <w:r>
              <w:rPr>
                <w:rFonts w:hint="eastAsia" w:cs="Times New Roman"/>
                <w:bCs/>
                <w:color w:val="auto"/>
                <w:spacing w:val="0"/>
                <w:position w:val="0"/>
                <w:szCs w:val="21"/>
                <w:highlight w:val="none"/>
                <w:vertAlign w:val="superscript"/>
                <w:lang w:val="en-US" w:eastAsia="zh-CN"/>
              </w:rPr>
              <w:t>-5</w:t>
            </w:r>
            <w:r>
              <w:rPr>
                <w:bCs/>
                <w:color w:val="auto"/>
                <w:highlight w:val="none"/>
              </w:rPr>
              <w:t>kg</w:t>
            </w:r>
            <w:r>
              <w:rPr>
                <w:rFonts w:hint="eastAsia"/>
                <w:bCs/>
                <w:color w:val="auto"/>
                <w:highlight w:val="none"/>
              </w:rPr>
              <w:t>/</w:t>
            </w:r>
            <w:r>
              <w:rPr>
                <w:bCs/>
                <w:color w:val="auto"/>
                <w:highlight w:val="none"/>
              </w:rPr>
              <w:t>h）</w:t>
            </w:r>
            <w:r>
              <w:rPr>
                <w:rFonts w:hint="eastAsia"/>
                <w:bCs/>
                <w:color w:val="auto"/>
                <w:highlight w:val="none"/>
              </w:rPr>
              <w:t>，</w:t>
            </w:r>
            <w:r>
              <w:rPr>
                <w:rFonts w:hint="eastAsia"/>
                <w:bCs/>
                <w:color w:val="auto"/>
                <w:highlight w:val="none"/>
                <w:lang w:val="en-US" w:eastAsia="zh-CN"/>
              </w:rPr>
              <w:t>排放浓度为0.0086mg/m</w:t>
            </w:r>
            <w:r>
              <w:rPr>
                <w:rFonts w:hint="eastAsia"/>
                <w:bCs/>
                <w:color w:val="auto"/>
                <w:highlight w:val="none"/>
                <w:vertAlign w:val="superscript"/>
                <w:lang w:val="en-US" w:eastAsia="zh-CN"/>
              </w:rPr>
              <w:t>3</w:t>
            </w:r>
            <w:r>
              <w:rPr>
                <w:rFonts w:hint="eastAsia"/>
                <w:bCs/>
                <w:color w:val="auto"/>
                <w:highlight w:val="none"/>
                <w:lang w:val="en-US" w:eastAsia="zh-CN"/>
              </w:rPr>
              <w:t>，</w:t>
            </w:r>
            <w:r>
              <w:rPr>
                <w:rFonts w:hint="eastAsia"/>
                <w:bCs/>
                <w:color w:val="auto"/>
                <w:highlight w:val="none"/>
              </w:rPr>
              <w:t>硫化氢</w:t>
            </w:r>
            <w:r>
              <w:rPr>
                <w:rFonts w:hint="eastAsia"/>
                <w:bCs/>
                <w:color w:val="auto"/>
                <w:highlight w:val="none"/>
                <w:lang w:val="en-US" w:eastAsia="zh-CN"/>
              </w:rPr>
              <w:t>排放量为3.99</w:t>
            </w:r>
            <w:r>
              <w:rPr>
                <w:rFonts w:hint="eastAsia" w:cs="Times New Roman"/>
                <w:bCs/>
                <w:color w:val="auto"/>
                <w:spacing w:val="0"/>
                <w:position w:val="0"/>
                <w:szCs w:val="21"/>
                <w:highlight w:val="none"/>
                <w:lang w:val="en-US" w:eastAsia="zh-CN"/>
              </w:rPr>
              <w:t>×10</w:t>
            </w:r>
            <w:r>
              <w:rPr>
                <w:rFonts w:hint="eastAsia" w:cs="Times New Roman"/>
                <w:bCs/>
                <w:color w:val="auto"/>
                <w:spacing w:val="0"/>
                <w:position w:val="0"/>
                <w:szCs w:val="21"/>
                <w:highlight w:val="none"/>
                <w:vertAlign w:val="superscript"/>
                <w:lang w:val="en-US" w:eastAsia="zh-CN"/>
              </w:rPr>
              <w:t>-7</w:t>
            </w:r>
            <w:r>
              <w:rPr>
                <w:rFonts w:hint="eastAsia"/>
                <w:bCs/>
                <w:color w:val="auto"/>
                <w:highlight w:val="none"/>
              </w:rPr>
              <w:t>t/a（</w:t>
            </w:r>
            <w:r>
              <w:rPr>
                <w:rFonts w:hint="eastAsia"/>
                <w:bCs/>
                <w:color w:val="auto"/>
                <w:highlight w:val="none"/>
                <w:lang w:val="en-US" w:eastAsia="zh-CN"/>
              </w:rPr>
              <w:t>6.65</w:t>
            </w:r>
            <w:r>
              <w:rPr>
                <w:rFonts w:hint="eastAsia" w:cs="Times New Roman"/>
                <w:bCs/>
                <w:color w:val="auto"/>
                <w:spacing w:val="0"/>
                <w:position w:val="0"/>
                <w:szCs w:val="21"/>
                <w:highlight w:val="none"/>
                <w:lang w:val="en-US" w:eastAsia="zh-CN"/>
              </w:rPr>
              <w:t>×10</w:t>
            </w:r>
            <w:r>
              <w:rPr>
                <w:rFonts w:hint="eastAsia" w:cs="Times New Roman"/>
                <w:bCs/>
                <w:color w:val="auto"/>
                <w:spacing w:val="0"/>
                <w:position w:val="0"/>
                <w:szCs w:val="21"/>
                <w:highlight w:val="none"/>
                <w:vertAlign w:val="superscript"/>
                <w:lang w:val="en-US" w:eastAsia="zh-CN"/>
              </w:rPr>
              <w:t>-7</w:t>
            </w:r>
            <w:r>
              <w:rPr>
                <w:bCs/>
                <w:color w:val="auto"/>
                <w:highlight w:val="none"/>
              </w:rPr>
              <w:t>kg</w:t>
            </w:r>
            <w:r>
              <w:rPr>
                <w:rFonts w:hint="eastAsia"/>
                <w:bCs/>
                <w:color w:val="auto"/>
                <w:highlight w:val="none"/>
              </w:rPr>
              <w:t>/</w:t>
            </w:r>
            <w:r>
              <w:rPr>
                <w:bCs/>
                <w:color w:val="auto"/>
                <w:highlight w:val="none"/>
              </w:rPr>
              <w:t>h）</w:t>
            </w:r>
            <w:r>
              <w:rPr>
                <w:rFonts w:hint="eastAsia"/>
                <w:bCs/>
                <w:color w:val="auto"/>
                <w:highlight w:val="none"/>
                <w:lang w:eastAsia="zh-CN"/>
              </w:rPr>
              <w:t>，</w:t>
            </w:r>
            <w:r>
              <w:rPr>
                <w:rFonts w:hint="eastAsia"/>
                <w:bCs/>
                <w:color w:val="auto"/>
                <w:highlight w:val="none"/>
                <w:lang w:val="en-US" w:eastAsia="zh-CN"/>
              </w:rPr>
              <w:t>排放浓度为0.0003mg/m</w:t>
            </w:r>
            <w:r>
              <w:rPr>
                <w:rFonts w:hint="eastAsia"/>
                <w:bCs/>
                <w:color w:val="auto"/>
                <w:highlight w:val="none"/>
                <w:vertAlign w:val="superscript"/>
                <w:lang w:val="en-US" w:eastAsia="zh-CN"/>
              </w:rPr>
              <w:t>3</w:t>
            </w:r>
            <w:r>
              <w:rPr>
                <w:rFonts w:hint="eastAsia"/>
                <w:bCs/>
                <w:color w:val="auto"/>
                <w:highlight w:val="none"/>
              </w:rPr>
              <w:t>。</w:t>
            </w:r>
            <w:r>
              <w:rPr>
                <w:rFonts w:hint="eastAsia"/>
                <w:bCs/>
                <w:color w:val="auto"/>
                <w:highlight w:val="none"/>
                <w:lang w:val="en-US" w:eastAsia="zh-CN"/>
              </w:rPr>
              <w:t>无组织</w:t>
            </w:r>
            <w:r>
              <w:rPr>
                <w:rFonts w:hint="eastAsia"/>
                <w:bCs/>
                <w:color w:val="auto"/>
                <w:highlight w:val="none"/>
              </w:rPr>
              <w:t>氨</w:t>
            </w:r>
            <w:r>
              <w:rPr>
                <w:rFonts w:hint="eastAsia"/>
                <w:bCs/>
                <w:color w:val="auto"/>
                <w:highlight w:val="none"/>
                <w:lang w:val="en-US" w:eastAsia="zh-CN"/>
              </w:rPr>
              <w:t>排放量为5.425</w:t>
            </w:r>
            <w:r>
              <w:rPr>
                <w:rFonts w:hint="eastAsia" w:cs="Times New Roman"/>
                <w:bCs/>
                <w:color w:val="auto"/>
                <w:spacing w:val="0"/>
                <w:position w:val="0"/>
                <w:szCs w:val="21"/>
                <w:highlight w:val="none"/>
                <w:lang w:val="en-US" w:eastAsia="zh-CN"/>
              </w:rPr>
              <w:t>×10</w:t>
            </w:r>
            <w:r>
              <w:rPr>
                <w:rFonts w:hint="eastAsia" w:cs="Times New Roman"/>
                <w:bCs/>
                <w:color w:val="auto"/>
                <w:spacing w:val="0"/>
                <w:position w:val="0"/>
                <w:szCs w:val="21"/>
                <w:highlight w:val="none"/>
                <w:vertAlign w:val="superscript"/>
                <w:lang w:val="en-US" w:eastAsia="zh-CN"/>
              </w:rPr>
              <w:t>-6</w:t>
            </w:r>
            <w:r>
              <w:rPr>
                <w:rFonts w:hint="eastAsia"/>
                <w:bCs/>
                <w:color w:val="auto"/>
                <w:highlight w:val="none"/>
                <w:lang w:val="en-US" w:eastAsia="zh-CN"/>
              </w:rPr>
              <w:t>t/a</w:t>
            </w:r>
            <w:r>
              <w:rPr>
                <w:rFonts w:hint="eastAsia"/>
                <w:bCs/>
                <w:color w:val="auto"/>
                <w:highlight w:val="none"/>
              </w:rPr>
              <w:t>（</w:t>
            </w:r>
            <w:r>
              <w:rPr>
                <w:rFonts w:hint="eastAsia"/>
                <w:bCs/>
                <w:color w:val="auto"/>
                <w:highlight w:val="none"/>
                <w:lang w:val="en-US" w:eastAsia="zh-CN"/>
              </w:rPr>
              <w:t>9.042</w:t>
            </w:r>
            <w:r>
              <w:rPr>
                <w:rFonts w:hint="eastAsia" w:cs="Times New Roman"/>
                <w:bCs/>
                <w:color w:val="auto"/>
                <w:spacing w:val="0"/>
                <w:position w:val="0"/>
                <w:szCs w:val="21"/>
                <w:highlight w:val="none"/>
                <w:lang w:val="en-US" w:eastAsia="zh-CN"/>
              </w:rPr>
              <w:t>×10</w:t>
            </w:r>
            <w:r>
              <w:rPr>
                <w:rFonts w:hint="eastAsia" w:cs="Times New Roman"/>
                <w:bCs/>
                <w:color w:val="auto"/>
                <w:spacing w:val="0"/>
                <w:position w:val="0"/>
                <w:szCs w:val="21"/>
                <w:highlight w:val="none"/>
                <w:vertAlign w:val="superscript"/>
                <w:lang w:val="en-US" w:eastAsia="zh-CN"/>
              </w:rPr>
              <w:t>-6</w:t>
            </w:r>
            <w:r>
              <w:rPr>
                <w:bCs/>
                <w:color w:val="auto"/>
                <w:highlight w:val="none"/>
              </w:rPr>
              <w:t>kg</w:t>
            </w:r>
            <w:r>
              <w:rPr>
                <w:rFonts w:hint="eastAsia"/>
                <w:bCs/>
                <w:color w:val="auto"/>
                <w:highlight w:val="none"/>
              </w:rPr>
              <w:t>/</w:t>
            </w:r>
            <w:r>
              <w:rPr>
                <w:bCs/>
                <w:color w:val="auto"/>
                <w:highlight w:val="none"/>
              </w:rPr>
              <w:t>h）</w:t>
            </w:r>
            <w:r>
              <w:rPr>
                <w:rFonts w:hint="eastAsia"/>
                <w:bCs/>
                <w:color w:val="auto"/>
                <w:highlight w:val="none"/>
              </w:rPr>
              <w:t>，硫化氢</w:t>
            </w:r>
            <w:r>
              <w:rPr>
                <w:rFonts w:hint="eastAsia"/>
                <w:bCs/>
                <w:color w:val="auto"/>
                <w:highlight w:val="none"/>
                <w:lang w:val="en-US" w:eastAsia="zh-CN"/>
              </w:rPr>
              <w:t>2.1</w:t>
            </w:r>
            <w:r>
              <w:rPr>
                <w:rFonts w:hint="eastAsia" w:cs="Times New Roman"/>
                <w:bCs/>
                <w:color w:val="auto"/>
                <w:spacing w:val="0"/>
                <w:position w:val="0"/>
                <w:szCs w:val="21"/>
                <w:highlight w:val="none"/>
                <w:lang w:val="en-US" w:eastAsia="zh-CN"/>
              </w:rPr>
              <w:t>×10</w:t>
            </w:r>
            <w:r>
              <w:rPr>
                <w:rFonts w:hint="eastAsia" w:cs="Times New Roman"/>
                <w:bCs/>
                <w:color w:val="auto"/>
                <w:spacing w:val="0"/>
                <w:position w:val="0"/>
                <w:szCs w:val="21"/>
                <w:highlight w:val="none"/>
                <w:vertAlign w:val="superscript"/>
                <w:lang w:val="en-US" w:eastAsia="zh-CN"/>
              </w:rPr>
              <w:t>-7</w:t>
            </w:r>
            <w:r>
              <w:rPr>
                <w:rFonts w:hint="eastAsia"/>
                <w:bCs/>
                <w:color w:val="auto"/>
                <w:highlight w:val="none"/>
              </w:rPr>
              <w:t>t/a（</w:t>
            </w:r>
            <w:r>
              <w:rPr>
                <w:rFonts w:hint="eastAsia"/>
                <w:bCs/>
                <w:color w:val="auto"/>
                <w:highlight w:val="none"/>
                <w:lang w:val="en-US" w:eastAsia="zh-CN"/>
              </w:rPr>
              <w:t>3.5</w:t>
            </w:r>
            <w:r>
              <w:rPr>
                <w:rFonts w:hint="eastAsia" w:cs="Times New Roman"/>
                <w:bCs/>
                <w:color w:val="auto"/>
                <w:spacing w:val="0"/>
                <w:position w:val="0"/>
                <w:szCs w:val="21"/>
                <w:highlight w:val="none"/>
                <w:lang w:val="en-US" w:eastAsia="zh-CN"/>
              </w:rPr>
              <w:t>×10</w:t>
            </w:r>
            <w:r>
              <w:rPr>
                <w:rFonts w:hint="eastAsia" w:cs="Times New Roman"/>
                <w:bCs/>
                <w:color w:val="auto"/>
                <w:spacing w:val="0"/>
                <w:position w:val="0"/>
                <w:szCs w:val="21"/>
                <w:highlight w:val="none"/>
                <w:vertAlign w:val="superscript"/>
                <w:lang w:val="en-US" w:eastAsia="zh-CN"/>
              </w:rPr>
              <w:t>-7</w:t>
            </w:r>
            <w:r>
              <w:rPr>
                <w:bCs/>
                <w:color w:val="auto"/>
                <w:highlight w:val="none"/>
              </w:rPr>
              <w:t>kg</w:t>
            </w:r>
            <w:r>
              <w:rPr>
                <w:rFonts w:hint="eastAsia"/>
                <w:bCs/>
                <w:color w:val="auto"/>
                <w:highlight w:val="none"/>
              </w:rPr>
              <w:t>/</w:t>
            </w:r>
            <w:r>
              <w:rPr>
                <w:bCs/>
                <w:color w:val="auto"/>
                <w:highlight w:val="none"/>
              </w:rPr>
              <w:t>h）</w:t>
            </w:r>
            <w:r>
              <w:rPr>
                <w:rFonts w:hint="eastAsia"/>
                <w:bCs/>
                <w:color w:val="auto"/>
                <w:highlight w:val="none"/>
                <w:lang w:eastAsia="zh-CN"/>
              </w:rPr>
              <w:t>，</w:t>
            </w:r>
            <w:r>
              <w:rPr>
                <w:rFonts w:hint="eastAsia"/>
                <w:bCs/>
                <w:color w:val="auto"/>
                <w:highlight w:val="none"/>
              </w:rPr>
              <w:t>氨、</w:t>
            </w:r>
            <w:r>
              <w:rPr>
                <w:bCs/>
                <w:color w:val="auto"/>
                <w:highlight w:val="none"/>
              </w:rPr>
              <w:t>硫化氢</w:t>
            </w:r>
            <w:r>
              <w:rPr>
                <w:rFonts w:hint="eastAsia"/>
                <w:bCs/>
                <w:color w:val="auto"/>
                <w:highlight w:val="none"/>
              </w:rPr>
              <w:t>及臭气浓度均能满足《恶臭污染物排放标准》（GB14554-93）表</w:t>
            </w:r>
            <w:r>
              <w:rPr>
                <w:bCs/>
                <w:color w:val="auto"/>
                <w:highlight w:val="none"/>
              </w:rPr>
              <w:t>2</w:t>
            </w:r>
            <w:r>
              <w:rPr>
                <w:rFonts w:hint="eastAsia"/>
                <w:bCs/>
                <w:color w:val="auto"/>
              </w:rPr>
              <w:t>恶臭污染物排放标准（H</w:t>
            </w:r>
            <w:r>
              <w:rPr>
                <w:rFonts w:hint="eastAsia"/>
                <w:bCs/>
                <w:color w:val="auto"/>
                <w:vertAlign w:val="subscript"/>
              </w:rPr>
              <w:t>2</w:t>
            </w:r>
            <w:r>
              <w:rPr>
                <w:rFonts w:hint="eastAsia"/>
                <w:bCs/>
                <w:color w:val="auto"/>
              </w:rPr>
              <w:t>S≤0.</w:t>
            </w:r>
            <w:r>
              <w:rPr>
                <w:bCs/>
                <w:color w:val="auto"/>
              </w:rPr>
              <w:t>33kg</w:t>
            </w:r>
            <w:r>
              <w:rPr>
                <w:rFonts w:hint="eastAsia"/>
                <w:bCs/>
                <w:color w:val="auto"/>
              </w:rPr>
              <w:t>/</w:t>
            </w:r>
            <w:r>
              <w:rPr>
                <w:bCs/>
                <w:color w:val="auto"/>
              </w:rPr>
              <w:t>h</w:t>
            </w:r>
            <w:r>
              <w:rPr>
                <w:rFonts w:hint="eastAsia"/>
                <w:bCs/>
                <w:color w:val="auto"/>
              </w:rPr>
              <w:t>、NH</w:t>
            </w:r>
            <w:r>
              <w:rPr>
                <w:rFonts w:hint="eastAsia"/>
                <w:bCs/>
                <w:color w:val="auto"/>
                <w:vertAlign w:val="subscript"/>
              </w:rPr>
              <w:t>3</w:t>
            </w:r>
            <w:r>
              <w:rPr>
                <w:rFonts w:hint="eastAsia"/>
                <w:bCs/>
                <w:color w:val="auto"/>
              </w:rPr>
              <w:t>≤</w:t>
            </w:r>
            <w:r>
              <w:rPr>
                <w:bCs/>
                <w:color w:val="auto"/>
              </w:rPr>
              <w:t>4.9kg</w:t>
            </w:r>
            <w:r>
              <w:rPr>
                <w:rFonts w:hint="eastAsia"/>
                <w:bCs/>
                <w:color w:val="auto"/>
              </w:rPr>
              <w:t>/</w:t>
            </w:r>
            <w:r>
              <w:rPr>
                <w:bCs/>
                <w:color w:val="auto"/>
              </w:rPr>
              <w:t>h</w:t>
            </w:r>
            <w:r>
              <w:rPr>
                <w:rFonts w:hint="eastAsia"/>
                <w:bCs/>
                <w:color w:val="auto"/>
              </w:rPr>
              <w:t>、臭气浓度≤20</w:t>
            </w:r>
            <w:r>
              <w:rPr>
                <w:bCs/>
                <w:color w:val="auto"/>
              </w:rPr>
              <w:t>00</w:t>
            </w:r>
            <w:r>
              <w:rPr>
                <w:rFonts w:hint="eastAsia"/>
                <w:bCs/>
                <w:color w:val="auto"/>
              </w:rPr>
              <w:t>）。</w:t>
            </w:r>
          </w:p>
          <w:p>
            <w:pPr>
              <w:pStyle w:val="75"/>
              <w:spacing w:line="360" w:lineRule="auto"/>
              <w:ind w:firstLine="482"/>
              <w:rPr>
                <w:bCs/>
                <w:color w:val="auto"/>
              </w:rPr>
            </w:pPr>
            <w:r>
              <w:rPr>
                <w:rFonts w:hint="eastAsia"/>
                <w:bCs/>
                <w:color w:val="auto"/>
                <w:highlight w:val="none"/>
                <w:lang w:eastAsia="zh-CN"/>
              </w:rPr>
              <w:t>项目厂界</w:t>
            </w:r>
            <w:r>
              <w:rPr>
                <w:rFonts w:hint="eastAsia"/>
                <w:bCs/>
                <w:color w:val="auto"/>
                <w:highlight w:val="none"/>
              </w:rPr>
              <w:t>氨、</w:t>
            </w:r>
            <w:r>
              <w:rPr>
                <w:bCs/>
                <w:color w:val="auto"/>
                <w:highlight w:val="none"/>
              </w:rPr>
              <w:t>硫化氢</w:t>
            </w:r>
            <w:r>
              <w:rPr>
                <w:rFonts w:hint="eastAsia"/>
                <w:bCs/>
                <w:color w:val="auto"/>
                <w:highlight w:val="none"/>
              </w:rPr>
              <w:t>及臭气浓度均能满足《恶臭污染物排放标准》（GB14554-93）表1 恶臭污染物厂界标准值二级新扩改建标准</w:t>
            </w:r>
            <w:r>
              <w:rPr>
                <w:rFonts w:hint="eastAsia"/>
                <w:bCs/>
                <w:color w:val="auto"/>
              </w:rPr>
              <w:t>（H</w:t>
            </w:r>
            <w:r>
              <w:rPr>
                <w:rFonts w:hint="eastAsia"/>
                <w:bCs/>
                <w:color w:val="auto"/>
                <w:vertAlign w:val="subscript"/>
              </w:rPr>
              <w:t>2</w:t>
            </w:r>
            <w:r>
              <w:rPr>
                <w:rFonts w:hint="eastAsia"/>
                <w:bCs/>
                <w:color w:val="auto"/>
              </w:rPr>
              <w:t>S≤</w:t>
            </w:r>
            <w:r>
              <w:rPr>
                <w:rFonts w:hint="eastAsia"/>
                <w:bCs/>
                <w:color w:val="auto"/>
                <w:lang w:val="en-US" w:eastAsia="zh-CN"/>
              </w:rPr>
              <w:t>0.06mg</w:t>
            </w:r>
            <w:r>
              <w:rPr>
                <w:rFonts w:hint="eastAsia"/>
                <w:bCs/>
                <w:color w:val="auto"/>
              </w:rPr>
              <w:t>/</w:t>
            </w:r>
            <w:r>
              <w:rPr>
                <w:rFonts w:hint="eastAsia"/>
                <w:bCs/>
                <w:color w:val="auto"/>
                <w:lang w:val="en-US" w:eastAsia="zh-CN"/>
              </w:rPr>
              <w:t>m</w:t>
            </w:r>
            <w:r>
              <w:rPr>
                <w:rFonts w:hint="eastAsia"/>
                <w:bCs/>
                <w:color w:val="auto"/>
                <w:vertAlign w:val="superscript"/>
                <w:lang w:val="en-US" w:eastAsia="zh-CN"/>
              </w:rPr>
              <w:t>3</w:t>
            </w:r>
            <w:r>
              <w:rPr>
                <w:rFonts w:hint="eastAsia"/>
                <w:bCs/>
                <w:color w:val="auto"/>
              </w:rPr>
              <w:t>、NH</w:t>
            </w:r>
            <w:r>
              <w:rPr>
                <w:rFonts w:hint="eastAsia"/>
                <w:bCs/>
                <w:color w:val="auto"/>
                <w:vertAlign w:val="subscript"/>
              </w:rPr>
              <w:t>3</w:t>
            </w:r>
            <w:r>
              <w:rPr>
                <w:rFonts w:hint="eastAsia"/>
                <w:bCs/>
                <w:color w:val="auto"/>
              </w:rPr>
              <w:t>≤</w:t>
            </w:r>
            <w:r>
              <w:rPr>
                <w:rFonts w:hint="eastAsia"/>
                <w:bCs/>
                <w:color w:val="auto"/>
                <w:lang w:val="en-US" w:eastAsia="zh-CN"/>
              </w:rPr>
              <w:t>1.5mg</w:t>
            </w:r>
            <w:r>
              <w:rPr>
                <w:rFonts w:hint="eastAsia"/>
                <w:bCs/>
                <w:color w:val="auto"/>
              </w:rPr>
              <w:t>/</w:t>
            </w:r>
            <w:r>
              <w:rPr>
                <w:rFonts w:hint="eastAsia"/>
                <w:bCs/>
                <w:color w:val="auto"/>
                <w:lang w:val="en-US" w:eastAsia="zh-CN"/>
              </w:rPr>
              <w:t>m</w:t>
            </w:r>
            <w:r>
              <w:rPr>
                <w:rFonts w:hint="eastAsia"/>
                <w:bCs/>
                <w:color w:val="auto"/>
                <w:vertAlign w:val="superscript"/>
                <w:lang w:val="en-US" w:eastAsia="zh-CN"/>
              </w:rPr>
              <w:t>3</w:t>
            </w:r>
            <w:r>
              <w:rPr>
                <w:rFonts w:hint="eastAsia"/>
                <w:bCs/>
                <w:color w:val="auto"/>
              </w:rPr>
              <w:t>、臭气浓度≤20）。</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color w:val="auto"/>
                <w:sz w:val="24"/>
                <w:lang w:val="en-US" w:eastAsia="zh-CN"/>
              </w:rPr>
              <w:t>正常工况下废气源强核算结果</w:t>
            </w:r>
            <w:r>
              <w:rPr>
                <w:color w:val="auto"/>
                <w:sz w:val="24"/>
                <w:szCs w:val="24"/>
                <w:highlight w:val="none"/>
              </w:rPr>
              <w:t>见表</w:t>
            </w:r>
            <w:r>
              <w:rPr>
                <w:rFonts w:hint="eastAsia"/>
                <w:color w:val="auto"/>
                <w:sz w:val="24"/>
                <w:szCs w:val="24"/>
                <w:highlight w:val="none"/>
              </w:rPr>
              <w:t>4-</w:t>
            </w:r>
            <w:r>
              <w:rPr>
                <w:rFonts w:hint="eastAsia"/>
                <w:color w:val="auto"/>
                <w:sz w:val="24"/>
                <w:szCs w:val="24"/>
                <w:highlight w:val="none"/>
                <w:lang w:val="en-US" w:eastAsia="zh-CN"/>
              </w:rPr>
              <w:t>7</w:t>
            </w:r>
            <w:r>
              <w:rPr>
                <w:rFonts w:hint="default" w:ascii="Times New Roman" w:hAnsi="Times New Roman" w:eastAsia="宋体" w:cs="Times New Roman"/>
                <w:color w:val="auto"/>
                <w:sz w:val="24"/>
                <w:szCs w:val="24"/>
                <w:highlight w:val="none"/>
              </w:rPr>
              <w:t>。</w:t>
            </w:r>
          </w:p>
          <w:p>
            <w:pPr>
              <w:pStyle w:val="93"/>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w:t>
            </w:r>
            <w:r>
              <w:rPr>
                <w:rFonts w:hint="eastAsia" w:eastAsia="宋体" w:cs="Times New Roman"/>
                <w:b/>
                <w:bCs/>
                <w:color w:val="auto"/>
                <w:sz w:val="21"/>
                <w:szCs w:val="21"/>
                <w:highlight w:val="none"/>
                <w:lang w:val="en-US" w:eastAsia="zh-CN"/>
              </w:rPr>
              <w:t>7</w:t>
            </w: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废气产生及排放情况一览表</w:t>
            </w:r>
          </w:p>
          <w:tbl>
            <w:tblPr>
              <w:tblStyle w:val="29"/>
              <w:tblW w:w="912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24"/>
              <w:gridCol w:w="333"/>
              <w:gridCol w:w="324"/>
              <w:gridCol w:w="324"/>
              <w:gridCol w:w="534"/>
              <w:gridCol w:w="839"/>
              <w:gridCol w:w="1120"/>
              <w:gridCol w:w="534"/>
              <w:gridCol w:w="709"/>
              <w:gridCol w:w="324"/>
              <w:gridCol w:w="324"/>
              <w:gridCol w:w="534"/>
              <w:gridCol w:w="833"/>
              <w:gridCol w:w="1428"/>
              <w:gridCol w:w="6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123" w:hRule="atLeast"/>
                <w:jc w:val="center"/>
              </w:trPr>
              <w:tc>
                <w:tcPr>
                  <w:tcW w:w="324" w:type="dxa"/>
                  <w:vMerge w:val="restart"/>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类型</w:t>
                  </w:r>
                </w:p>
              </w:tc>
              <w:tc>
                <w:tcPr>
                  <w:tcW w:w="333" w:type="dxa"/>
                  <w:vMerge w:val="restart"/>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排放</w:t>
                  </w:r>
                  <w:r>
                    <w:rPr>
                      <w:rFonts w:hint="default" w:ascii="Times New Roman" w:hAnsi="Times New Roman" w:eastAsia="宋体" w:cs="Times New Roman"/>
                      <w:b w:val="0"/>
                      <w:bCs w:val="0"/>
                      <w:color w:val="auto"/>
                      <w:sz w:val="21"/>
                      <w:szCs w:val="21"/>
                      <w:highlight w:val="none"/>
                    </w:rPr>
                    <w:t>源</w:t>
                  </w:r>
                </w:p>
              </w:tc>
              <w:tc>
                <w:tcPr>
                  <w:tcW w:w="324" w:type="dxa"/>
                  <w:vMerge w:val="restart"/>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污染物</w:t>
                  </w:r>
                </w:p>
              </w:tc>
              <w:tc>
                <w:tcPr>
                  <w:tcW w:w="2817" w:type="dxa"/>
                  <w:gridSpan w:val="4"/>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污染物产生</w:t>
                  </w:r>
                </w:p>
              </w:tc>
              <w:tc>
                <w:tcPr>
                  <w:tcW w:w="1567" w:type="dxa"/>
                  <w:gridSpan w:val="3"/>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治理措施</w:t>
                  </w:r>
                </w:p>
              </w:tc>
              <w:tc>
                <w:tcPr>
                  <w:tcW w:w="3119" w:type="dxa"/>
                  <w:gridSpan w:val="4"/>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污染物排放</w:t>
                  </w:r>
                </w:p>
              </w:tc>
              <w:tc>
                <w:tcPr>
                  <w:tcW w:w="639" w:type="dxa"/>
                  <w:vMerge w:val="restart"/>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w:t>
                  </w:r>
                </w:p>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559" w:hRule="atLeast"/>
                <w:jc w:val="center"/>
              </w:trPr>
              <w:tc>
                <w:tcPr>
                  <w:tcW w:w="324"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p>
              </w:tc>
              <w:tc>
                <w:tcPr>
                  <w:tcW w:w="333"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p>
              </w:tc>
              <w:tc>
                <w:tcPr>
                  <w:tcW w:w="324"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p>
              </w:tc>
              <w:tc>
                <w:tcPr>
                  <w:tcW w:w="324" w:type="dxa"/>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核算方法</w:t>
                  </w:r>
                </w:p>
              </w:tc>
              <w:tc>
                <w:tcPr>
                  <w:tcW w:w="534" w:type="dxa"/>
                  <w:noWrap w:val="0"/>
                  <w:vAlign w:val="center"/>
                </w:tcPr>
                <w:p>
                  <w:pPr>
                    <w:pStyle w:val="116"/>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color w:val="auto"/>
                      <w:spacing w:val="-8"/>
                      <w:sz w:val="21"/>
                      <w:szCs w:val="21"/>
                      <w:highlight w:val="none"/>
                    </w:rPr>
                    <w:t>废气产生量m</w:t>
                  </w:r>
                  <w:r>
                    <w:rPr>
                      <w:rFonts w:hint="default" w:ascii="Times New Roman" w:hAnsi="Times New Roman" w:cs="Times New Roman"/>
                      <w:b w:val="0"/>
                      <w:bCs w:val="0"/>
                      <w:color w:val="auto"/>
                      <w:spacing w:val="-8"/>
                      <w:sz w:val="21"/>
                      <w:szCs w:val="21"/>
                      <w:highlight w:val="none"/>
                      <w:vertAlign w:val="superscript"/>
                    </w:rPr>
                    <w:t>3</w:t>
                  </w:r>
                  <w:r>
                    <w:rPr>
                      <w:rFonts w:hint="default" w:ascii="Times New Roman" w:hAnsi="Times New Roman" w:cs="Times New Roman"/>
                      <w:b w:val="0"/>
                      <w:bCs w:val="0"/>
                      <w:color w:val="auto"/>
                      <w:spacing w:val="-8"/>
                      <w:sz w:val="21"/>
                      <w:szCs w:val="21"/>
                      <w:highlight w:val="none"/>
                    </w:rPr>
                    <w:t>/h</w:t>
                  </w:r>
                </w:p>
              </w:tc>
              <w:tc>
                <w:tcPr>
                  <w:tcW w:w="839" w:type="dxa"/>
                  <w:noWrap w:val="0"/>
                  <w:vAlign w:val="center"/>
                </w:tcPr>
                <w:p>
                  <w:pPr>
                    <w:pStyle w:val="116"/>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产生浓度</w:t>
                  </w:r>
                </w:p>
                <w:p>
                  <w:pPr>
                    <w:pStyle w:val="116"/>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mg/m</w:t>
                  </w:r>
                  <w:r>
                    <w:rPr>
                      <w:rFonts w:hint="default" w:ascii="Times New Roman" w:hAnsi="Times New Roman" w:eastAsia="宋体" w:cs="Times New Roman"/>
                      <w:b w:val="0"/>
                      <w:bCs w:val="0"/>
                      <w:color w:val="auto"/>
                      <w:sz w:val="21"/>
                      <w:szCs w:val="21"/>
                      <w:highlight w:val="none"/>
                      <w:vertAlign w:val="superscript"/>
                    </w:rPr>
                    <w:t>3</w:t>
                  </w:r>
                  <w:r>
                    <w:rPr>
                      <w:rFonts w:hint="eastAsia" w:cs="Times New Roman"/>
                      <w:b w:val="0"/>
                      <w:bCs w:val="0"/>
                      <w:color w:val="auto"/>
                      <w:sz w:val="21"/>
                      <w:szCs w:val="21"/>
                      <w:highlight w:val="none"/>
                      <w:vertAlign w:val="superscript"/>
                      <w:lang w:eastAsia="zh-CN"/>
                    </w:rPr>
                    <w:t>)</w:t>
                  </w:r>
                </w:p>
              </w:tc>
              <w:tc>
                <w:tcPr>
                  <w:tcW w:w="1120" w:type="dxa"/>
                  <w:noWrap w:val="0"/>
                  <w:vAlign w:val="center"/>
                </w:tcPr>
                <w:p>
                  <w:pPr>
                    <w:pStyle w:val="116"/>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产生量</w:t>
                  </w:r>
                </w:p>
                <w:p>
                  <w:pPr>
                    <w:pStyle w:val="116"/>
                    <w:spacing w:line="240" w:lineRule="auto"/>
                    <w:jc w:val="center"/>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rPr>
                    <w:t>kg/h</w:t>
                  </w:r>
                  <w:r>
                    <w:rPr>
                      <w:rFonts w:hint="eastAsia" w:cs="Times New Roman"/>
                      <w:b w:val="0"/>
                      <w:bCs w:val="0"/>
                      <w:color w:val="auto"/>
                      <w:sz w:val="21"/>
                      <w:szCs w:val="21"/>
                      <w:highlight w:val="none"/>
                      <w:lang w:eastAsia="zh-CN"/>
                    </w:rPr>
                    <w:t>)</w:t>
                  </w:r>
                </w:p>
              </w:tc>
              <w:tc>
                <w:tcPr>
                  <w:tcW w:w="534" w:type="dxa"/>
                  <w:noWrap w:val="0"/>
                  <w:vAlign w:val="center"/>
                </w:tcPr>
                <w:p>
                  <w:pPr>
                    <w:pStyle w:val="116"/>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工艺</w:t>
                  </w:r>
                </w:p>
              </w:tc>
              <w:tc>
                <w:tcPr>
                  <w:tcW w:w="709" w:type="dxa"/>
                  <w:noWrap w:val="0"/>
                  <w:vAlign w:val="center"/>
                </w:tcPr>
                <w:p>
                  <w:pPr>
                    <w:pStyle w:val="116"/>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效率</w:t>
                  </w:r>
                </w:p>
                <w:p>
                  <w:pPr>
                    <w:pStyle w:val="116"/>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324" w:type="dxa"/>
                  <w:noWrap w:val="0"/>
                  <w:vAlign w:val="center"/>
                </w:tcPr>
                <w:p>
                  <w:pPr>
                    <w:pStyle w:val="116"/>
                    <w:spacing w:line="240"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是否为可行性技术</w:t>
                  </w:r>
                </w:p>
              </w:tc>
              <w:tc>
                <w:tcPr>
                  <w:tcW w:w="324" w:type="dxa"/>
                  <w:noWrap w:val="0"/>
                  <w:vAlign w:val="center"/>
                </w:tcPr>
                <w:p>
                  <w:pPr>
                    <w:pStyle w:val="116"/>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核算</w:t>
                  </w:r>
                </w:p>
                <w:p>
                  <w:pPr>
                    <w:pStyle w:val="116"/>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方法</w:t>
                  </w:r>
                </w:p>
              </w:tc>
              <w:tc>
                <w:tcPr>
                  <w:tcW w:w="534" w:type="dxa"/>
                  <w:noWrap w:val="0"/>
                  <w:vAlign w:val="center"/>
                </w:tcPr>
                <w:p>
                  <w:pPr>
                    <w:pStyle w:val="116"/>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color w:val="auto"/>
                      <w:spacing w:val="-8"/>
                      <w:sz w:val="21"/>
                      <w:szCs w:val="21"/>
                      <w:highlight w:val="none"/>
                    </w:rPr>
                    <w:t>废气</w:t>
                  </w:r>
                  <w:r>
                    <w:rPr>
                      <w:rFonts w:hint="default" w:ascii="Times New Roman" w:hAnsi="Times New Roman" w:cs="Times New Roman"/>
                      <w:b w:val="0"/>
                      <w:bCs w:val="0"/>
                      <w:color w:val="auto"/>
                      <w:spacing w:val="-8"/>
                      <w:sz w:val="21"/>
                      <w:szCs w:val="21"/>
                      <w:highlight w:val="none"/>
                      <w:lang w:eastAsia="zh-CN"/>
                    </w:rPr>
                    <w:t>排放</w:t>
                  </w:r>
                  <w:r>
                    <w:rPr>
                      <w:rFonts w:hint="default" w:ascii="Times New Roman" w:hAnsi="Times New Roman" w:cs="Times New Roman"/>
                      <w:b w:val="0"/>
                      <w:bCs w:val="0"/>
                      <w:color w:val="auto"/>
                      <w:spacing w:val="-8"/>
                      <w:sz w:val="21"/>
                      <w:szCs w:val="21"/>
                      <w:highlight w:val="none"/>
                    </w:rPr>
                    <w:t>量m</w:t>
                  </w:r>
                  <w:r>
                    <w:rPr>
                      <w:rFonts w:hint="default" w:ascii="Times New Roman" w:hAnsi="Times New Roman" w:cs="Times New Roman"/>
                      <w:b w:val="0"/>
                      <w:bCs w:val="0"/>
                      <w:color w:val="auto"/>
                      <w:spacing w:val="-8"/>
                      <w:sz w:val="21"/>
                      <w:szCs w:val="21"/>
                      <w:highlight w:val="none"/>
                      <w:vertAlign w:val="superscript"/>
                    </w:rPr>
                    <w:t>3</w:t>
                  </w:r>
                  <w:r>
                    <w:rPr>
                      <w:rFonts w:hint="default" w:ascii="Times New Roman" w:hAnsi="Times New Roman" w:cs="Times New Roman"/>
                      <w:b w:val="0"/>
                      <w:bCs w:val="0"/>
                      <w:color w:val="auto"/>
                      <w:spacing w:val="-8"/>
                      <w:sz w:val="21"/>
                      <w:szCs w:val="21"/>
                      <w:highlight w:val="none"/>
                    </w:rPr>
                    <w:t>/h</w:t>
                  </w:r>
                </w:p>
              </w:tc>
              <w:tc>
                <w:tcPr>
                  <w:tcW w:w="833" w:type="dxa"/>
                  <w:noWrap w:val="0"/>
                  <w:vAlign w:val="center"/>
                </w:tcPr>
                <w:p>
                  <w:pPr>
                    <w:pStyle w:val="116"/>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排放浓度</w:t>
                  </w:r>
                </w:p>
                <w:p>
                  <w:pPr>
                    <w:pStyle w:val="116"/>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mg/m</w:t>
                  </w:r>
                  <w:r>
                    <w:rPr>
                      <w:rFonts w:hint="default" w:ascii="Times New Roman" w:hAnsi="Times New Roman" w:eastAsia="宋体" w:cs="Times New Roman"/>
                      <w:b w:val="0"/>
                      <w:bCs w:val="0"/>
                      <w:color w:val="auto"/>
                      <w:sz w:val="21"/>
                      <w:szCs w:val="21"/>
                      <w:highlight w:val="none"/>
                      <w:vertAlign w:val="superscript"/>
                    </w:rPr>
                    <w:t>3</w:t>
                  </w:r>
                  <w:r>
                    <w:rPr>
                      <w:rFonts w:hint="eastAsia" w:cs="Times New Roman"/>
                      <w:b w:val="0"/>
                      <w:bCs w:val="0"/>
                      <w:color w:val="auto"/>
                      <w:sz w:val="21"/>
                      <w:szCs w:val="21"/>
                      <w:highlight w:val="none"/>
                      <w:vertAlign w:val="superscript"/>
                      <w:lang w:eastAsia="zh-CN"/>
                    </w:rPr>
                    <w:t>)</w:t>
                  </w:r>
                </w:p>
              </w:tc>
              <w:tc>
                <w:tcPr>
                  <w:tcW w:w="1428" w:type="dxa"/>
                  <w:noWrap w:val="0"/>
                  <w:vAlign w:val="center"/>
                </w:tcPr>
                <w:p>
                  <w:pPr>
                    <w:pStyle w:val="116"/>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排放量</w:t>
                  </w:r>
                </w:p>
                <w:p>
                  <w:pPr>
                    <w:pStyle w:val="116"/>
                    <w:spacing w:line="240" w:lineRule="auto"/>
                    <w:jc w:val="center"/>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rPr>
                    <w:t>kg/h</w:t>
                  </w:r>
                  <w:r>
                    <w:rPr>
                      <w:rFonts w:hint="eastAsia" w:cs="Times New Roman"/>
                      <w:b w:val="0"/>
                      <w:bCs w:val="0"/>
                      <w:color w:val="auto"/>
                      <w:sz w:val="21"/>
                      <w:szCs w:val="21"/>
                      <w:highlight w:val="none"/>
                      <w:lang w:eastAsia="zh-CN"/>
                    </w:rPr>
                    <w:t>)</w:t>
                  </w:r>
                </w:p>
              </w:tc>
              <w:tc>
                <w:tcPr>
                  <w:tcW w:w="639"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691" w:hRule="atLeast"/>
                <w:jc w:val="center"/>
              </w:trPr>
              <w:tc>
                <w:tcPr>
                  <w:tcW w:w="324" w:type="dxa"/>
                  <w:vMerge w:val="restart"/>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有组织废气</w:t>
                  </w:r>
                </w:p>
              </w:tc>
              <w:tc>
                <w:tcPr>
                  <w:tcW w:w="333" w:type="dxa"/>
                  <w:vMerge w:val="restart"/>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污水处理设施</w:t>
                  </w:r>
                </w:p>
              </w:tc>
              <w:tc>
                <w:tcPr>
                  <w:tcW w:w="324" w:type="dxa"/>
                  <w:noWrap w:val="0"/>
                  <w:vAlign w:val="center"/>
                </w:tcPr>
                <w:p>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pacing w:val="-8"/>
                      <w:sz w:val="21"/>
                      <w:szCs w:val="21"/>
                      <w:highlight w:val="none"/>
                    </w:rPr>
                    <w:t>氨</w:t>
                  </w:r>
                </w:p>
              </w:tc>
              <w:tc>
                <w:tcPr>
                  <w:tcW w:w="324" w:type="dxa"/>
                  <w:vMerge w:val="restart"/>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系数法</w:t>
                  </w:r>
                </w:p>
              </w:tc>
              <w:tc>
                <w:tcPr>
                  <w:tcW w:w="534" w:type="dxa"/>
                  <w:vMerge w:val="restart"/>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2000</w:t>
                  </w:r>
                </w:p>
              </w:tc>
              <w:tc>
                <w:tcPr>
                  <w:tcW w:w="839"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bCs/>
                      <w:color w:val="auto"/>
                      <w:highlight w:val="none"/>
                      <w:lang w:val="en-US" w:eastAsia="zh-CN"/>
                    </w:rPr>
                    <w:t>0.0859</w:t>
                  </w:r>
                </w:p>
              </w:tc>
              <w:tc>
                <w:tcPr>
                  <w:tcW w:w="1120" w:type="dxa"/>
                  <w:noWrap w:val="0"/>
                  <w:vAlign w:val="center"/>
                </w:tcPr>
                <w:p>
                  <w:pPr>
                    <w:pStyle w:val="74"/>
                    <w:adjustRightInd w:val="0"/>
                    <w:snapToGrid w:val="0"/>
                    <w:spacing w:line="240" w:lineRule="auto"/>
                    <w:jc w:val="center"/>
                    <w:rPr>
                      <w:rFonts w:hint="default" w:ascii="Times New Roman" w:hAnsi="Times New Roman" w:cs="Times New Roman"/>
                      <w:b w:val="0"/>
                      <w:bCs w:val="0"/>
                      <w:color w:val="auto"/>
                      <w:sz w:val="21"/>
                      <w:szCs w:val="21"/>
                      <w:highlight w:val="none"/>
                      <w:lang w:val="en-US" w:eastAsia="zh-CN"/>
                    </w:rPr>
                  </w:pPr>
                  <w:r>
                    <w:rPr>
                      <w:rFonts w:hint="eastAsia"/>
                      <w:bCs/>
                      <w:color w:val="auto"/>
                      <w:highlight w:val="none"/>
                      <w:lang w:val="en-US" w:eastAsia="zh-CN"/>
                    </w:rPr>
                    <w:t>1.718</w:t>
                  </w:r>
                  <w:r>
                    <w:rPr>
                      <w:rFonts w:hint="eastAsia" w:cs="Times New Roman"/>
                      <w:bCs/>
                      <w:color w:val="auto"/>
                      <w:spacing w:val="0"/>
                      <w:position w:val="0"/>
                      <w:szCs w:val="21"/>
                      <w:highlight w:val="none"/>
                      <w:lang w:val="en-US" w:eastAsia="zh-CN"/>
                    </w:rPr>
                    <w:t>×10</w:t>
                  </w:r>
                  <w:r>
                    <w:rPr>
                      <w:rFonts w:hint="eastAsia" w:cs="Times New Roman"/>
                      <w:bCs/>
                      <w:color w:val="auto"/>
                      <w:spacing w:val="0"/>
                      <w:position w:val="0"/>
                      <w:szCs w:val="21"/>
                      <w:highlight w:val="none"/>
                      <w:vertAlign w:val="superscript"/>
                      <w:lang w:val="en-US" w:eastAsia="zh-CN"/>
                    </w:rPr>
                    <w:t>-4</w:t>
                  </w:r>
                </w:p>
              </w:tc>
              <w:tc>
                <w:tcPr>
                  <w:tcW w:w="534" w:type="dxa"/>
                  <w:vMerge w:val="restart"/>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eastAsia="zh-CN"/>
                    </w:rPr>
                    <w:t>活性炭吸附装置</w:t>
                  </w:r>
                  <w:r>
                    <w:rPr>
                      <w:rFonts w:hint="default" w:ascii="Times New Roman" w:hAnsi="Times New Roman" w:cs="Times New Roman"/>
                      <w:b w:val="0"/>
                      <w:bCs w:val="0"/>
                      <w:color w:val="auto"/>
                      <w:sz w:val="21"/>
                      <w:szCs w:val="21"/>
                      <w:highlight w:val="none"/>
                    </w:rPr>
                    <w:t>，</w:t>
                  </w:r>
                  <w:r>
                    <w:rPr>
                      <w:rFonts w:hint="default" w:ascii="Times New Roman" w:hAnsi="Times New Roman" w:cs="Times New Roman"/>
                      <w:b w:val="0"/>
                      <w:bCs w:val="0"/>
                      <w:color w:val="auto"/>
                      <w:sz w:val="21"/>
                      <w:szCs w:val="21"/>
                      <w:highlight w:val="none"/>
                      <w:lang w:val="en-US" w:eastAsia="zh-CN"/>
                    </w:rPr>
                    <w:t>15</w:t>
                  </w:r>
                  <w:r>
                    <w:rPr>
                      <w:rFonts w:hint="default" w:ascii="Times New Roman" w:hAnsi="Times New Roman" w:cs="Times New Roman"/>
                      <w:b w:val="0"/>
                      <w:bCs w:val="0"/>
                      <w:color w:val="auto"/>
                      <w:sz w:val="21"/>
                      <w:szCs w:val="21"/>
                      <w:highlight w:val="none"/>
                    </w:rPr>
                    <w:t>m高</w:t>
                  </w:r>
                  <w:r>
                    <w:rPr>
                      <w:rFonts w:hint="default" w:ascii="Times New Roman" w:hAnsi="Times New Roman" w:cs="Times New Roman"/>
                      <w:b w:val="0"/>
                      <w:bCs w:val="0"/>
                      <w:color w:val="auto"/>
                      <w:sz w:val="21"/>
                      <w:szCs w:val="21"/>
                      <w:highlight w:val="none"/>
                      <w:lang w:eastAsia="zh-CN"/>
                    </w:rPr>
                    <w:t>排气筒</w:t>
                  </w:r>
                  <w:r>
                    <w:rPr>
                      <w:rFonts w:hint="default" w:ascii="Times New Roman" w:hAnsi="Times New Roman" w:cs="Times New Roman"/>
                      <w:b w:val="0"/>
                      <w:bCs w:val="0"/>
                      <w:color w:val="auto"/>
                      <w:sz w:val="21"/>
                      <w:szCs w:val="21"/>
                      <w:highlight w:val="none"/>
                    </w:rPr>
                    <w:t>排放</w:t>
                  </w:r>
                </w:p>
              </w:tc>
              <w:tc>
                <w:tcPr>
                  <w:tcW w:w="709" w:type="dxa"/>
                  <w:vMerge w:val="restart"/>
                  <w:noWrap w:val="0"/>
                  <w:vAlign w:val="center"/>
                </w:tcPr>
                <w:p>
                  <w:pPr>
                    <w:adjustRightInd w:val="0"/>
                    <w:snapToGrid w:val="0"/>
                    <w:spacing w:line="240" w:lineRule="auto"/>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90</w:t>
                  </w:r>
                </w:p>
              </w:tc>
              <w:tc>
                <w:tcPr>
                  <w:tcW w:w="324" w:type="dxa"/>
                  <w:noWrap w:val="0"/>
                  <w:vAlign w:val="center"/>
                </w:tcPr>
                <w:p>
                  <w:pPr>
                    <w:adjustRightInd w:val="0"/>
                    <w:snapToGrid w:val="0"/>
                    <w:spacing w:line="240" w:lineRule="auto"/>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是</w:t>
                  </w:r>
                </w:p>
              </w:tc>
              <w:tc>
                <w:tcPr>
                  <w:tcW w:w="324" w:type="dxa"/>
                  <w:vMerge w:val="restart"/>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系数法</w:t>
                  </w:r>
                </w:p>
              </w:tc>
              <w:tc>
                <w:tcPr>
                  <w:tcW w:w="534" w:type="dxa"/>
                  <w:vMerge w:val="restart"/>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2000</w:t>
                  </w:r>
                </w:p>
              </w:tc>
              <w:tc>
                <w:tcPr>
                  <w:tcW w:w="833"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0.0086</w:t>
                  </w:r>
                </w:p>
              </w:tc>
              <w:tc>
                <w:tcPr>
                  <w:tcW w:w="1428" w:type="dxa"/>
                  <w:noWrap w:val="0"/>
                  <w:vAlign w:val="center"/>
                </w:tcPr>
                <w:p>
                  <w:pPr>
                    <w:pStyle w:val="74"/>
                    <w:adjustRightInd w:val="0"/>
                    <w:snapToGrid w:val="0"/>
                    <w:spacing w:line="240" w:lineRule="auto"/>
                    <w:jc w:val="center"/>
                    <w:rPr>
                      <w:rFonts w:hint="default" w:ascii="Times New Roman" w:hAnsi="Times New Roman" w:cs="Times New Roman"/>
                      <w:b w:val="0"/>
                      <w:bCs w:val="0"/>
                      <w:color w:val="auto"/>
                      <w:sz w:val="21"/>
                      <w:szCs w:val="21"/>
                      <w:highlight w:val="none"/>
                      <w:lang w:val="en-US" w:bidi="zh-CN"/>
                    </w:rPr>
                  </w:pPr>
                  <w:r>
                    <w:rPr>
                      <w:rFonts w:hint="eastAsia"/>
                      <w:bCs/>
                      <w:color w:val="auto"/>
                      <w:highlight w:val="none"/>
                      <w:lang w:val="en-US" w:eastAsia="zh-CN"/>
                    </w:rPr>
                    <w:t>1.718</w:t>
                  </w:r>
                  <w:r>
                    <w:rPr>
                      <w:rFonts w:hint="eastAsia" w:cs="Times New Roman"/>
                      <w:bCs/>
                      <w:color w:val="auto"/>
                      <w:spacing w:val="0"/>
                      <w:position w:val="0"/>
                      <w:szCs w:val="21"/>
                      <w:highlight w:val="none"/>
                      <w:lang w:val="en-US" w:eastAsia="zh-CN"/>
                    </w:rPr>
                    <w:t>×10</w:t>
                  </w:r>
                  <w:r>
                    <w:rPr>
                      <w:rFonts w:hint="eastAsia" w:cs="Times New Roman"/>
                      <w:bCs/>
                      <w:color w:val="auto"/>
                      <w:spacing w:val="0"/>
                      <w:position w:val="0"/>
                      <w:szCs w:val="21"/>
                      <w:highlight w:val="none"/>
                      <w:vertAlign w:val="superscript"/>
                      <w:lang w:val="en-US" w:eastAsia="zh-CN"/>
                    </w:rPr>
                    <w:t>-5</w:t>
                  </w:r>
                  <w:r>
                    <w:rPr>
                      <w:bCs/>
                      <w:color w:val="auto"/>
                      <w:highlight w:val="none"/>
                    </w:rPr>
                    <w:t>kg</w:t>
                  </w:r>
                  <w:r>
                    <w:rPr>
                      <w:rFonts w:hint="eastAsia"/>
                      <w:bCs/>
                      <w:color w:val="auto"/>
                      <w:highlight w:val="none"/>
                    </w:rPr>
                    <w:t>/</w:t>
                  </w:r>
                  <w:r>
                    <w:rPr>
                      <w:bCs/>
                      <w:color w:val="auto"/>
                      <w:highlight w:val="none"/>
                    </w:rPr>
                    <w:t>h</w:t>
                  </w:r>
                </w:p>
              </w:tc>
              <w:tc>
                <w:tcPr>
                  <w:tcW w:w="639" w:type="dxa"/>
                  <w:vMerge w:val="restart"/>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789" w:hRule="atLeast"/>
                <w:jc w:val="center"/>
              </w:trPr>
              <w:tc>
                <w:tcPr>
                  <w:tcW w:w="324"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p>
              </w:tc>
              <w:tc>
                <w:tcPr>
                  <w:tcW w:w="333"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324" w:type="dxa"/>
                  <w:noWrap w:val="0"/>
                  <w:vAlign w:val="center"/>
                </w:tcPr>
                <w:p>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pacing w:val="-8"/>
                      <w:sz w:val="21"/>
                      <w:szCs w:val="21"/>
                      <w:highlight w:val="none"/>
                    </w:rPr>
                    <w:t>硫化氢</w:t>
                  </w:r>
                </w:p>
              </w:tc>
              <w:tc>
                <w:tcPr>
                  <w:tcW w:w="324"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p>
              </w:tc>
              <w:tc>
                <w:tcPr>
                  <w:tcW w:w="534" w:type="dxa"/>
                  <w:vMerge w:val="continue"/>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839"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bCs/>
                      <w:color w:val="auto"/>
                      <w:highlight w:val="none"/>
                      <w:lang w:val="en-US" w:eastAsia="zh-CN"/>
                    </w:rPr>
                    <w:t>0.0033</w:t>
                  </w:r>
                </w:p>
              </w:tc>
              <w:tc>
                <w:tcPr>
                  <w:tcW w:w="1120" w:type="dxa"/>
                  <w:noWrap w:val="0"/>
                  <w:vAlign w:val="center"/>
                </w:tcPr>
                <w:p>
                  <w:pPr>
                    <w:pStyle w:val="74"/>
                    <w:adjustRightInd w:val="0"/>
                    <w:snapToGrid w:val="0"/>
                    <w:spacing w:line="240" w:lineRule="auto"/>
                    <w:jc w:val="center"/>
                    <w:rPr>
                      <w:rFonts w:hint="default" w:ascii="Times New Roman" w:hAnsi="Times New Roman" w:cs="Times New Roman"/>
                      <w:b w:val="0"/>
                      <w:bCs w:val="0"/>
                      <w:color w:val="auto"/>
                      <w:sz w:val="21"/>
                      <w:szCs w:val="21"/>
                      <w:highlight w:val="none"/>
                      <w:lang w:val="en-US" w:eastAsia="zh-CN"/>
                    </w:rPr>
                  </w:pPr>
                  <w:r>
                    <w:rPr>
                      <w:rFonts w:hint="eastAsia"/>
                      <w:bCs/>
                      <w:color w:val="auto"/>
                      <w:highlight w:val="none"/>
                      <w:lang w:val="en-US" w:eastAsia="zh-CN"/>
                    </w:rPr>
                    <w:t>6.65</w:t>
                  </w:r>
                  <w:r>
                    <w:rPr>
                      <w:rFonts w:hint="eastAsia" w:cs="Times New Roman"/>
                      <w:bCs/>
                      <w:color w:val="auto"/>
                      <w:spacing w:val="0"/>
                      <w:position w:val="0"/>
                      <w:szCs w:val="21"/>
                      <w:highlight w:val="none"/>
                      <w:lang w:val="en-US" w:eastAsia="zh-CN"/>
                    </w:rPr>
                    <w:t>×10</w:t>
                  </w:r>
                  <w:r>
                    <w:rPr>
                      <w:rFonts w:hint="eastAsia" w:cs="Times New Roman"/>
                      <w:bCs/>
                      <w:color w:val="auto"/>
                      <w:spacing w:val="0"/>
                      <w:position w:val="0"/>
                      <w:szCs w:val="21"/>
                      <w:highlight w:val="none"/>
                      <w:vertAlign w:val="superscript"/>
                      <w:lang w:val="en-US" w:eastAsia="zh-CN"/>
                    </w:rPr>
                    <w:t>-6</w:t>
                  </w:r>
                </w:p>
              </w:tc>
              <w:tc>
                <w:tcPr>
                  <w:tcW w:w="534"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09" w:type="dxa"/>
                  <w:vMerge w:val="continue"/>
                  <w:noWrap w:val="0"/>
                  <w:vAlign w:val="center"/>
                </w:tcPr>
                <w:p>
                  <w:pPr>
                    <w:adjustRightInd w:val="0"/>
                    <w:snapToGrid w:val="0"/>
                    <w:spacing w:line="240" w:lineRule="auto"/>
                    <w:jc w:val="center"/>
                    <w:rPr>
                      <w:rFonts w:hint="default" w:ascii="Times New Roman" w:hAnsi="Times New Roman" w:cs="Times New Roman"/>
                      <w:b w:val="0"/>
                      <w:bCs w:val="0"/>
                      <w:color w:val="auto"/>
                      <w:sz w:val="21"/>
                      <w:szCs w:val="21"/>
                      <w:highlight w:val="none"/>
                      <w:lang w:val="en-US" w:eastAsia="zh-CN"/>
                    </w:rPr>
                  </w:pPr>
                </w:p>
              </w:tc>
              <w:tc>
                <w:tcPr>
                  <w:tcW w:w="324" w:type="dxa"/>
                  <w:noWrap w:val="0"/>
                  <w:vAlign w:val="center"/>
                </w:tcPr>
                <w:p>
                  <w:pPr>
                    <w:adjustRightInd w:val="0"/>
                    <w:snapToGrid w:val="0"/>
                    <w:spacing w:line="240" w:lineRule="auto"/>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是</w:t>
                  </w:r>
                </w:p>
              </w:tc>
              <w:tc>
                <w:tcPr>
                  <w:tcW w:w="324"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p>
              </w:tc>
              <w:tc>
                <w:tcPr>
                  <w:tcW w:w="534" w:type="dxa"/>
                  <w:vMerge w:val="continue"/>
                  <w:noWrap w:val="0"/>
                  <w:vAlign w:val="center"/>
                </w:tcPr>
                <w:p>
                  <w:pPr>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833"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0.0003</w:t>
                  </w:r>
                </w:p>
              </w:tc>
              <w:tc>
                <w:tcPr>
                  <w:tcW w:w="1428" w:type="dxa"/>
                  <w:noWrap w:val="0"/>
                  <w:vAlign w:val="center"/>
                </w:tcPr>
                <w:p>
                  <w:pPr>
                    <w:pStyle w:val="74"/>
                    <w:adjustRightInd w:val="0"/>
                    <w:snapToGrid w:val="0"/>
                    <w:spacing w:line="240" w:lineRule="auto"/>
                    <w:jc w:val="center"/>
                    <w:rPr>
                      <w:rFonts w:hint="default" w:ascii="Times New Roman" w:hAnsi="Times New Roman" w:cs="Times New Roman"/>
                      <w:b w:val="0"/>
                      <w:bCs w:val="0"/>
                      <w:color w:val="auto"/>
                      <w:sz w:val="21"/>
                      <w:szCs w:val="21"/>
                      <w:highlight w:val="none"/>
                      <w:lang w:val="en-US" w:bidi="zh-CN"/>
                    </w:rPr>
                  </w:pPr>
                  <w:r>
                    <w:rPr>
                      <w:rFonts w:hint="eastAsia"/>
                      <w:bCs/>
                      <w:color w:val="auto"/>
                      <w:highlight w:val="none"/>
                      <w:lang w:val="en-US" w:eastAsia="zh-CN"/>
                    </w:rPr>
                    <w:t>6.65</w:t>
                  </w:r>
                  <w:r>
                    <w:rPr>
                      <w:rFonts w:hint="eastAsia" w:cs="Times New Roman"/>
                      <w:bCs/>
                      <w:color w:val="auto"/>
                      <w:spacing w:val="0"/>
                      <w:position w:val="0"/>
                      <w:szCs w:val="21"/>
                      <w:highlight w:val="none"/>
                      <w:lang w:val="en-US" w:eastAsia="zh-CN"/>
                    </w:rPr>
                    <w:t>×10</w:t>
                  </w:r>
                  <w:r>
                    <w:rPr>
                      <w:rFonts w:hint="eastAsia" w:cs="Times New Roman"/>
                      <w:bCs/>
                      <w:color w:val="auto"/>
                      <w:spacing w:val="0"/>
                      <w:position w:val="0"/>
                      <w:szCs w:val="21"/>
                      <w:highlight w:val="none"/>
                      <w:vertAlign w:val="superscript"/>
                      <w:lang w:val="en-US" w:eastAsia="zh-CN"/>
                    </w:rPr>
                    <w:t>-7</w:t>
                  </w:r>
                </w:p>
              </w:tc>
              <w:tc>
                <w:tcPr>
                  <w:tcW w:w="639"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592" w:hRule="atLeast"/>
                <w:jc w:val="center"/>
              </w:trPr>
              <w:tc>
                <w:tcPr>
                  <w:tcW w:w="324"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p>
              </w:tc>
              <w:tc>
                <w:tcPr>
                  <w:tcW w:w="333"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324" w:type="dxa"/>
                  <w:noWrap w:val="0"/>
                  <w:vAlign w:val="center"/>
                </w:tcPr>
                <w:p>
                  <w:pPr>
                    <w:spacing w:line="240" w:lineRule="auto"/>
                    <w:jc w:val="center"/>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default" w:ascii="Times New Roman" w:hAnsi="Times New Roman" w:cs="Times New Roman"/>
                      <w:b w:val="0"/>
                      <w:bCs w:val="0"/>
                      <w:color w:val="auto"/>
                      <w:spacing w:val="-8"/>
                      <w:sz w:val="21"/>
                      <w:szCs w:val="21"/>
                      <w:highlight w:val="none"/>
                      <w:lang w:eastAsia="zh-CN"/>
                    </w:rPr>
                    <w:t>臭气浓度</w:t>
                  </w:r>
                </w:p>
              </w:tc>
              <w:tc>
                <w:tcPr>
                  <w:tcW w:w="324"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p>
              </w:tc>
              <w:tc>
                <w:tcPr>
                  <w:tcW w:w="534" w:type="dxa"/>
                  <w:vMerge w:val="continue"/>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839"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120"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534"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09" w:type="dxa"/>
                  <w:vMerge w:val="continue"/>
                  <w:noWrap w:val="0"/>
                  <w:vAlign w:val="center"/>
                </w:tcPr>
                <w:p>
                  <w:pPr>
                    <w:adjustRightInd w:val="0"/>
                    <w:snapToGrid w:val="0"/>
                    <w:spacing w:line="240" w:lineRule="auto"/>
                    <w:jc w:val="center"/>
                    <w:rPr>
                      <w:rFonts w:hint="default" w:ascii="Times New Roman" w:hAnsi="Times New Roman" w:cs="Times New Roman"/>
                      <w:b w:val="0"/>
                      <w:bCs w:val="0"/>
                      <w:color w:val="auto"/>
                      <w:sz w:val="21"/>
                      <w:szCs w:val="21"/>
                      <w:highlight w:val="none"/>
                      <w:lang w:val="en-US" w:eastAsia="zh-CN"/>
                    </w:rPr>
                  </w:pPr>
                </w:p>
              </w:tc>
              <w:tc>
                <w:tcPr>
                  <w:tcW w:w="324" w:type="dxa"/>
                  <w:noWrap w:val="0"/>
                  <w:vAlign w:val="center"/>
                </w:tcPr>
                <w:p>
                  <w:pPr>
                    <w:adjustRightInd w:val="0"/>
                    <w:snapToGrid w:val="0"/>
                    <w:spacing w:line="240" w:lineRule="auto"/>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是</w:t>
                  </w:r>
                </w:p>
              </w:tc>
              <w:tc>
                <w:tcPr>
                  <w:tcW w:w="324"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p>
              </w:tc>
              <w:tc>
                <w:tcPr>
                  <w:tcW w:w="534" w:type="dxa"/>
                  <w:vMerge w:val="continue"/>
                  <w:noWrap w:val="0"/>
                  <w:vAlign w:val="center"/>
                </w:tcPr>
                <w:p>
                  <w:pPr>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833"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428" w:type="dxa"/>
                  <w:noWrap w:val="0"/>
                  <w:vAlign w:val="center"/>
                </w:tcPr>
                <w:p>
                  <w:pPr>
                    <w:adjustRightInd w:val="0"/>
                    <w:snapToGrid w:val="0"/>
                    <w:spacing w:line="240" w:lineRule="auto"/>
                    <w:jc w:val="center"/>
                    <w:rPr>
                      <w:rFonts w:hint="default" w:ascii="Times New Roman" w:hAnsi="Times New Roman" w:cs="Times New Roman"/>
                      <w:b w:val="0"/>
                      <w:bCs w:val="0"/>
                      <w:color w:val="auto"/>
                      <w:sz w:val="21"/>
                      <w:szCs w:val="21"/>
                      <w:highlight w:val="none"/>
                      <w:lang w:val="en-US" w:bidi="zh-CN"/>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639"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jc w:val="center"/>
              </w:trPr>
              <w:tc>
                <w:tcPr>
                  <w:tcW w:w="324" w:type="dxa"/>
                  <w:vMerge w:val="restart"/>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无组织废气</w:t>
                  </w:r>
                </w:p>
              </w:tc>
              <w:tc>
                <w:tcPr>
                  <w:tcW w:w="333" w:type="dxa"/>
                  <w:vMerge w:val="restart"/>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污水处理设施</w:t>
                  </w:r>
                </w:p>
              </w:tc>
              <w:tc>
                <w:tcPr>
                  <w:tcW w:w="324" w:type="dxa"/>
                  <w:noWrap w:val="0"/>
                  <w:vAlign w:val="center"/>
                </w:tcPr>
                <w:p>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pacing w:val="-8"/>
                      <w:sz w:val="21"/>
                      <w:szCs w:val="21"/>
                      <w:highlight w:val="none"/>
                    </w:rPr>
                    <w:t>氨</w:t>
                  </w:r>
                </w:p>
              </w:tc>
              <w:tc>
                <w:tcPr>
                  <w:tcW w:w="324" w:type="dxa"/>
                  <w:vMerge w:val="restart"/>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lang w:eastAsia="zh-CN"/>
                    </w:rPr>
                    <w:t>系数法</w:t>
                  </w:r>
                </w:p>
              </w:tc>
              <w:tc>
                <w:tcPr>
                  <w:tcW w:w="534" w:type="dxa"/>
                  <w:vMerge w:val="restart"/>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839"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120" w:type="dxa"/>
                  <w:noWrap w:val="0"/>
                  <w:vAlign w:val="center"/>
                </w:tcPr>
                <w:p>
                  <w:pPr>
                    <w:pStyle w:val="104"/>
                    <w:spacing w:line="240" w:lineRule="auto"/>
                    <w:jc w:val="center"/>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eastAsia"/>
                      <w:bCs/>
                      <w:color w:val="auto"/>
                      <w:highlight w:val="none"/>
                      <w:lang w:val="en-US" w:eastAsia="zh-CN"/>
                    </w:rPr>
                    <w:t>9.042</w:t>
                  </w:r>
                  <w:r>
                    <w:rPr>
                      <w:rFonts w:hint="eastAsia" w:cs="Times New Roman"/>
                      <w:bCs/>
                      <w:color w:val="auto"/>
                      <w:spacing w:val="0"/>
                      <w:position w:val="0"/>
                      <w:szCs w:val="21"/>
                      <w:highlight w:val="none"/>
                      <w:lang w:val="en-US" w:eastAsia="zh-CN"/>
                    </w:rPr>
                    <w:t>×10</w:t>
                  </w:r>
                  <w:r>
                    <w:rPr>
                      <w:rFonts w:hint="eastAsia" w:cs="Times New Roman"/>
                      <w:bCs/>
                      <w:color w:val="auto"/>
                      <w:spacing w:val="0"/>
                      <w:position w:val="0"/>
                      <w:szCs w:val="21"/>
                      <w:highlight w:val="none"/>
                      <w:vertAlign w:val="superscript"/>
                      <w:lang w:val="en-US" w:eastAsia="zh-CN"/>
                    </w:rPr>
                    <w:t>-6</w:t>
                  </w:r>
                </w:p>
              </w:tc>
              <w:tc>
                <w:tcPr>
                  <w:tcW w:w="534" w:type="dxa"/>
                  <w:vMerge w:val="restart"/>
                  <w:noWrap w:val="0"/>
                  <w:vAlign w:val="center"/>
                </w:tcPr>
                <w:p>
                  <w:pPr>
                    <w:spacing w:line="240" w:lineRule="auto"/>
                    <w:jc w:val="center"/>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default" w:ascii="Times New Roman" w:hAnsi="Times New Roman" w:cs="Times New Roman"/>
                      <w:b w:val="0"/>
                      <w:bCs w:val="0"/>
                      <w:color w:val="auto"/>
                      <w:spacing w:val="-8"/>
                      <w:kern w:val="2"/>
                      <w:sz w:val="21"/>
                      <w:szCs w:val="21"/>
                      <w:highlight w:val="none"/>
                      <w:lang w:val="en-US" w:eastAsia="zh-CN" w:bidi="ar-SA"/>
                    </w:rPr>
                    <w:t>加强厂区绿化、喷洒生物除臭剂</w:t>
                  </w:r>
                </w:p>
              </w:tc>
              <w:tc>
                <w:tcPr>
                  <w:tcW w:w="709" w:type="dxa"/>
                  <w:vMerge w:val="restart"/>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w:t>
                  </w:r>
                </w:p>
              </w:tc>
              <w:tc>
                <w:tcPr>
                  <w:tcW w:w="324"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是</w:t>
                  </w:r>
                </w:p>
              </w:tc>
              <w:tc>
                <w:tcPr>
                  <w:tcW w:w="324" w:type="dxa"/>
                  <w:vMerge w:val="restart"/>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系数法</w:t>
                  </w:r>
                </w:p>
              </w:tc>
              <w:tc>
                <w:tcPr>
                  <w:tcW w:w="534" w:type="dxa"/>
                  <w:vMerge w:val="restart"/>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833"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428" w:type="dxa"/>
                  <w:noWrap w:val="0"/>
                  <w:vAlign w:val="center"/>
                </w:tcPr>
                <w:p>
                  <w:pPr>
                    <w:pStyle w:val="104"/>
                    <w:spacing w:line="240" w:lineRule="auto"/>
                    <w:jc w:val="center"/>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eastAsia"/>
                      <w:bCs/>
                      <w:color w:val="auto"/>
                      <w:highlight w:val="none"/>
                      <w:lang w:val="en-US" w:eastAsia="zh-CN"/>
                    </w:rPr>
                    <w:t>9.042</w:t>
                  </w:r>
                  <w:r>
                    <w:rPr>
                      <w:rFonts w:hint="eastAsia" w:cs="Times New Roman"/>
                      <w:bCs/>
                      <w:color w:val="auto"/>
                      <w:spacing w:val="0"/>
                      <w:position w:val="0"/>
                      <w:szCs w:val="21"/>
                      <w:highlight w:val="none"/>
                      <w:lang w:val="en-US" w:eastAsia="zh-CN"/>
                    </w:rPr>
                    <w:t>×10</w:t>
                  </w:r>
                  <w:r>
                    <w:rPr>
                      <w:rFonts w:hint="eastAsia" w:cs="Times New Roman"/>
                      <w:bCs/>
                      <w:color w:val="auto"/>
                      <w:spacing w:val="0"/>
                      <w:position w:val="0"/>
                      <w:szCs w:val="21"/>
                      <w:highlight w:val="none"/>
                      <w:vertAlign w:val="superscript"/>
                      <w:lang w:val="en-US" w:eastAsia="zh-CN"/>
                    </w:rPr>
                    <w:t>-6</w:t>
                  </w:r>
                </w:p>
              </w:tc>
              <w:tc>
                <w:tcPr>
                  <w:tcW w:w="639"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50" w:hRule="atLeast"/>
                <w:jc w:val="center"/>
              </w:trPr>
              <w:tc>
                <w:tcPr>
                  <w:tcW w:w="324"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333"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val="en-US" w:eastAsia="zh-CN"/>
                    </w:rPr>
                  </w:pPr>
                </w:p>
              </w:tc>
              <w:tc>
                <w:tcPr>
                  <w:tcW w:w="324" w:type="dxa"/>
                  <w:noWrap w:val="0"/>
                  <w:vAlign w:val="center"/>
                </w:tcPr>
                <w:p>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pacing w:val="-8"/>
                      <w:sz w:val="21"/>
                      <w:szCs w:val="21"/>
                      <w:highlight w:val="none"/>
                    </w:rPr>
                    <w:t>硫化氢</w:t>
                  </w:r>
                </w:p>
              </w:tc>
              <w:tc>
                <w:tcPr>
                  <w:tcW w:w="324"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839"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120" w:type="dxa"/>
                  <w:noWrap w:val="0"/>
                  <w:vAlign w:val="center"/>
                </w:tcPr>
                <w:p>
                  <w:pPr>
                    <w:pStyle w:val="104"/>
                    <w:spacing w:line="240" w:lineRule="auto"/>
                    <w:jc w:val="center"/>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eastAsia"/>
                      <w:bCs/>
                      <w:color w:val="auto"/>
                      <w:highlight w:val="none"/>
                      <w:lang w:val="en-US" w:eastAsia="zh-CN"/>
                    </w:rPr>
                    <w:t>3.5</w:t>
                  </w:r>
                  <w:r>
                    <w:rPr>
                      <w:rFonts w:hint="eastAsia" w:cs="Times New Roman"/>
                      <w:bCs/>
                      <w:color w:val="auto"/>
                      <w:spacing w:val="0"/>
                      <w:position w:val="0"/>
                      <w:szCs w:val="21"/>
                      <w:highlight w:val="none"/>
                      <w:lang w:val="en-US" w:eastAsia="zh-CN"/>
                    </w:rPr>
                    <w:t>×10</w:t>
                  </w:r>
                  <w:r>
                    <w:rPr>
                      <w:rFonts w:hint="eastAsia" w:cs="Times New Roman"/>
                      <w:bCs/>
                      <w:color w:val="auto"/>
                      <w:spacing w:val="0"/>
                      <w:position w:val="0"/>
                      <w:szCs w:val="21"/>
                      <w:highlight w:val="none"/>
                      <w:vertAlign w:val="superscript"/>
                      <w:lang w:val="en-US" w:eastAsia="zh-CN"/>
                    </w:rPr>
                    <w:t>-7</w:t>
                  </w:r>
                </w:p>
              </w:tc>
              <w:tc>
                <w:tcPr>
                  <w:tcW w:w="534" w:type="dxa"/>
                  <w:vMerge w:val="continue"/>
                  <w:noWrap w:val="0"/>
                  <w:vAlign w:val="center"/>
                </w:tcPr>
                <w:p>
                  <w:pPr>
                    <w:spacing w:line="240" w:lineRule="auto"/>
                    <w:jc w:val="center"/>
                    <w:rPr>
                      <w:rFonts w:hint="default" w:ascii="Times New Roman" w:hAnsi="Times New Roman" w:eastAsia="宋体" w:cs="Times New Roman"/>
                      <w:b w:val="0"/>
                      <w:bCs w:val="0"/>
                      <w:color w:val="auto"/>
                      <w:spacing w:val="-8"/>
                      <w:kern w:val="2"/>
                      <w:sz w:val="21"/>
                      <w:szCs w:val="21"/>
                      <w:highlight w:val="none"/>
                      <w:lang w:val="en-US" w:eastAsia="zh-CN" w:bidi="ar-SA"/>
                    </w:rPr>
                  </w:pPr>
                </w:p>
              </w:tc>
              <w:tc>
                <w:tcPr>
                  <w:tcW w:w="709"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324"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是</w:t>
                  </w:r>
                </w:p>
              </w:tc>
              <w:tc>
                <w:tcPr>
                  <w:tcW w:w="324"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534"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833"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428" w:type="dxa"/>
                  <w:noWrap w:val="0"/>
                  <w:vAlign w:val="center"/>
                </w:tcPr>
                <w:p>
                  <w:pPr>
                    <w:pStyle w:val="104"/>
                    <w:spacing w:line="240" w:lineRule="auto"/>
                    <w:jc w:val="center"/>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eastAsia"/>
                      <w:bCs/>
                      <w:color w:val="auto"/>
                      <w:highlight w:val="none"/>
                      <w:lang w:val="en-US" w:eastAsia="zh-CN"/>
                    </w:rPr>
                    <w:t>3.5</w:t>
                  </w:r>
                  <w:r>
                    <w:rPr>
                      <w:rFonts w:hint="eastAsia" w:cs="Times New Roman"/>
                      <w:bCs/>
                      <w:color w:val="auto"/>
                      <w:spacing w:val="0"/>
                      <w:position w:val="0"/>
                      <w:szCs w:val="21"/>
                      <w:highlight w:val="none"/>
                      <w:lang w:val="en-US" w:eastAsia="zh-CN"/>
                    </w:rPr>
                    <w:t>×10</w:t>
                  </w:r>
                  <w:r>
                    <w:rPr>
                      <w:rFonts w:hint="eastAsia" w:cs="Times New Roman"/>
                      <w:bCs/>
                      <w:color w:val="auto"/>
                      <w:spacing w:val="0"/>
                      <w:position w:val="0"/>
                      <w:szCs w:val="21"/>
                      <w:highlight w:val="none"/>
                      <w:vertAlign w:val="superscript"/>
                      <w:lang w:val="en-US" w:eastAsia="zh-CN"/>
                    </w:rPr>
                    <w:t>-7</w:t>
                  </w:r>
                </w:p>
              </w:tc>
              <w:tc>
                <w:tcPr>
                  <w:tcW w:w="639"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yellow"/>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91" w:hRule="atLeast"/>
                <w:jc w:val="center"/>
              </w:trPr>
              <w:tc>
                <w:tcPr>
                  <w:tcW w:w="324"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333"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val="en-US" w:eastAsia="zh-CN"/>
                    </w:rPr>
                  </w:pPr>
                </w:p>
              </w:tc>
              <w:tc>
                <w:tcPr>
                  <w:tcW w:w="324" w:type="dxa"/>
                  <w:noWrap w:val="0"/>
                  <w:vAlign w:val="center"/>
                </w:tcPr>
                <w:p>
                  <w:pPr>
                    <w:spacing w:line="240" w:lineRule="auto"/>
                    <w:jc w:val="center"/>
                    <w:rPr>
                      <w:rFonts w:hint="default" w:ascii="Times New Roman" w:hAnsi="Times New Roman" w:eastAsia="宋体" w:cs="Times New Roman"/>
                      <w:b w:val="0"/>
                      <w:bCs w:val="0"/>
                      <w:color w:val="auto"/>
                      <w:spacing w:val="-8"/>
                      <w:sz w:val="21"/>
                      <w:szCs w:val="21"/>
                      <w:highlight w:val="none"/>
                      <w:lang w:eastAsia="zh-CN"/>
                    </w:rPr>
                  </w:pPr>
                  <w:r>
                    <w:rPr>
                      <w:rFonts w:hint="default" w:ascii="Times New Roman" w:hAnsi="Times New Roman" w:cs="Times New Roman"/>
                      <w:b w:val="0"/>
                      <w:bCs w:val="0"/>
                      <w:color w:val="auto"/>
                      <w:spacing w:val="-8"/>
                      <w:sz w:val="21"/>
                      <w:szCs w:val="21"/>
                      <w:highlight w:val="none"/>
                      <w:lang w:eastAsia="zh-CN"/>
                    </w:rPr>
                    <w:t>臭气浓度</w:t>
                  </w:r>
                </w:p>
              </w:tc>
              <w:tc>
                <w:tcPr>
                  <w:tcW w:w="324"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lang w:val="en-US" w:eastAsia="zh-CN" w:bidi="ar-SA"/>
                    </w:rPr>
                  </w:pPr>
                </w:p>
              </w:tc>
              <w:tc>
                <w:tcPr>
                  <w:tcW w:w="534"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839"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120"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534"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709"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sz w:val="21"/>
                      <w:szCs w:val="21"/>
                      <w:highlight w:val="none"/>
                      <w:lang w:val="en-US" w:eastAsia="zh-CN"/>
                    </w:rPr>
                  </w:pPr>
                </w:p>
              </w:tc>
              <w:tc>
                <w:tcPr>
                  <w:tcW w:w="324"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是</w:t>
                  </w:r>
                </w:p>
              </w:tc>
              <w:tc>
                <w:tcPr>
                  <w:tcW w:w="324"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534"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833"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142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w:t>
                  </w:r>
                </w:p>
              </w:tc>
              <w:tc>
                <w:tcPr>
                  <w:tcW w:w="639" w:type="dxa"/>
                  <w:vMerge w:val="continue"/>
                  <w:noWrap w:val="0"/>
                  <w:vAlign w:val="center"/>
                </w:tcPr>
                <w:p>
                  <w:pPr>
                    <w:pStyle w:val="74"/>
                    <w:adjustRightInd w:val="0"/>
                    <w:snapToGrid w:val="0"/>
                    <w:spacing w:line="240" w:lineRule="auto"/>
                    <w:jc w:val="center"/>
                    <w:rPr>
                      <w:rFonts w:hint="default" w:ascii="Times New Roman" w:hAnsi="Times New Roman" w:eastAsia="宋体" w:cs="Times New Roman"/>
                      <w:b w:val="0"/>
                      <w:bCs w:val="0"/>
                      <w:color w:val="auto"/>
                      <w:sz w:val="21"/>
                      <w:szCs w:val="21"/>
                      <w:highlight w:val="yellow"/>
                      <w:lang w:val="en-US" w:eastAsia="zh-CN"/>
                    </w:rPr>
                  </w:pPr>
                </w:p>
              </w:tc>
            </w:tr>
          </w:tbl>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非正常</w:t>
            </w:r>
            <w:r>
              <w:rPr>
                <w:rFonts w:hint="default" w:ascii="Times New Roman" w:hAnsi="Times New Roman" w:eastAsia="宋体" w:cs="Times New Roman"/>
                <w:color w:val="auto"/>
                <w:sz w:val="24"/>
                <w:szCs w:val="24"/>
                <w:highlight w:val="none"/>
                <w:lang w:eastAsia="zh-CN"/>
              </w:rPr>
              <w:t>工况</w:t>
            </w:r>
          </w:p>
          <w:p>
            <w:pPr>
              <w:spacing w:line="360" w:lineRule="auto"/>
              <w:ind w:firstLine="480" w:firstLineChars="200"/>
              <w:rPr>
                <w:color w:val="auto"/>
                <w:kern w:val="0"/>
                <w:sz w:val="24"/>
                <w:highlight w:val="yellow"/>
              </w:rPr>
            </w:pPr>
            <w:r>
              <w:rPr>
                <w:rFonts w:hint="eastAsia"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采用</w:t>
            </w:r>
            <w:r>
              <w:rPr>
                <w:rFonts w:hint="eastAsia" w:ascii="Times New Roman" w:hAnsi="Times New Roman" w:eastAsia="宋体" w:cs="Times New Roman"/>
                <w:color w:val="auto"/>
                <w:sz w:val="24"/>
                <w:szCs w:val="24"/>
                <w:highlight w:val="none"/>
                <w:lang w:eastAsia="zh-CN"/>
              </w:rPr>
              <w:t>活性炭吸附装置处理污水处理设施废气</w:t>
            </w:r>
            <w:r>
              <w:rPr>
                <w:rFonts w:hint="default" w:ascii="Times New Roman" w:hAnsi="Times New Roman" w:eastAsia="宋体" w:cs="Times New Roman"/>
                <w:color w:val="auto"/>
                <w:sz w:val="24"/>
                <w:szCs w:val="24"/>
                <w:highlight w:val="none"/>
              </w:rPr>
              <w:t>，经处理后的</w:t>
            </w:r>
            <w:r>
              <w:rPr>
                <w:rFonts w:hint="eastAsia" w:ascii="Times New Roman" w:hAnsi="Times New Roman" w:eastAsia="宋体" w:cs="Times New Roman"/>
                <w:color w:val="auto"/>
                <w:sz w:val="24"/>
                <w:szCs w:val="24"/>
                <w:highlight w:val="none"/>
                <w:lang w:eastAsia="zh-CN"/>
              </w:rPr>
              <w:t>恶臭气体</w:t>
            </w:r>
            <w:r>
              <w:rPr>
                <w:rFonts w:hint="default" w:ascii="Times New Roman" w:hAnsi="Times New Roman" w:eastAsia="宋体" w:cs="Times New Roman"/>
                <w:color w:val="auto"/>
                <w:sz w:val="24"/>
                <w:szCs w:val="24"/>
                <w:highlight w:val="none"/>
              </w:rPr>
              <w:t>通过</w:t>
            </w:r>
            <w:r>
              <w:rPr>
                <w:rFonts w:hint="eastAsia" w:ascii="Times New Roman" w:hAnsi="Times New Roman" w:eastAsia="宋体" w:cs="Times New Roman"/>
                <w:color w:val="auto"/>
                <w:sz w:val="24"/>
                <w:szCs w:val="24"/>
                <w:highlight w:val="none"/>
                <w:lang w:val="en-US" w:eastAsia="zh-CN"/>
              </w:rPr>
              <w:t>15m高排气筒</w:t>
            </w:r>
            <w:r>
              <w:rPr>
                <w:rFonts w:hint="default" w:ascii="Times New Roman" w:hAnsi="Times New Roman" w:eastAsia="宋体" w:cs="Times New Roman"/>
                <w:color w:val="auto"/>
                <w:sz w:val="24"/>
                <w:szCs w:val="24"/>
                <w:highlight w:val="none"/>
              </w:rPr>
              <w:t>排放</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非正常工况表现为</w:t>
            </w:r>
            <w:r>
              <w:rPr>
                <w:rFonts w:hint="eastAsia" w:ascii="Times New Roman" w:hAnsi="Times New Roman" w:eastAsia="宋体" w:cs="Times New Roman"/>
                <w:color w:val="auto"/>
                <w:sz w:val="24"/>
                <w:szCs w:val="24"/>
                <w:highlight w:val="none"/>
                <w:lang w:val="en-US" w:eastAsia="zh-CN"/>
              </w:rPr>
              <w:t>活性炭吸附装置故障，</w:t>
            </w:r>
            <w:r>
              <w:rPr>
                <w:rFonts w:hint="eastAsia" w:cs="Times New Roman"/>
                <w:color w:val="auto"/>
                <w:sz w:val="24"/>
                <w:szCs w:val="24"/>
                <w:highlight w:val="none"/>
                <w:lang w:val="en-US" w:eastAsia="zh-CN"/>
              </w:rPr>
              <w:t>去除效率降低至50%，</w:t>
            </w:r>
            <w:r>
              <w:rPr>
                <w:color w:val="auto"/>
                <w:kern w:val="0"/>
                <w:sz w:val="24"/>
                <w:highlight w:val="none"/>
              </w:rPr>
              <w:t>本项目年运行</w:t>
            </w:r>
            <w:r>
              <w:rPr>
                <w:rFonts w:hint="eastAsia"/>
                <w:color w:val="auto"/>
                <w:kern w:val="0"/>
                <w:sz w:val="24"/>
                <w:highlight w:val="none"/>
                <w:lang w:val="en-US" w:eastAsia="zh-CN"/>
              </w:rPr>
              <w:t>60</w:t>
            </w:r>
            <w:r>
              <w:rPr>
                <w:color w:val="auto"/>
                <w:kern w:val="0"/>
                <w:sz w:val="24"/>
                <w:highlight w:val="none"/>
              </w:rPr>
              <w:t>天，每次污染物非正常排放情况发生时间不超过1小时，每年发生次数不超过</w:t>
            </w:r>
            <w:r>
              <w:rPr>
                <w:rFonts w:hint="eastAsia"/>
                <w:color w:val="auto"/>
                <w:kern w:val="0"/>
                <w:sz w:val="24"/>
                <w:highlight w:val="none"/>
                <w:lang w:val="en-US" w:eastAsia="zh-CN"/>
              </w:rPr>
              <w:t>1次；</w:t>
            </w:r>
          </w:p>
          <w:p>
            <w:pPr>
              <w:spacing w:line="360" w:lineRule="auto"/>
              <w:ind w:firstLine="480" w:firstLineChars="200"/>
              <w:rPr>
                <w:color w:val="auto"/>
                <w:kern w:val="0"/>
                <w:sz w:val="24"/>
                <w:highlight w:val="none"/>
              </w:rPr>
            </w:pPr>
            <w:r>
              <w:rPr>
                <w:color w:val="auto"/>
                <w:kern w:val="0"/>
                <w:sz w:val="24"/>
                <w:highlight w:val="none"/>
              </w:rPr>
              <w:t>大气污染物源强非正常排放核算下表。</w:t>
            </w:r>
          </w:p>
          <w:p>
            <w:pPr>
              <w:pStyle w:val="9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w:t>
            </w:r>
            <w:r>
              <w:rPr>
                <w:rFonts w:hint="eastAsia" w:eastAsia="宋体" w:cs="Times New Roman"/>
                <w:b/>
                <w:bCs/>
                <w:color w:val="auto"/>
                <w:sz w:val="21"/>
                <w:szCs w:val="21"/>
                <w:highlight w:val="none"/>
                <w:lang w:val="en-US" w:eastAsia="zh-CN"/>
              </w:rPr>
              <w:t>8</w:t>
            </w:r>
            <w:r>
              <w:rPr>
                <w:rFonts w:hint="eastAsia" w:ascii="Times New Roman" w:hAnsi="Times New Roman" w:eastAsia="宋体" w:cs="Times New Roman"/>
                <w:b/>
                <w:bCs/>
                <w:color w:val="auto"/>
                <w:sz w:val="21"/>
                <w:szCs w:val="21"/>
                <w:highlight w:val="none"/>
                <w:lang w:val="en-US" w:eastAsia="zh-CN"/>
              </w:rPr>
              <w:t xml:space="preserve"> 污染源非正常排放核算表</w:t>
            </w:r>
          </w:p>
          <w:tbl>
            <w:tblPr>
              <w:tblStyle w:val="29"/>
              <w:tblW w:w="878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06"/>
              <w:gridCol w:w="1310"/>
              <w:gridCol w:w="881"/>
              <w:gridCol w:w="1514"/>
              <w:gridCol w:w="1316"/>
              <w:gridCol w:w="1211"/>
              <w:gridCol w:w="850"/>
              <w:gridCol w:w="7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jc w:val="center"/>
              </w:trPr>
              <w:tc>
                <w:tcPr>
                  <w:tcW w:w="906"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污染源</w:t>
                  </w:r>
                </w:p>
              </w:tc>
              <w:tc>
                <w:tcPr>
                  <w:tcW w:w="131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非正常排放原因</w:t>
                  </w:r>
                </w:p>
              </w:tc>
              <w:tc>
                <w:tcPr>
                  <w:tcW w:w="88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污染物</w:t>
                  </w:r>
                </w:p>
              </w:tc>
              <w:tc>
                <w:tcPr>
                  <w:tcW w:w="151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非正常排放浓度</w:t>
                  </w:r>
                  <w:r>
                    <w:rPr>
                      <w:rFonts w:hint="eastAsia" w:ascii="Times New Roman" w:hAnsi="Times New Roman" w:eastAsia="宋体" w:cs="Times New Roman"/>
                      <w:color w:val="auto"/>
                      <w:kern w:val="0"/>
                      <w:sz w:val="21"/>
                      <w:szCs w:val="21"/>
                      <w:highlight w:val="none"/>
                      <w:lang w:eastAsia="zh-CN"/>
                    </w:rPr>
                    <w:t>（</w:t>
                  </w:r>
                  <w:r>
                    <w:rPr>
                      <w:rFonts w:hint="eastAsia" w:ascii="Times New Roman" w:hAnsi="Times New Roman" w:eastAsia="宋体" w:cs="Times New Roman"/>
                      <w:color w:val="auto"/>
                      <w:kern w:val="0"/>
                      <w:sz w:val="21"/>
                      <w:szCs w:val="21"/>
                      <w:highlight w:val="none"/>
                      <w:lang w:val="en-US" w:eastAsia="zh-CN"/>
                    </w:rPr>
                    <w:t>mg/m</w:t>
                  </w:r>
                  <w:r>
                    <w:rPr>
                      <w:rFonts w:hint="eastAsia" w:ascii="Times New Roman" w:hAnsi="Times New Roman" w:eastAsia="宋体" w:cs="Times New Roman"/>
                      <w:color w:val="auto"/>
                      <w:kern w:val="0"/>
                      <w:sz w:val="21"/>
                      <w:szCs w:val="21"/>
                      <w:highlight w:val="none"/>
                      <w:vertAlign w:val="superscript"/>
                      <w:lang w:val="en-US" w:eastAsia="zh-CN"/>
                    </w:rPr>
                    <w:t>3</w:t>
                  </w:r>
                  <w:r>
                    <w:rPr>
                      <w:rFonts w:hint="eastAsia" w:ascii="Times New Roman" w:hAnsi="Times New Roman" w:eastAsia="宋体" w:cs="Times New Roman"/>
                      <w:color w:val="auto"/>
                      <w:kern w:val="0"/>
                      <w:sz w:val="21"/>
                      <w:szCs w:val="21"/>
                      <w:highlight w:val="none"/>
                      <w:lang w:eastAsia="zh-CN"/>
                    </w:rPr>
                    <w:t>）</w:t>
                  </w:r>
                </w:p>
              </w:tc>
              <w:tc>
                <w:tcPr>
                  <w:tcW w:w="1316"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非正常排放速率</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kg/h</w:t>
                  </w:r>
                  <w:r>
                    <w:rPr>
                      <w:rFonts w:hint="eastAsia" w:ascii="Times New Roman" w:hAnsi="Times New Roman" w:eastAsia="宋体" w:cs="Times New Roman"/>
                      <w:color w:val="auto"/>
                      <w:kern w:val="0"/>
                      <w:sz w:val="21"/>
                      <w:szCs w:val="21"/>
                      <w:highlight w:val="none"/>
                      <w:lang w:eastAsia="zh-CN"/>
                    </w:rPr>
                    <w:t>）</w:t>
                  </w:r>
                </w:p>
              </w:tc>
              <w:tc>
                <w:tcPr>
                  <w:tcW w:w="121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单次持续时间（h）</w:t>
                  </w:r>
                </w:p>
              </w:tc>
              <w:tc>
                <w:tcPr>
                  <w:tcW w:w="85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年发生频次</w:t>
                  </w:r>
                </w:p>
              </w:tc>
              <w:tc>
                <w:tcPr>
                  <w:tcW w:w="799"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jc w:val="center"/>
              </w:trPr>
              <w:tc>
                <w:tcPr>
                  <w:tcW w:w="906" w:type="dxa"/>
                  <w:vMerge w:val="restart"/>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污水处理设施</w:t>
                  </w:r>
                </w:p>
              </w:tc>
              <w:tc>
                <w:tcPr>
                  <w:tcW w:w="1310" w:type="dxa"/>
                  <w:vMerge w:val="restart"/>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活性炭吸附装置故障，去除效率降低至</w:t>
                  </w:r>
                  <w:r>
                    <w:rPr>
                      <w:rFonts w:hint="eastAsia" w:cs="Times New Roman"/>
                      <w:color w:val="auto"/>
                      <w:kern w:val="0"/>
                      <w:sz w:val="21"/>
                      <w:szCs w:val="21"/>
                      <w:highlight w:val="none"/>
                      <w:lang w:val="en-US" w:eastAsia="zh-CN"/>
                    </w:rPr>
                    <w:t>5</w:t>
                  </w:r>
                  <w:r>
                    <w:rPr>
                      <w:rFonts w:hint="eastAsia" w:ascii="Times New Roman" w:hAnsi="Times New Roman" w:eastAsia="宋体" w:cs="Times New Roman"/>
                      <w:color w:val="auto"/>
                      <w:kern w:val="0"/>
                      <w:sz w:val="21"/>
                      <w:szCs w:val="21"/>
                      <w:highlight w:val="none"/>
                      <w:lang w:val="en-US" w:eastAsia="zh-CN"/>
                    </w:rPr>
                    <w:t>0%</w:t>
                  </w:r>
                </w:p>
              </w:tc>
              <w:tc>
                <w:tcPr>
                  <w:tcW w:w="881" w:type="dxa"/>
                  <w:noWrap w:val="0"/>
                  <w:vAlign w:val="center"/>
                </w:tcPr>
                <w:p>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pacing w:val="-8"/>
                      <w:szCs w:val="21"/>
                      <w:highlight w:val="none"/>
                    </w:rPr>
                    <w:t>氨</w:t>
                  </w:r>
                </w:p>
              </w:tc>
              <w:tc>
                <w:tcPr>
                  <w:tcW w:w="1514"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0.04295</w:t>
                  </w:r>
                </w:p>
              </w:tc>
              <w:tc>
                <w:tcPr>
                  <w:tcW w:w="1316" w:type="dxa"/>
                  <w:noWrap w:val="0"/>
                  <w:vAlign w:val="center"/>
                </w:tcPr>
                <w:p>
                  <w:pPr>
                    <w:pStyle w:val="74"/>
                    <w:adjustRightInd w:val="0"/>
                    <w:snapToGrid w:val="0"/>
                    <w:spacing w:line="240" w:lineRule="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8.59×</w:t>
                  </w:r>
                  <w:r>
                    <w:rPr>
                      <w:rFonts w:hint="eastAsia" w:cs="Times New Roman"/>
                      <w:bCs/>
                      <w:color w:val="auto"/>
                      <w:spacing w:val="0"/>
                      <w:position w:val="0"/>
                      <w:szCs w:val="21"/>
                      <w:highlight w:val="none"/>
                      <w:lang w:val="en-US" w:eastAsia="zh-CN"/>
                    </w:rPr>
                    <w:t>10</w:t>
                  </w:r>
                  <w:r>
                    <w:rPr>
                      <w:rFonts w:hint="eastAsia" w:cs="Times New Roman"/>
                      <w:bCs/>
                      <w:color w:val="auto"/>
                      <w:spacing w:val="0"/>
                      <w:position w:val="0"/>
                      <w:szCs w:val="21"/>
                      <w:highlight w:val="none"/>
                      <w:vertAlign w:val="superscript"/>
                      <w:lang w:val="en-US" w:eastAsia="zh-CN"/>
                    </w:rPr>
                    <w:t>-5</w:t>
                  </w:r>
                </w:p>
              </w:tc>
              <w:tc>
                <w:tcPr>
                  <w:tcW w:w="1211" w:type="dxa"/>
                  <w:vMerge w:val="restart"/>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≤1</w:t>
                  </w:r>
                </w:p>
              </w:tc>
              <w:tc>
                <w:tcPr>
                  <w:tcW w:w="850" w:type="dxa"/>
                  <w:vMerge w:val="restart"/>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1</w:t>
                  </w:r>
                  <w:r>
                    <w:rPr>
                      <w:rFonts w:hint="eastAsia" w:ascii="Times New Roman" w:hAnsi="Times New Roman" w:eastAsia="宋体" w:cs="Times New Roman"/>
                      <w:color w:val="auto"/>
                      <w:kern w:val="0"/>
                      <w:sz w:val="21"/>
                      <w:szCs w:val="21"/>
                      <w:highlight w:val="none"/>
                      <w:lang w:val="en-US" w:eastAsia="zh-CN"/>
                    </w:rPr>
                    <w:t>次</w:t>
                  </w:r>
                </w:p>
              </w:tc>
              <w:tc>
                <w:tcPr>
                  <w:tcW w:w="799" w:type="dxa"/>
                  <w:vMerge w:val="restart"/>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加强日常检修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jc w:val="center"/>
              </w:trPr>
              <w:tc>
                <w:tcPr>
                  <w:tcW w:w="906" w:type="dxa"/>
                  <w:vMerge w:val="continue"/>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1310" w:type="dxa"/>
                  <w:vMerge w:val="continue"/>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881" w:type="dxa"/>
                  <w:noWrap w:val="0"/>
                  <w:vAlign w:val="center"/>
                </w:tcPr>
                <w:p>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pacing w:val="-8"/>
                      <w:szCs w:val="21"/>
                      <w:highlight w:val="none"/>
                    </w:rPr>
                    <w:t>硫化氢</w:t>
                  </w:r>
                </w:p>
              </w:tc>
              <w:tc>
                <w:tcPr>
                  <w:tcW w:w="1514" w:type="dxa"/>
                  <w:noWrap w:val="0"/>
                  <w:vAlign w:val="center"/>
                </w:tcPr>
                <w:p>
                  <w:pPr>
                    <w:pStyle w:val="74"/>
                    <w:adjustRightInd w:val="0"/>
                    <w:snapToGrid w:val="0"/>
                    <w:spacing w:line="240" w:lineRule="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0.00165</w:t>
                  </w:r>
                </w:p>
              </w:tc>
              <w:tc>
                <w:tcPr>
                  <w:tcW w:w="1316" w:type="dxa"/>
                  <w:noWrap w:val="0"/>
                  <w:vAlign w:val="center"/>
                </w:tcPr>
                <w:p>
                  <w:pPr>
                    <w:pStyle w:val="74"/>
                    <w:adjustRightInd w:val="0"/>
                    <w:snapToGrid w:val="0"/>
                    <w:spacing w:line="240" w:lineRule="auto"/>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highlight w:val="none"/>
                      <w:lang w:val="en-US" w:eastAsia="zh-CN"/>
                    </w:rPr>
                    <w:t>3.325</w:t>
                  </w:r>
                  <w:r>
                    <w:rPr>
                      <w:rFonts w:hint="eastAsia" w:cs="Times New Roman"/>
                      <w:bCs/>
                      <w:color w:val="auto"/>
                      <w:spacing w:val="0"/>
                      <w:position w:val="0"/>
                      <w:szCs w:val="21"/>
                      <w:highlight w:val="none"/>
                      <w:lang w:val="en-US" w:eastAsia="zh-CN"/>
                    </w:rPr>
                    <w:t>×10</w:t>
                  </w:r>
                  <w:r>
                    <w:rPr>
                      <w:rFonts w:hint="eastAsia" w:cs="Times New Roman"/>
                      <w:bCs/>
                      <w:color w:val="auto"/>
                      <w:spacing w:val="0"/>
                      <w:position w:val="0"/>
                      <w:szCs w:val="21"/>
                      <w:highlight w:val="none"/>
                      <w:vertAlign w:val="superscript"/>
                      <w:lang w:val="en-US" w:eastAsia="zh-CN"/>
                    </w:rPr>
                    <w:t>-6</w:t>
                  </w:r>
                </w:p>
              </w:tc>
              <w:tc>
                <w:tcPr>
                  <w:tcW w:w="1211" w:type="dxa"/>
                  <w:vMerge w:val="continue"/>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850" w:type="dxa"/>
                  <w:vMerge w:val="continue"/>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799" w:type="dxa"/>
                  <w:vMerge w:val="continue"/>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p>
              </w:tc>
            </w:tr>
          </w:tbl>
          <w:p>
            <w:pPr>
              <w:spacing w:line="360" w:lineRule="auto"/>
              <w:ind w:firstLine="480" w:firstLineChars="200"/>
              <w:rPr>
                <w:color w:val="auto"/>
                <w:kern w:val="0"/>
                <w:sz w:val="24"/>
                <w:highlight w:val="none"/>
              </w:rPr>
            </w:pP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color w:val="auto"/>
                <w:kern w:val="0"/>
                <w:sz w:val="24"/>
                <w:highlight w:val="none"/>
              </w:rPr>
              <w:t>废气排放口基本情况</w:t>
            </w:r>
          </w:p>
          <w:p>
            <w:pPr>
              <w:spacing w:line="360" w:lineRule="auto"/>
              <w:ind w:firstLine="480" w:firstLineChars="200"/>
              <w:rPr>
                <w:color w:val="auto"/>
                <w:kern w:val="0"/>
                <w:sz w:val="24"/>
                <w:highlight w:val="none"/>
              </w:rPr>
            </w:pPr>
            <w:r>
              <w:rPr>
                <w:rFonts w:hint="eastAsia"/>
                <w:color w:val="auto"/>
                <w:kern w:val="0"/>
                <w:sz w:val="24"/>
                <w:highlight w:val="none"/>
              </w:rPr>
              <w:t>本项目废气产生及排放情况见</w:t>
            </w:r>
            <w:r>
              <w:rPr>
                <w:color w:val="auto"/>
                <w:kern w:val="0"/>
                <w:sz w:val="24"/>
                <w:highlight w:val="none"/>
              </w:rPr>
              <w:t>下表。</w:t>
            </w:r>
          </w:p>
          <w:p>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w:t>
            </w:r>
            <w:r>
              <w:rPr>
                <w:rFonts w:hint="eastAsia" w:eastAsia="宋体" w:cs="Times New Roman"/>
                <w:b/>
                <w:bCs/>
                <w:color w:val="auto"/>
                <w:sz w:val="21"/>
                <w:szCs w:val="21"/>
                <w:highlight w:val="none"/>
                <w:lang w:val="en-US" w:eastAsia="zh-CN"/>
              </w:rPr>
              <w:t>9</w:t>
            </w:r>
            <w:r>
              <w:rPr>
                <w:rFonts w:hint="eastAsia" w:ascii="Times New Roman" w:hAnsi="Times New Roman" w:eastAsia="宋体" w:cs="Times New Roman"/>
                <w:b/>
                <w:bCs/>
                <w:color w:val="auto"/>
                <w:sz w:val="21"/>
                <w:szCs w:val="21"/>
                <w:highlight w:val="none"/>
                <w:lang w:val="en-US" w:eastAsia="zh-CN"/>
              </w:rPr>
              <w:t xml:space="preserve"> 废气产生及排放情况表</w:t>
            </w:r>
          </w:p>
          <w:tbl>
            <w:tblPr>
              <w:tblStyle w:val="29"/>
              <w:tblW w:w="878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34"/>
              <w:gridCol w:w="483"/>
              <w:gridCol w:w="774"/>
              <w:gridCol w:w="959"/>
              <w:gridCol w:w="657"/>
              <w:gridCol w:w="656"/>
              <w:gridCol w:w="1322"/>
              <w:gridCol w:w="1217"/>
              <w:gridCol w:w="602"/>
              <w:gridCol w:w="598"/>
              <w:gridCol w:w="691"/>
              <w:gridCol w:w="4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19" w:hRule="atLeast"/>
                <w:jc w:val="center"/>
              </w:trPr>
              <w:tc>
                <w:tcPr>
                  <w:tcW w:w="334" w:type="dxa"/>
                  <w:vMerge w:val="restart"/>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序号</w:t>
                  </w:r>
                </w:p>
              </w:tc>
              <w:tc>
                <w:tcPr>
                  <w:tcW w:w="483" w:type="dxa"/>
                  <w:vMerge w:val="restart"/>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排放源</w:t>
                  </w:r>
                </w:p>
              </w:tc>
              <w:tc>
                <w:tcPr>
                  <w:tcW w:w="774" w:type="dxa"/>
                  <w:vMerge w:val="restart"/>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排放口编号</w:t>
                  </w:r>
                </w:p>
              </w:tc>
              <w:tc>
                <w:tcPr>
                  <w:tcW w:w="959" w:type="dxa"/>
                  <w:vMerge w:val="restart"/>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污染物种类</w:t>
                  </w:r>
                </w:p>
              </w:tc>
              <w:tc>
                <w:tcPr>
                  <w:tcW w:w="657" w:type="dxa"/>
                  <w:vMerge w:val="restart"/>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排放口名称</w:t>
                  </w:r>
                </w:p>
              </w:tc>
              <w:tc>
                <w:tcPr>
                  <w:tcW w:w="656" w:type="dxa"/>
                  <w:vMerge w:val="restart"/>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排放口类型</w:t>
                  </w:r>
                </w:p>
              </w:tc>
              <w:tc>
                <w:tcPr>
                  <w:tcW w:w="2539" w:type="dxa"/>
                  <w:gridSpan w:val="2"/>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坐标</w:t>
                  </w:r>
                  <w:r>
                    <w:rPr>
                      <w:rFonts w:hint="eastAsia"/>
                      <w:color w:val="auto"/>
                      <w:highlight w:val="none"/>
                      <w:lang w:eastAsia="zh-CN"/>
                    </w:rPr>
                    <w:t>（</w:t>
                  </w:r>
                  <w:r>
                    <w:rPr>
                      <w:rFonts w:hint="eastAsia"/>
                      <w:color w:val="auto"/>
                      <w:highlight w:val="none"/>
                      <w:lang w:val="en-US" w:eastAsia="zh-CN"/>
                    </w:rPr>
                    <w:t>°</w:t>
                  </w:r>
                  <w:r>
                    <w:rPr>
                      <w:rFonts w:hint="eastAsia"/>
                      <w:color w:val="auto"/>
                      <w:highlight w:val="none"/>
                      <w:lang w:eastAsia="zh-CN"/>
                    </w:rPr>
                    <w:t>）</w:t>
                  </w:r>
                </w:p>
              </w:tc>
              <w:tc>
                <w:tcPr>
                  <w:tcW w:w="1891" w:type="dxa"/>
                  <w:gridSpan w:val="3"/>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排气筒情况</w:t>
                  </w:r>
                </w:p>
              </w:tc>
              <w:tc>
                <w:tcPr>
                  <w:tcW w:w="494" w:type="dxa"/>
                  <w:vMerge w:val="restart"/>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其他信息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557" w:hRule="atLeast"/>
                <w:jc w:val="center"/>
              </w:trPr>
              <w:tc>
                <w:tcPr>
                  <w:tcW w:w="334" w:type="dxa"/>
                  <w:vMerge w:val="continue"/>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483" w:type="dxa"/>
                  <w:vMerge w:val="continue"/>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774" w:type="dxa"/>
                  <w:vMerge w:val="continue"/>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959" w:type="dxa"/>
                  <w:vMerge w:val="continue"/>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657" w:type="dxa"/>
                  <w:vMerge w:val="continue"/>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656" w:type="dxa"/>
                  <w:vMerge w:val="continue"/>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p>
              </w:tc>
              <w:tc>
                <w:tcPr>
                  <w:tcW w:w="1322"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经度</w:t>
                  </w:r>
                </w:p>
              </w:tc>
              <w:tc>
                <w:tcPr>
                  <w:tcW w:w="121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纬度</w:t>
                  </w:r>
                </w:p>
              </w:tc>
              <w:tc>
                <w:tcPr>
                  <w:tcW w:w="602"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高度</w:t>
                  </w:r>
                </w:p>
              </w:tc>
              <w:tc>
                <w:tcPr>
                  <w:tcW w:w="598"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内径</w:t>
                  </w:r>
                </w:p>
              </w:tc>
              <w:tc>
                <w:tcPr>
                  <w:tcW w:w="691"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排气温度</w:t>
                  </w:r>
                </w:p>
              </w:tc>
              <w:tc>
                <w:tcPr>
                  <w:tcW w:w="494" w:type="dxa"/>
                  <w:vMerge w:val="continue"/>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1603" w:hRule="atLeast"/>
                <w:jc w:val="center"/>
              </w:trPr>
              <w:tc>
                <w:tcPr>
                  <w:tcW w:w="334"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483"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污水处理设施</w:t>
                  </w:r>
                </w:p>
              </w:tc>
              <w:tc>
                <w:tcPr>
                  <w:tcW w:w="774"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DA00</w:t>
                  </w:r>
                  <w:r>
                    <w:rPr>
                      <w:rFonts w:hint="eastAsia" w:cs="Times New Roman"/>
                      <w:color w:val="auto"/>
                      <w:kern w:val="0"/>
                      <w:sz w:val="21"/>
                      <w:szCs w:val="21"/>
                      <w:highlight w:val="none"/>
                      <w:lang w:val="en-US" w:eastAsia="zh-CN"/>
                    </w:rPr>
                    <w:t>1</w:t>
                  </w:r>
                </w:p>
              </w:tc>
              <w:tc>
                <w:tcPr>
                  <w:tcW w:w="959"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氨</w:t>
                  </w:r>
                </w:p>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硫化氢</w:t>
                  </w:r>
                </w:p>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臭气浓度</w:t>
                  </w:r>
                </w:p>
              </w:tc>
              <w:tc>
                <w:tcPr>
                  <w:tcW w:w="65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排气筒</w:t>
                  </w:r>
                </w:p>
              </w:tc>
              <w:tc>
                <w:tcPr>
                  <w:tcW w:w="656"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一般排放口</w:t>
                  </w:r>
                </w:p>
              </w:tc>
              <w:tc>
                <w:tcPr>
                  <w:tcW w:w="1322"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rPr>
                    <w:t>130.44894844</w:t>
                  </w:r>
                </w:p>
              </w:tc>
              <w:tc>
                <w:tcPr>
                  <w:tcW w:w="1217"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rPr>
                    <w:t>48.63889083</w:t>
                  </w:r>
                </w:p>
              </w:tc>
              <w:tc>
                <w:tcPr>
                  <w:tcW w:w="602"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15m</w:t>
                  </w:r>
                </w:p>
              </w:tc>
              <w:tc>
                <w:tcPr>
                  <w:tcW w:w="598"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.2</w:t>
                  </w:r>
                  <w:r>
                    <w:rPr>
                      <w:rFonts w:hint="eastAsia" w:ascii="Times New Roman" w:hAnsi="Times New Roman" w:eastAsia="宋体" w:cs="Times New Roman"/>
                      <w:color w:val="auto"/>
                      <w:kern w:val="0"/>
                      <w:sz w:val="21"/>
                      <w:szCs w:val="21"/>
                      <w:highlight w:val="none"/>
                      <w:lang w:val="en-US" w:eastAsia="zh-CN"/>
                    </w:rPr>
                    <w:t>m</w:t>
                  </w:r>
                </w:p>
              </w:tc>
              <w:tc>
                <w:tcPr>
                  <w:tcW w:w="691"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val="en-US" w:eastAsia="zh-CN"/>
                    </w:rPr>
                    <w:t>0℃</w:t>
                  </w:r>
                </w:p>
              </w:tc>
              <w:tc>
                <w:tcPr>
                  <w:tcW w:w="494"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w:t>
                  </w:r>
                </w:p>
              </w:tc>
            </w:tr>
          </w:tbl>
          <w:p>
            <w:pPr>
              <w:pStyle w:val="75"/>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（4）监测计划 </w:t>
            </w:r>
          </w:p>
          <w:p>
            <w:pPr>
              <w:pStyle w:val="75"/>
              <w:spacing w:line="360" w:lineRule="auto"/>
              <w:ind w:firstLine="480"/>
              <w:rPr>
                <w:color w:val="auto"/>
                <w:szCs w:val="24"/>
                <w:highlight w:val="none"/>
              </w:rPr>
            </w:pPr>
            <w:r>
              <w:rPr>
                <w:rFonts w:hint="eastAsia"/>
                <w:color w:val="auto"/>
                <w:sz w:val="24"/>
                <w:szCs w:val="24"/>
                <w:highlight w:val="none"/>
              </w:rPr>
              <w:t>依据《排污单位自行监测技术指南总则》</w:t>
            </w:r>
            <w:r>
              <w:rPr>
                <w:rFonts w:hint="eastAsia"/>
                <w:color w:val="auto"/>
                <w:sz w:val="24"/>
                <w:szCs w:val="24"/>
                <w:highlight w:val="none"/>
                <w:lang w:eastAsia="zh-CN"/>
              </w:rPr>
              <w:t>（</w:t>
            </w:r>
            <w:r>
              <w:rPr>
                <w:rFonts w:hint="eastAsia"/>
                <w:color w:val="auto"/>
                <w:sz w:val="24"/>
                <w:szCs w:val="24"/>
                <w:highlight w:val="none"/>
              </w:rPr>
              <w:t>HJ819-2017</w:t>
            </w:r>
            <w:r>
              <w:rPr>
                <w:rFonts w:hint="eastAsia"/>
                <w:color w:val="auto"/>
                <w:sz w:val="24"/>
                <w:szCs w:val="24"/>
                <w:highlight w:val="none"/>
                <w:lang w:eastAsia="zh-CN"/>
              </w:rPr>
              <w:t>）</w:t>
            </w:r>
            <w:r>
              <w:rPr>
                <w:rFonts w:hint="eastAsia"/>
                <w:color w:val="auto"/>
                <w:sz w:val="24"/>
                <w:szCs w:val="24"/>
                <w:highlight w:val="none"/>
              </w:rPr>
              <w:t>确定本项目监测计划，具体见下表。</w:t>
            </w:r>
          </w:p>
          <w:p>
            <w:pPr>
              <w:pStyle w:val="9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w:t>
            </w:r>
            <w:r>
              <w:rPr>
                <w:rFonts w:hint="eastAsia" w:eastAsia="宋体" w:cs="Times New Roman"/>
                <w:b/>
                <w:bCs/>
                <w:color w:val="auto"/>
                <w:sz w:val="21"/>
                <w:szCs w:val="21"/>
                <w:highlight w:val="none"/>
                <w:lang w:val="en-US" w:eastAsia="zh-CN"/>
              </w:rPr>
              <w:t>10</w:t>
            </w:r>
            <w:r>
              <w:rPr>
                <w:rFonts w:hint="eastAsia" w:ascii="Times New Roman" w:hAnsi="Times New Roman" w:eastAsia="宋体" w:cs="Times New Roman"/>
                <w:b/>
                <w:bCs/>
                <w:color w:val="auto"/>
                <w:sz w:val="21"/>
                <w:szCs w:val="21"/>
                <w:highlight w:val="none"/>
                <w:lang w:val="en-US" w:eastAsia="zh-CN"/>
              </w:rPr>
              <w:t xml:space="preserve"> 本项目污染源监测计划</w:t>
            </w:r>
          </w:p>
          <w:tbl>
            <w:tblPr>
              <w:tblStyle w:val="29"/>
              <w:tblW w:w="8787" w:type="dxa"/>
              <w:jc w:val="center"/>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108" w:type="dxa"/>
                <w:bottom w:w="0" w:type="dxa"/>
                <w:right w:w="108" w:type="dxa"/>
              </w:tblCellMar>
            </w:tblPr>
            <w:tblGrid>
              <w:gridCol w:w="1322"/>
              <w:gridCol w:w="2591"/>
              <w:gridCol w:w="2429"/>
              <w:gridCol w:w="2445"/>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322"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类型</w:t>
                  </w:r>
                </w:p>
              </w:tc>
              <w:tc>
                <w:tcPr>
                  <w:tcW w:w="2591"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监测项目</w:t>
                  </w:r>
                </w:p>
              </w:tc>
              <w:tc>
                <w:tcPr>
                  <w:tcW w:w="2429"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监测点</w:t>
                  </w:r>
                </w:p>
              </w:tc>
              <w:tc>
                <w:tcPr>
                  <w:tcW w:w="2445"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监测频率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108" w:type="dxa"/>
                  <w:bottom w:w="0" w:type="dxa"/>
                  <w:right w:w="108" w:type="dxa"/>
                </w:tblCellMar>
              </w:tblPrEx>
              <w:trPr>
                <w:cantSplit/>
                <w:trHeight w:val="210" w:hRule="atLeast"/>
                <w:jc w:val="center"/>
              </w:trPr>
              <w:tc>
                <w:tcPr>
                  <w:tcW w:w="1322" w:type="dxa"/>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有组织废气</w:t>
                  </w:r>
                </w:p>
              </w:tc>
              <w:tc>
                <w:tcPr>
                  <w:tcW w:w="2591" w:type="dxa"/>
                  <w:tcBorders>
                    <w:top w:val="single" w:color="auto" w:sz="4" w:space="0"/>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污水处理站排气筒</w:t>
                  </w:r>
                </w:p>
              </w:tc>
              <w:tc>
                <w:tcPr>
                  <w:tcW w:w="2429" w:type="dxa"/>
                  <w:tcBorders>
                    <w:top w:val="single" w:color="auto" w:sz="4" w:space="0"/>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rPr>
                    <w:t>臭气浓度、氨、硫化氢</w:t>
                  </w:r>
                </w:p>
              </w:tc>
              <w:tc>
                <w:tcPr>
                  <w:tcW w:w="2445" w:type="dxa"/>
                  <w:tcBorders>
                    <w:top w:val="single" w:color="auto" w:sz="4" w:space="0"/>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rPr>
                    <w:t>1次/</w:t>
                  </w:r>
                  <w:r>
                    <w:rPr>
                      <w:rFonts w:hint="eastAsia" w:ascii="Times New Roman" w:hAnsi="Times New Roman" w:eastAsia="宋体" w:cs="Times New Roman"/>
                      <w:b w:val="0"/>
                      <w:bCs w:val="0"/>
                      <w:color w:val="auto"/>
                      <w:kern w:val="0"/>
                      <w:sz w:val="21"/>
                      <w:szCs w:val="21"/>
                      <w:highlight w:val="none"/>
                      <w:lang w:val="en-US" w:eastAsia="zh-CN"/>
                    </w:rPr>
                    <w:t>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108" w:type="dxa"/>
                  <w:bottom w:w="0" w:type="dxa"/>
                  <w:right w:w="108" w:type="dxa"/>
                </w:tblCellMar>
              </w:tblPrEx>
              <w:trPr>
                <w:cantSplit/>
                <w:trHeight w:val="90" w:hRule="atLeast"/>
                <w:jc w:val="center"/>
              </w:trPr>
              <w:tc>
                <w:tcPr>
                  <w:tcW w:w="1322"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无组织废气</w:t>
                  </w:r>
                </w:p>
              </w:tc>
              <w:tc>
                <w:tcPr>
                  <w:tcW w:w="2591"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臭气浓度、氨、硫化氢</w:t>
                  </w:r>
                  <w:r>
                    <w:rPr>
                      <w:rFonts w:hint="eastAsia" w:cs="Times New Roman"/>
                      <w:color w:val="auto"/>
                      <w:kern w:val="0"/>
                      <w:sz w:val="21"/>
                      <w:szCs w:val="21"/>
                      <w:highlight w:val="none"/>
                      <w:lang w:val="en-US" w:eastAsia="zh-CN"/>
                    </w:rPr>
                    <w:t>、</w:t>
                  </w:r>
                </w:p>
              </w:tc>
              <w:tc>
                <w:tcPr>
                  <w:tcW w:w="2429"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厂界</w:t>
                  </w:r>
                </w:p>
              </w:tc>
              <w:tc>
                <w:tcPr>
                  <w:tcW w:w="2445" w:type="dxa"/>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snapToGrid w:val="0"/>
                      <w:color w:val="auto"/>
                      <w:szCs w:val="21"/>
                      <w:highlight w:val="none"/>
                    </w:rPr>
                    <w:t>1次/</w:t>
                  </w:r>
                  <w:r>
                    <w:rPr>
                      <w:rFonts w:hint="eastAsia"/>
                      <w:snapToGrid w:val="0"/>
                      <w:color w:val="auto"/>
                      <w:szCs w:val="21"/>
                      <w:highlight w:val="none"/>
                    </w:rPr>
                    <w:t>年</w:t>
                  </w:r>
                </w:p>
              </w:tc>
            </w:tr>
          </w:tbl>
          <w:p>
            <w:pPr>
              <w:pStyle w:val="90"/>
              <w:spacing w:line="360" w:lineRule="auto"/>
              <w:ind w:firstLine="480"/>
              <w:rPr>
                <w:rFonts w:hint="eastAsia" w:eastAsia="宋体"/>
                <w:b/>
                <w:color w:val="auto"/>
                <w:sz w:val="24"/>
                <w:highlight w:val="none"/>
                <w:lang w:eastAsia="zh-CN"/>
              </w:rPr>
            </w:pPr>
            <w:r>
              <w:rPr>
                <w:rFonts w:hint="eastAsia"/>
                <w:color w:val="auto"/>
                <w:sz w:val="24"/>
                <w:szCs w:val="24"/>
                <w:highlight w:val="none"/>
              </w:rPr>
              <w:t>（</w:t>
            </w:r>
            <w:r>
              <w:rPr>
                <w:rFonts w:hint="eastAsia"/>
                <w:color w:val="auto"/>
                <w:sz w:val="24"/>
                <w:szCs w:val="24"/>
                <w:highlight w:val="none"/>
                <w:lang w:val="en-US" w:eastAsia="zh-CN"/>
              </w:rPr>
              <w:t>二</w:t>
            </w:r>
            <w:r>
              <w:rPr>
                <w:rFonts w:hint="eastAsia"/>
                <w:color w:val="auto"/>
                <w:sz w:val="24"/>
                <w:szCs w:val="24"/>
                <w:highlight w:val="none"/>
              </w:rPr>
              <w:t>）污染治理措施及环境影响分析</w:t>
            </w:r>
          </w:p>
          <w:p>
            <w:pPr>
              <w:spacing w:line="360" w:lineRule="auto"/>
              <w:ind w:firstLine="480"/>
              <w:rPr>
                <w:color w:val="auto"/>
                <w:sz w:val="24"/>
                <w:szCs w:val="24"/>
                <w:highlight w:val="none"/>
              </w:rPr>
            </w:pPr>
            <w:r>
              <w:rPr>
                <w:rFonts w:hint="default" w:ascii="Times New Roman" w:hAnsi="Times New Roman" w:cs="Times New Roman"/>
                <w:bCs/>
                <w:color w:val="auto"/>
                <w:sz w:val="24"/>
                <w:highlight w:val="none"/>
              </w:rPr>
              <w:t>本项目</w:t>
            </w:r>
            <w:r>
              <w:rPr>
                <w:rFonts w:hint="eastAsia" w:ascii="Times New Roman" w:hAnsi="Times New Roman" w:cs="Times New Roman"/>
                <w:color w:val="auto"/>
                <w:sz w:val="24"/>
                <w:highlight w:val="none"/>
                <w:lang w:eastAsia="zh-CN"/>
              </w:rPr>
              <w:t>污</w:t>
            </w:r>
            <w:r>
              <w:rPr>
                <w:rFonts w:hint="eastAsia" w:ascii="Times New Roman" w:hAnsi="Times New Roman" w:eastAsia="宋体" w:cs="Times New Roman"/>
                <w:color w:val="auto"/>
                <w:sz w:val="24"/>
                <w:highlight w:val="none"/>
                <w:lang w:eastAsia="zh-CN"/>
              </w:rPr>
              <w:t>水处理设施恶臭气体</w:t>
            </w:r>
            <w:r>
              <w:rPr>
                <w:rFonts w:hint="default" w:ascii="Times New Roman" w:hAnsi="Times New Roman" w:eastAsia="宋体" w:cs="Times New Roman"/>
                <w:color w:val="auto"/>
                <w:sz w:val="24"/>
                <w:highlight w:val="none"/>
              </w:rPr>
              <w:t>经</w:t>
            </w:r>
            <w:r>
              <w:rPr>
                <w:rFonts w:hint="eastAsia" w:ascii="Times New Roman" w:hAnsi="Times New Roman" w:eastAsia="宋体" w:cs="Times New Roman"/>
                <w:color w:val="auto"/>
                <w:sz w:val="24"/>
                <w:highlight w:val="none"/>
                <w:lang w:eastAsia="zh-CN"/>
              </w:rPr>
              <w:t>活性炭吸附装置</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eastAsia="zh-CN"/>
              </w:rPr>
              <w:t>处理</w:t>
            </w:r>
            <w:r>
              <w:rPr>
                <w:rFonts w:hint="default" w:ascii="Times New Roman" w:hAnsi="Times New Roman" w:eastAsia="宋体" w:cs="Times New Roman"/>
                <w:color w:val="auto"/>
                <w:sz w:val="24"/>
                <w:highlight w:val="none"/>
                <w:lang w:eastAsia="zh-CN"/>
              </w:rPr>
              <w:t>效率按9</w:t>
            </w:r>
            <w:r>
              <w:rPr>
                <w:rFonts w:hint="eastAsia"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lang w:eastAsia="zh-CN"/>
              </w:rPr>
              <w:t>%计）处理后由</w:t>
            </w:r>
            <w:r>
              <w:rPr>
                <w:rFonts w:hint="eastAsia" w:ascii="Times New Roman" w:hAnsi="Times New Roman" w:eastAsia="宋体" w:cs="Times New Roman"/>
                <w:color w:val="auto"/>
                <w:sz w:val="24"/>
                <w:highlight w:val="none"/>
                <w:lang w:val="en-US" w:eastAsia="zh-CN"/>
              </w:rPr>
              <w:t>15</w:t>
            </w:r>
            <w:r>
              <w:rPr>
                <w:rFonts w:hint="default" w:ascii="Times New Roman" w:hAnsi="Times New Roman" w:eastAsia="宋体" w:cs="Times New Roman"/>
                <w:color w:val="auto"/>
                <w:sz w:val="24"/>
                <w:highlight w:val="none"/>
                <w:lang w:eastAsia="zh-CN"/>
              </w:rPr>
              <w:t>m高</w:t>
            </w:r>
            <w:r>
              <w:rPr>
                <w:rFonts w:hint="eastAsia" w:ascii="Times New Roman" w:hAnsi="Times New Roman" w:eastAsia="宋体" w:cs="Times New Roman"/>
                <w:color w:val="auto"/>
                <w:sz w:val="24"/>
                <w:highlight w:val="none"/>
                <w:lang w:eastAsia="zh-CN"/>
              </w:rPr>
              <w:t>排气筒</w:t>
            </w:r>
            <w:r>
              <w:rPr>
                <w:rFonts w:hint="default" w:ascii="Times New Roman" w:hAnsi="Times New Roman" w:eastAsia="宋体" w:cs="Times New Roman"/>
                <w:color w:val="auto"/>
                <w:sz w:val="24"/>
                <w:highlight w:val="none"/>
                <w:lang w:eastAsia="zh-CN"/>
              </w:rPr>
              <w:t>排放</w:t>
            </w:r>
            <w:r>
              <w:rPr>
                <w:rFonts w:hint="eastAsia" w:ascii="Times New Roman" w:hAnsi="Times New Roman" w:eastAsia="宋体" w:cs="Times New Roman"/>
                <w:color w:val="auto"/>
                <w:sz w:val="24"/>
                <w:highlight w:val="none"/>
                <w:lang w:val="en-US" w:eastAsia="zh-CN"/>
              </w:rPr>
              <w:t>为</w:t>
            </w:r>
            <w:r>
              <w:rPr>
                <w:rFonts w:hint="default" w:ascii="Times New Roman" w:hAnsi="Times New Roman" w:eastAsia="宋体" w:cs="Times New Roman"/>
                <w:b w:val="0"/>
                <w:bCs/>
                <w:color w:val="auto"/>
                <w:spacing w:val="-10"/>
                <w:sz w:val="24"/>
                <w:szCs w:val="24"/>
                <w:highlight w:val="none"/>
                <w:u w:val="none"/>
                <w:lang w:eastAsia="zh-CN"/>
              </w:rPr>
              <w:t>《排污许可证申请与核发技术规范 总则》（</w:t>
            </w:r>
            <w:r>
              <w:rPr>
                <w:rFonts w:hint="default" w:ascii="Times New Roman" w:hAnsi="Times New Roman" w:eastAsia="宋体" w:cs="Times New Roman"/>
                <w:b w:val="0"/>
                <w:bCs/>
                <w:color w:val="auto"/>
                <w:spacing w:val="-10"/>
                <w:sz w:val="24"/>
                <w:szCs w:val="24"/>
                <w:highlight w:val="none"/>
                <w:u w:val="none"/>
                <w:lang w:val="en-US" w:eastAsia="zh-CN"/>
              </w:rPr>
              <w:t>HJ942—2018</w:t>
            </w:r>
            <w:r>
              <w:rPr>
                <w:rFonts w:hint="default" w:ascii="Times New Roman" w:hAnsi="Times New Roman" w:eastAsia="宋体" w:cs="Times New Roman"/>
                <w:b w:val="0"/>
                <w:bCs/>
                <w:color w:val="auto"/>
                <w:spacing w:val="-10"/>
                <w:sz w:val="24"/>
                <w:szCs w:val="24"/>
                <w:highlight w:val="none"/>
                <w:u w:val="none"/>
                <w:lang w:eastAsia="zh-CN"/>
              </w:rPr>
              <w:t>）</w:t>
            </w:r>
            <w:r>
              <w:rPr>
                <w:rFonts w:hint="default" w:ascii="Times New Roman" w:hAnsi="Times New Roman" w:eastAsia="宋体" w:cs="Times New Roman"/>
                <w:color w:val="auto"/>
                <w:sz w:val="24"/>
                <w:highlight w:val="none"/>
                <w:lang w:eastAsia="zh-CN"/>
              </w:rPr>
              <w:t>中的可行性技术</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本项目有组织</w:t>
            </w:r>
            <w:r>
              <w:rPr>
                <w:rFonts w:hint="eastAsia" w:ascii="Times New Roman" w:hAnsi="Times New Roman" w:eastAsia="宋体" w:cs="Times New Roman"/>
                <w:color w:val="auto"/>
                <w:sz w:val="24"/>
                <w:highlight w:val="none"/>
                <w:lang w:eastAsia="zh-CN"/>
              </w:rPr>
              <w:t>氨、硫化氢及臭气浓度均能满足《恶臭污染物排放标准》（GB14554-93）表2恶臭污染物排放标准，项目厂界氨、硫化氢及臭气浓度均能满足《恶臭污染物排放标准》（GB14554-93）表1 恶臭污染物厂界标准值二级新扩改建标准</w:t>
            </w:r>
            <w:r>
              <w:rPr>
                <w:rFonts w:hint="default" w:ascii="Times New Roman" w:hAnsi="Times New Roman" w:eastAsia="宋体" w:cs="Times New Roman"/>
                <w:color w:val="auto"/>
                <w:sz w:val="24"/>
                <w:highlight w:val="none"/>
                <w:lang w:eastAsia="zh-CN"/>
              </w:rPr>
              <w:t>。</w:t>
            </w:r>
            <w:r>
              <w:rPr>
                <w:rFonts w:hint="eastAsia"/>
                <w:color w:val="auto"/>
                <w:sz w:val="24"/>
                <w:szCs w:val="24"/>
                <w:highlight w:val="none"/>
                <w:lang w:val="en-US" w:eastAsia="zh-CN"/>
              </w:rPr>
              <w:t>综上，</w:t>
            </w:r>
            <w:r>
              <w:rPr>
                <w:rFonts w:hint="default" w:ascii="Times New Roman" w:hAnsi="Times New Roman" w:eastAsia="宋体" w:cs="Times New Roman"/>
                <w:color w:val="auto"/>
                <w:spacing w:val="0"/>
                <w:sz w:val="24"/>
                <w:szCs w:val="24"/>
                <w:highlight w:val="none"/>
              </w:rPr>
              <w:t>本项目</w:t>
            </w:r>
            <w:r>
              <w:rPr>
                <w:rFonts w:hint="eastAsia" w:ascii="Times New Roman" w:hAnsi="Times New Roman" w:eastAsia="宋体" w:cs="Times New Roman"/>
                <w:color w:val="auto"/>
                <w:spacing w:val="0"/>
                <w:sz w:val="24"/>
                <w:szCs w:val="24"/>
                <w:highlight w:val="none"/>
                <w:lang w:val="en-US" w:eastAsia="zh-CN"/>
              </w:rPr>
              <w:t>采取的废气污染防治措施可行，废气</w:t>
            </w:r>
            <w:r>
              <w:rPr>
                <w:rFonts w:hint="eastAsia"/>
                <w:bCs/>
                <w:color w:val="auto"/>
                <w:sz w:val="24"/>
                <w:szCs w:val="24"/>
                <w:highlight w:val="none"/>
                <w:lang w:val="en-US" w:eastAsia="zh-CN"/>
              </w:rPr>
              <w:t>经处理后</w:t>
            </w:r>
            <w:r>
              <w:rPr>
                <w:color w:val="auto"/>
                <w:sz w:val="24"/>
                <w:szCs w:val="24"/>
                <w:highlight w:val="none"/>
              </w:rPr>
              <w:t>对</w:t>
            </w:r>
            <w:r>
              <w:rPr>
                <w:rFonts w:hint="eastAsia"/>
                <w:color w:val="auto"/>
                <w:sz w:val="24"/>
                <w:szCs w:val="24"/>
                <w:highlight w:val="none"/>
                <w:lang w:val="en-US" w:eastAsia="zh-CN"/>
              </w:rPr>
              <w:t>大气</w:t>
            </w:r>
            <w:r>
              <w:rPr>
                <w:color w:val="auto"/>
                <w:sz w:val="24"/>
                <w:szCs w:val="24"/>
                <w:highlight w:val="none"/>
              </w:rPr>
              <w:t>环境影响较小</w:t>
            </w:r>
            <w:r>
              <w:rPr>
                <w:rFonts w:hint="eastAsia" w:ascii="Times New Roman" w:hAnsi="Times New Roman" w:eastAsia="宋体" w:cs="Times New Roman"/>
                <w:color w:val="auto"/>
                <w:spacing w:val="0"/>
                <w:sz w:val="24"/>
                <w:szCs w:val="24"/>
                <w:highlight w:val="none"/>
                <w:lang w:eastAsia="zh-CN"/>
              </w:rPr>
              <w:t>。</w:t>
            </w:r>
          </w:p>
          <w:p>
            <w:pPr>
              <w:spacing w:line="360" w:lineRule="auto"/>
              <w:rPr>
                <w:b/>
                <w:bCs/>
                <w:color w:val="auto"/>
                <w:sz w:val="24"/>
              </w:rPr>
            </w:pPr>
            <w:r>
              <w:rPr>
                <w:b/>
                <w:bCs/>
                <w:color w:val="auto"/>
                <w:sz w:val="24"/>
              </w:rPr>
              <w:t>三、噪声</w:t>
            </w:r>
          </w:p>
          <w:p>
            <w:pPr>
              <w:pStyle w:val="113"/>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（1）噪声源</w:t>
            </w:r>
          </w:p>
          <w:p>
            <w:pPr>
              <w:pStyle w:val="113"/>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本项目运营期噪声源主要为生产设备噪声，</w:t>
            </w:r>
            <w:r>
              <w:rPr>
                <w:rFonts w:hint="eastAsia" w:cs="Times New Roman"/>
                <w:color w:val="auto"/>
                <w:sz w:val="24"/>
                <w:szCs w:val="24"/>
                <w:highlight w:val="none"/>
                <w:lang w:val="en-US" w:eastAsia="zh-CN"/>
              </w:rPr>
              <w:t>项目生产设备</w:t>
            </w:r>
            <w:r>
              <w:rPr>
                <w:rFonts w:hint="default" w:ascii="Times New Roman" w:hAnsi="Times New Roman" w:eastAsia="宋体" w:cs="Times New Roman"/>
                <w:color w:val="auto"/>
                <w:sz w:val="24"/>
                <w:szCs w:val="24"/>
                <w:highlight w:val="none"/>
                <w:lang w:val="en-US" w:eastAsia="zh-CN"/>
              </w:rPr>
              <w:t>噪声源强在</w:t>
            </w:r>
            <w:r>
              <w:rPr>
                <w:rFonts w:hint="eastAsia" w:cs="Times New Roman"/>
                <w:color w:val="auto"/>
                <w:sz w:val="24"/>
                <w:szCs w:val="24"/>
                <w:highlight w:val="none"/>
                <w:lang w:val="en-US" w:eastAsia="zh-CN"/>
              </w:rPr>
              <w:t>70</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80</w:t>
            </w:r>
            <w:r>
              <w:rPr>
                <w:rFonts w:hint="default" w:ascii="Times New Roman" w:hAnsi="Times New Roman" w:eastAsia="宋体" w:cs="Times New Roman"/>
                <w:color w:val="auto"/>
                <w:sz w:val="24"/>
                <w:szCs w:val="24"/>
                <w:highlight w:val="none"/>
                <w:lang w:val="en-US" w:eastAsia="zh-CN"/>
              </w:rPr>
              <w:t>dB</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之间，项目噪声污染源源强核算结果及相关参数见表4-</w:t>
            </w:r>
            <w:r>
              <w:rPr>
                <w:rFonts w:hint="eastAsia"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w:t>
            </w:r>
          </w:p>
          <w:p>
            <w:pPr>
              <w:pStyle w:val="79"/>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b/>
                <w:bCs/>
                <w:color w:val="auto"/>
                <w:sz w:val="21"/>
                <w:szCs w:val="21"/>
                <w:highlight w:val="none"/>
                <w:lang w:val="en-US" w:eastAsia="zh-CN"/>
              </w:rPr>
            </w:pPr>
            <w:bookmarkStart w:id="271" w:name="_Toc15634"/>
            <w:bookmarkStart w:id="272" w:name="_Toc5293"/>
            <w:bookmarkStart w:id="273" w:name="_Toc6088"/>
            <w:bookmarkStart w:id="274" w:name="_Toc19810"/>
            <w:bookmarkStart w:id="275" w:name="_Toc14230"/>
            <w:bookmarkStart w:id="276" w:name="_Toc10676"/>
            <w:bookmarkStart w:id="277" w:name="_Toc7149"/>
            <w:bookmarkStart w:id="278" w:name="_Toc875"/>
            <w:bookmarkStart w:id="279" w:name="_Toc3059"/>
            <w:bookmarkStart w:id="280" w:name="_Toc30296"/>
            <w:bookmarkStart w:id="281" w:name="_Toc31278"/>
            <w:bookmarkStart w:id="282" w:name="_Toc28634"/>
            <w:bookmarkStart w:id="283" w:name="_Toc32717"/>
            <w:bookmarkStart w:id="284" w:name="_Toc11946"/>
            <w:bookmarkStart w:id="285" w:name="_Toc21980"/>
            <w:bookmarkStart w:id="286" w:name="_Toc5988"/>
            <w:bookmarkStart w:id="287" w:name="_Toc5401"/>
            <w:bookmarkStart w:id="288" w:name="_Toc19126"/>
            <w:bookmarkStart w:id="289" w:name="_Toc31861"/>
            <w:bookmarkStart w:id="290" w:name="_Toc13014"/>
            <w:bookmarkStart w:id="291" w:name="_Toc29011"/>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eastAsia="宋体" w:cs="Times New Roman"/>
                <w:b/>
                <w:bCs/>
                <w:color w:val="auto"/>
                <w:sz w:val="21"/>
                <w:szCs w:val="21"/>
                <w:highlight w:val="none"/>
                <w:lang w:val="en-US" w:eastAsia="zh-CN"/>
              </w:rPr>
              <w:t xml:space="preserve">11 </w:t>
            </w:r>
            <w:r>
              <w:rPr>
                <w:rFonts w:hint="default" w:ascii="Times New Roman" w:hAnsi="Times New Roman" w:eastAsia="宋体" w:cs="Times New Roman"/>
                <w:b/>
                <w:bCs/>
                <w:color w:val="auto"/>
                <w:sz w:val="21"/>
                <w:szCs w:val="21"/>
                <w:highlight w:val="none"/>
                <w:lang w:val="en-US" w:eastAsia="zh-CN"/>
              </w:rPr>
              <w:t>噪声污染源源强核算结果及相关参数一览表</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tbl>
            <w:tblPr>
              <w:tblStyle w:val="29"/>
              <w:tblW w:w="91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2"/>
              <w:gridCol w:w="436"/>
              <w:gridCol w:w="440"/>
              <w:gridCol w:w="853"/>
              <w:gridCol w:w="667"/>
              <w:gridCol w:w="581"/>
              <w:gridCol w:w="426"/>
              <w:gridCol w:w="366"/>
              <w:gridCol w:w="724"/>
              <w:gridCol w:w="853"/>
              <w:gridCol w:w="481"/>
              <w:gridCol w:w="853"/>
              <w:gridCol w:w="853"/>
              <w:gridCol w:w="450"/>
              <w:gridCol w:w="7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3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436"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建筑物名称</w:t>
                  </w:r>
                </w:p>
              </w:tc>
              <w:tc>
                <w:tcPr>
                  <w:tcW w:w="440"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声源名称</w:t>
                  </w:r>
                </w:p>
              </w:tc>
              <w:tc>
                <w:tcPr>
                  <w:tcW w:w="853"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声源源强/dB(A)</w:t>
                  </w:r>
                </w:p>
              </w:tc>
              <w:tc>
                <w:tcPr>
                  <w:tcW w:w="667"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降噪措施</w:t>
                  </w:r>
                </w:p>
              </w:tc>
              <w:tc>
                <w:tcPr>
                  <w:tcW w:w="1373" w:type="dxa"/>
                  <w:gridSpan w:val="3"/>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空间相对位置/m</w:t>
                  </w:r>
                </w:p>
              </w:tc>
              <w:tc>
                <w:tcPr>
                  <w:tcW w:w="724"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距室内边界距离/m</w:t>
                  </w:r>
                </w:p>
              </w:tc>
              <w:tc>
                <w:tcPr>
                  <w:tcW w:w="853"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室内边界声级/dB(A)</w:t>
                  </w:r>
                </w:p>
              </w:tc>
              <w:tc>
                <w:tcPr>
                  <w:tcW w:w="481"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运行时段</w:t>
                  </w:r>
                </w:p>
              </w:tc>
              <w:tc>
                <w:tcPr>
                  <w:tcW w:w="853"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建筑物插入损失/dB(A)</w:t>
                  </w:r>
                </w:p>
              </w:tc>
              <w:tc>
                <w:tcPr>
                  <w:tcW w:w="1303" w:type="dxa"/>
                  <w:gridSpan w:val="2"/>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建筑物外噪声</w:t>
                  </w:r>
                </w:p>
              </w:tc>
              <w:tc>
                <w:tcPr>
                  <w:tcW w:w="705"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持续时间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3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36"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40"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53"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667"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581"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X</w:t>
                  </w:r>
                </w:p>
              </w:tc>
              <w:tc>
                <w:tcPr>
                  <w:tcW w:w="426"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Y</w:t>
                  </w:r>
                </w:p>
              </w:tc>
              <w:tc>
                <w:tcPr>
                  <w:tcW w:w="366"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Z</w:t>
                  </w:r>
                </w:p>
              </w:tc>
              <w:tc>
                <w:tcPr>
                  <w:tcW w:w="724"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53"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81"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53"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53"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声压级/dB(A)</w:t>
                  </w:r>
                </w:p>
              </w:tc>
              <w:tc>
                <w:tcPr>
                  <w:tcW w:w="450"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建筑物外距离</w:t>
                  </w:r>
                </w:p>
              </w:tc>
              <w:tc>
                <w:tcPr>
                  <w:tcW w:w="705"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3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436"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生产车间</w:t>
                  </w:r>
                </w:p>
              </w:tc>
              <w:tc>
                <w:tcPr>
                  <w:tcW w:w="440"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Style w:val="137"/>
                      <w:rFonts w:hint="default" w:ascii="Times New Roman" w:hAnsi="Times New Roman" w:eastAsia="宋体" w:cs="Times New Roman"/>
                      <w:b w:val="0"/>
                      <w:bCs w:val="0"/>
                      <w:sz w:val="21"/>
                      <w:szCs w:val="21"/>
                      <w:lang w:val="en-US" w:eastAsia="zh-CN" w:bidi="ar"/>
                    </w:rPr>
                    <w:t>输送泵</w:t>
                  </w:r>
                </w:p>
              </w:tc>
              <w:tc>
                <w:tcPr>
                  <w:tcW w:w="85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70</w:t>
                  </w:r>
                </w:p>
              </w:tc>
              <w:tc>
                <w:tcPr>
                  <w:tcW w:w="667"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厂房隔声、减震、选用隔声门窗</w:t>
                  </w:r>
                </w:p>
              </w:tc>
              <w:tc>
                <w:tcPr>
                  <w:tcW w:w="58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w:t>
                  </w:r>
                </w:p>
              </w:tc>
              <w:tc>
                <w:tcPr>
                  <w:tcW w:w="426"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52</w:t>
                  </w:r>
                </w:p>
              </w:tc>
              <w:tc>
                <w:tcPr>
                  <w:tcW w:w="366"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724"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6.75</w:t>
                  </w:r>
                </w:p>
              </w:tc>
              <w:tc>
                <w:tcPr>
                  <w:tcW w:w="85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60.59</w:t>
                  </w:r>
                </w:p>
              </w:tc>
              <w:tc>
                <w:tcPr>
                  <w:tcW w:w="48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8h间歇运行</w:t>
                  </w:r>
                </w:p>
              </w:tc>
              <w:tc>
                <w:tcPr>
                  <w:tcW w:w="85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w:t>
                  </w:r>
                </w:p>
              </w:tc>
              <w:tc>
                <w:tcPr>
                  <w:tcW w:w="85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34.56</w:t>
                  </w:r>
                </w:p>
              </w:tc>
              <w:tc>
                <w:tcPr>
                  <w:tcW w:w="450"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705"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3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436" w:type="dxa"/>
                  <w:vMerge w:val="continue"/>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p>
              </w:tc>
              <w:tc>
                <w:tcPr>
                  <w:tcW w:w="440"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Style w:val="137"/>
                      <w:rFonts w:hint="default" w:ascii="Times New Roman" w:hAnsi="Times New Roman" w:eastAsia="宋体" w:cs="Times New Roman"/>
                      <w:b w:val="0"/>
                      <w:bCs w:val="0"/>
                      <w:sz w:val="21"/>
                      <w:szCs w:val="21"/>
                      <w:lang w:val="en-US" w:eastAsia="zh-CN" w:bidi="ar"/>
                    </w:rPr>
                    <w:t>搅拌罐</w:t>
                  </w:r>
                </w:p>
              </w:tc>
              <w:tc>
                <w:tcPr>
                  <w:tcW w:w="85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70</w:t>
                  </w:r>
                </w:p>
              </w:tc>
              <w:tc>
                <w:tcPr>
                  <w:tcW w:w="667"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58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13</w:t>
                  </w:r>
                </w:p>
              </w:tc>
              <w:tc>
                <w:tcPr>
                  <w:tcW w:w="426"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48</w:t>
                  </w:r>
                </w:p>
              </w:tc>
              <w:tc>
                <w:tcPr>
                  <w:tcW w:w="366"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724"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6.18</w:t>
                  </w:r>
                </w:p>
              </w:tc>
              <w:tc>
                <w:tcPr>
                  <w:tcW w:w="85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60.60</w:t>
                  </w:r>
                </w:p>
              </w:tc>
              <w:tc>
                <w:tcPr>
                  <w:tcW w:w="48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8h间歇运行</w:t>
                  </w:r>
                </w:p>
              </w:tc>
              <w:tc>
                <w:tcPr>
                  <w:tcW w:w="85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w:t>
                  </w:r>
                </w:p>
              </w:tc>
              <w:tc>
                <w:tcPr>
                  <w:tcW w:w="85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34.60</w:t>
                  </w:r>
                </w:p>
              </w:tc>
              <w:tc>
                <w:tcPr>
                  <w:tcW w:w="450"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705"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3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436" w:type="dxa"/>
                  <w:vMerge w:val="continue"/>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p>
              </w:tc>
              <w:tc>
                <w:tcPr>
                  <w:tcW w:w="440" w:type="dxa"/>
                  <w:noWrap w:val="0"/>
                  <w:vAlign w:val="center"/>
                </w:tcPr>
                <w:p>
                  <w:pPr>
                    <w:spacing w:line="0" w:lineRule="atLeast"/>
                    <w:jc w:val="center"/>
                    <w:rPr>
                      <w:rStyle w:val="137"/>
                      <w:rFonts w:hint="default" w:ascii="Times New Roman" w:hAnsi="Times New Roman" w:eastAsia="宋体" w:cs="Times New Roman"/>
                      <w:b w:val="0"/>
                      <w:bCs w:val="0"/>
                      <w:sz w:val="21"/>
                      <w:szCs w:val="21"/>
                      <w:lang w:val="en-US" w:eastAsia="zh-CN" w:bidi="ar"/>
                    </w:rPr>
                  </w:pPr>
                  <w:r>
                    <w:rPr>
                      <w:rStyle w:val="137"/>
                      <w:rFonts w:hint="default" w:ascii="Times New Roman" w:hAnsi="Times New Roman" w:eastAsia="宋体" w:cs="Times New Roman"/>
                      <w:b w:val="0"/>
                      <w:bCs w:val="0"/>
                      <w:sz w:val="21"/>
                      <w:szCs w:val="21"/>
                      <w:lang w:val="en-US" w:eastAsia="zh-CN" w:bidi="ar"/>
                    </w:rPr>
                    <w:t>封口机</w:t>
                  </w:r>
                </w:p>
              </w:tc>
              <w:tc>
                <w:tcPr>
                  <w:tcW w:w="85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80</w:t>
                  </w:r>
                </w:p>
              </w:tc>
              <w:tc>
                <w:tcPr>
                  <w:tcW w:w="667"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58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15</w:t>
                  </w:r>
                </w:p>
              </w:tc>
              <w:tc>
                <w:tcPr>
                  <w:tcW w:w="426"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27</w:t>
                  </w:r>
                </w:p>
              </w:tc>
              <w:tc>
                <w:tcPr>
                  <w:tcW w:w="366"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724"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6.37</w:t>
                  </w:r>
                </w:p>
              </w:tc>
              <w:tc>
                <w:tcPr>
                  <w:tcW w:w="85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70.59</w:t>
                  </w:r>
                </w:p>
              </w:tc>
              <w:tc>
                <w:tcPr>
                  <w:tcW w:w="481"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8h间歇运行</w:t>
                  </w:r>
                </w:p>
              </w:tc>
              <w:tc>
                <w:tcPr>
                  <w:tcW w:w="853"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w:t>
                  </w:r>
                </w:p>
              </w:tc>
              <w:tc>
                <w:tcPr>
                  <w:tcW w:w="85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44.59</w:t>
                  </w:r>
                </w:p>
              </w:tc>
              <w:tc>
                <w:tcPr>
                  <w:tcW w:w="450"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705"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600</w:t>
                  </w:r>
                </w:p>
              </w:tc>
            </w:tr>
          </w:tbl>
          <w:p>
            <w:pPr>
              <w:keepNext w:val="0"/>
              <w:keepLines w:val="0"/>
              <w:pageBreakBefore w:val="0"/>
              <w:widowControl w:val="0"/>
              <w:kinsoku/>
              <w:wordWrap/>
              <w:overflowPunct/>
              <w:topLinePunct w:val="0"/>
              <w:bidi w:val="0"/>
              <w:spacing w:line="360" w:lineRule="auto"/>
              <w:ind w:left="0" w:firstLine="480"/>
              <w:rPr>
                <w:bCs/>
                <w:color w:val="auto"/>
                <w:sz w:val="24"/>
                <w:szCs w:val="24"/>
                <w:highlight w:val="none"/>
              </w:rPr>
            </w:pPr>
            <w:r>
              <w:rPr>
                <w:bCs/>
                <w:color w:val="auto"/>
                <w:sz w:val="24"/>
                <w:szCs w:val="24"/>
                <w:highlight w:val="none"/>
              </w:rPr>
              <w:t>（</w:t>
            </w:r>
            <w:r>
              <w:rPr>
                <w:rFonts w:hint="eastAsia"/>
                <w:bCs/>
                <w:color w:val="auto"/>
                <w:sz w:val="24"/>
                <w:szCs w:val="24"/>
                <w:highlight w:val="none"/>
              </w:rPr>
              <w:t>2</w:t>
            </w:r>
            <w:r>
              <w:rPr>
                <w:bCs/>
                <w:color w:val="auto"/>
                <w:sz w:val="24"/>
                <w:szCs w:val="24"/>
                <w:highlight w:val="none"/>
              </w:rPr>
              <w:t>）预测模式</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①某一室内声源靠近围护结构处产生的倍频带声压级</w:t>
            </w:r>
          </w:p>
          <w:p>
            <w:pPr>
              <w:pStyle w:val="113"/>
              <w:adjustRightInd w:val="0"/>
              <w:snapToGrid w:val="0"/>
              <w:spacing w:line="360" w:lineRule="auto"/>
              <w:ind w:left="1320" w:hanging="1320" w:hangingChars="550"/>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25" o:spt="75" type="#_x0000_t75" style="height:41.4pt;width:168.2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p>
          <w:p>
            <w:pPr>
              <w:pStyle w:val="113"/>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式中：L</w:t>
            </w:r>
            <w:r>
              <w:rPr>
                <w:rFonts w:hint="default" w:ascii="Times New Roman" w:hAnsi="Times New Roman" w:eastAsia="宋体" w:cs="Times New Roman"/>
                <w:b w:val="0"/>
                <w:bCs w:val="0"/>
                <w:color w:val="auto"/>
                <w:spacing w:val="0"/>
                <w:position w:val="0"/>
                <w:sz w:val="24"/>
                <w:szCs w:val="24"/>
                <w:vertAlign w:val="subscript"/>
              </w:rPr>
              <w:t>p1</w:t>
            </w:r>
            <w:r>
              <w:rPr>
                <w:rFonts w:hint="default" w:ascii="Times New Roman" w:hAnsi="Times New Roman" w:eastAsia="宋体" w:cs="Times New Roman"/>
                <w:b w:val="0"/>
                <w:bCs w:val="0"/>
                <w:color w:val="auto"/>
                <w:spacing w:val="0"/>
                <w:position w:val="0"/>
                <w:sz w:val="24"/>
                <w:szCs w:val="24"/>
              </w:rPr>
              <w:t>—靠近开口处（窗户）室内某倍频带的声压级或A声级，dB；</w:t>
            </w:r>
          </w:p>
          <w:p>
            <w:pPr>
              <w:pStyle w:val="113"/>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 xml:space="preserve">      L</w:t>
            </w:r>
            <w:r>
              <w:rPr>
                <w:rFonts w:hint="default" w:ascii="Times New Roman" w:hAnsi="Times New Roman" w:eastAsia="宋体" w:cs="Times New Roman"/>
                <w:b w:val="0"/>
                <w:bCs w:val="0"/>
                <w:color w:val="auto"/>
                <w:spacing w:val="0"/>
                <w:position w:val="0"/>
                <w:sz w:val="24"/>
                <w:szCs w:val="24"/>
                <w:vertAlign w:val="subscript"/>
              </w:rPr>
              <w:t>w</w:t>
            </w:r>
            <w:r>
              <w:rPr>
                <w:rFonts w:hint="default" w:ascii="Times New Roman" w:hAnsi="Times New Roman" w:eastAsia="宋体" w:cs="Times New Roman"/>
                <w:b w:val="0"/>
                <w:bCs w:val="0"/>
                <w:color w:val="auto"/>
                <w:spacing w:val="0"/>
                <w:position w:val="0"/>
                <w:sz w:val="24"/>
                <w:szCs w:val="24"/>
              </w:rPr>
              <w:t>—点声源声功率级（A计权或倍频带），dB；</w:t>
            </w:r>
          </w:p>
          <w:p>
            <w:pPr>
              <w:pStyle w:val="113"/>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 xml:space="preserve">      Q—指向性因数，通常对无指向性声源，当声源放在房间中心时，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=1，当放在一面墙的中心时，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=2；当放在两面墙夹角处时，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=4，当放在三面墙夹角处时，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=8；</w:t>
            </w:r>
          </w:p>
          <w:p>
            <w:pPr>
              <w:pStyle w:val="113"/>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R</w:t>
            </w:r>
            <w:r>
              <w:rPr>
                <w:rFonts w:hint="default" w:ascii="Times New Roman" w:hAnsi="Times New Roman" w:eastAsia="宋体" w:cs="Times New Roman"/>
                <w:b w:val="0"/>
                <w:bCs w:val="0"/>
                <w:color w:val="auto"/>
                <w:spacing w:val="0"/>
                <w:position w:val="0"/>
                <w:sz w:val="24"/>
                <w:szCs w:val="24"/>
              </w:rPr>
              <w:t>—房间常数，</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S</w:t>
            </w:r>
            <w:r>
              <w:rPr>
                <w:rFonts w:hint="default" w:ascii="Times New Roman" w:hAnsi="Times New Roman" w:eastAsia="宋体" w:cs="Times New Roman"/>
                <w:b w:val="0"/>
                <w:bCs w:val="0"/>
                <w:color w:val="auto"/>
                <w:spacing w:val="0"/>
                <w:position w:val="0"/>
                <w:sz w:val="24"/>
                <w:szCs w:val="24"/>
              </w:rPr>
              <w:t>α/(1−α</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S</w:t>
            </w:r>
            <w:r>
              <w:rPr>
                <w:rFonts w:hint="default" w:ascii="Times New Roman" w:hAnsi="Times New Roman" w:eastAsia="宋体" w:cs="Times New Roman"/>
                <w:b w:val="0"/>
                <w:bCs w:val="0"/>
                <w:color w:val="auto"/>
                <w:spacing w:val="0"/>
                <w:position w:val="0"/>
                <w:sz w:val="24"/>
                <w:szCs w:val="24"/>
              </w:rPr>
              <w:t>为房间内表面面积，m</w:t>
            </w:r>
            <w:r>
              <w:rPr>
                <w:rFonts w:hint="default" w:ascii="Times New Roman" w:hAnsi="Times New Roman" w:eastAsia="宋体" w:cs="Times New Roman"/>
                <w:b w:val="0"/>
                <w:bCs w:val="0"/>
                <w:color w:val="auto"/>
                <w:spacing w:val="0"/>
                <w:position w:val="0"/>
                <w:sz w:val="24"/>
                <w:szCs w:val="24"/>
                <w:vertAlign w:val="superscript"/>
              </w:rPr>
              <w:t>2</w:t>
            </w:r>
            <w:r>
              <w:rPr>
                <w:rFonts w:hint="default" w:ascii="Times New Roman" w:hAnsi="Times New Roman" w:eastAsia="宋体" w:cs="Times New Roman"/>
                <w:b w:val="0"/>
                <w:bCs w:val="0"/>
                <w:color w:val="auto"/>
                <w:spacing w:val="0"/>
                <w:position w:val="0"/>
                <w:sz w:val="24"/>
                <w:szCs w:val="24"/>
              </w:rPr>
              <w:t>，α为平均吸声系数；</w:t>
            </w:r>
          </w:p>
          <w:p>
            <w:pPr>
              <w:pStyle w:val="113"/>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r</w:t>
            </w:r>
            <w:r>
              <w:rPr>
                <w:rFonts w:hint="default" w:ascii="Times New Roman" w:hAnsi="Times New Roman" w:eastAsia="宋体" w:cs="Times New Roman"/>
                <w:b w:val="0"/>
                <w:bCs w:val="0"/>
                <w:color w:val="auto"/>
                <w:spacing w:val="0"/>
                <w:position w:val="0"/>
                <w:sz w:val="24"/>
                <w:szCs w:val="24"/>
              </w:rPr>
              <w:t>—声源到靠近围护结构某点处的距离，m。</w:t>
            </w:r>
          </w:p>
          <w:p>
            <w:pPr>
              <w:pStyle w:val="113"/>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②所有室内声源在围护结构处产生的</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倍频带叠加声压级：</w:t>
            </w:r>
          </w:p>
          <w:p>
            <w:pPr>
              <w:pStyle w:val="113"/>
              <w:adjustRightInd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26" o:spt="75" type="#_x0000_t75" style="height:42.7pt;width:143.3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p>
          <w:p>
            <w:pPr>
              <w:pStyle w:val="113"/>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p1i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T</w:t>
            </w:r>
            <w:r>
              <w:rPr>
                <w:rFonts w:hint="default" w:ascii="Times New Roman" w:hAnsi="Times New Roman" w:eastAsia="宋体" w:cs="Times New Roman"/>
                <w:b w:val="0"/>
                <w:bCs w:val="0"/>
                <w:color w:val="auto"/>
                <w:spacing w:val="0"/>
                <w:position w:val="0"/>
                <w:sz w:val="24"/>
                <w:szCs w:val="24"/>
              </w:rPr>
              <w:t>)—靠近围护结构处室内</w:t>
            </w:r>
            <w:r>
              <w:rPr>
                <w:rFonts w:hint="default" w:ascii="Times New Roman" w:hAnsi="Times New Roman" w:eastAsia="宋体" w:cs="Times New Roman"/>
                <w:b w:val="0"/>
                <w:bCs w:val="0"/>
                <w:i/>
                <w:iCs/>
                <w:color w:val="auto"/>
                <w:spacing w:val="0"/>
                <w:position w:val="0"/>
                <w:sz w:val="24"/>
                <w:szCs w:val="24"/>
              </w:rPr>
              <w:t>N</w:t>
            </w:r>
            <w:r>
              <w:rPr>
                <w:rFonts w:hint="default" w:ascii="Times New Roman" w:hAnsi="Times New Roman" w:eastAsia="宋体" w:cs="Times New Roman"/>
                <w:b w:val="0"/>
                <w:bCs w:val="0"/>
                <w:color w:val="auto"/>
                <w:spacing w:val="0"/>
                <w:position w:val="0"/>
                <w:sz w:val="24"/>
                <w:szCs w:val="24"/>
              </w:rPr>
              <w:t>个声源</w:t>
            </w:r>
            <w:r>
              <w:rPr>
                <w:rFonts w:hint="default" w:ascii="Times New Roman" w:hAnsi="Times New Roman" w:eastAsia="宋体" w:cs="Times New Roman"/>
                <w:b w:val="0"/>
                <w:bCs w:val="0"/>
                <w:i/>
                <w:iCs/>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倍频带的叠加声压级，dB；</w:t>
            </w:r>
          </w:p>
          <w:p>
            <w:pPr>
              <w:pStyle w:val="113"/>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Cs/>
                <w:color w:val="auto"/>
                <w:spacing w:val="0"/>
                <w:position w:val="0"/>
                <w:sz w:val="24"/>
                <w:szCs w:val="24"/>
              </w:rPr>
              <w:t xml:space="preserve">     L</w:t>
            </w:r>
            <w:r>
              <w:rPr>
                <w:rFonts w:hint="default" w:ascii="Times New Roman" w:hAnsi="Times New Roman" w:eastAsia="宋体" w:cs="Times New Roman"/>
                <w:b w:val="0"/>
                <w:bCs w:val="0"/>
                <w:iCs/>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vertAlign w:val="subscript"/>
              </w:rPr>
              <w:t>1</w:t>
            </w:r>
            <w:r>
              <w:rPr>
                <w:rFonts w:hint="default" w:ascii="Times New Roman" w:hAnsi="Times New Roman" w:eastAsia="宋体" w:cs="Times New Roman"/>
                <w:b w:val="0"/>
                <w:bCs w:val="0"/>
                <w:iCs/>
                <w:color w:val="auto"/>
                <w:spacing w:val="0"/>
                <w:position w:val="0"/>
                <w:sz w:val="24"/>
                <w:szCs w:val="24"/>
                <w:vertAlign w:val="subscript"/>
              </w:rPr>
              <w:t>ij</w:t>
            </w:r>
            <w:r>
              <w:rPr>
                <w:rFonts w:hint="default" w:ascii="Times New Roman" w:hAnsi="Times New Roman" w:eastAsia="宋体" w:cs="Times New Roman"/>
                <w:b w:val="0"/>
                <w:bCs w:val="0"/>
                <w:color w:val="auto"/>
                <w:spacing w:val="0"/>
                <w:position w:val="0"/>
                <w:sz w:val="24"/>
                <w:szCs w:val="24"/>
              </w:rPr>
              <w:t>—室内</w:t>
            </w:r>
            <w:r>
              <w:rPr>
                <w:rFonts w:hint="default" w:ascii="Times New Roman" w:hAnsi="Times New Roman" w:eastAsia="宋体" w:cs="Times New Roman"/>
                <w:b w:val="0"/>
                <w:bCs w:val="0"/>
                <w:iCs/>
                <w:color w:val="auto"/>
                <w:spacing w:val="0"/>
                <w:position w:val="0"/>
                <w:sz w:val="24"/>
                <w:szCs w:val="24"/>
              </w:rPr>
              <w:t>j</w:t>
            </w:r>
            <w:r>
              <w:rPr>
                <w:rFonts w:hint="default" w:ascii="Times New Roman" w:hAnsi="Times New Roman" w:eastAsia="宋体" w:cs="Times New Roman"/>
                <w:b w:val="0"/>
                <w:bCs w:val="0"/>
                <w:color w:val="auto"/>
                <w:spacing w:val="0"/>
                <w:position w:val="0"/>
                <w:sz w:val="24"/>
                <w:szCs w:val="24"/>
              </w:rPr>
              <w:t>声源</w:t>
            </w:r>
            <w:r>
              <w:rPr>
                <w:rFonts w:hint="default" w:ascii="Times New Roman" w:hAnsi="Times New Roman" w:eastAsia="宋体" w:cs="Times New Roman"/>
                <w:b w:val="0"/>
                <w:bCs w:val="0"/>
                <w:iCs/>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倍频带的声压级，dB；</w:t>
            </w:r>
          </w:p>
          <w:p>
            <w:pPr>
              <w:pStyle w:val="113"/>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Cs/>
                <w:color w:val="auto"/>
                <w:spacing w:val="0"/>
                <w:position w:val="0"/>
                <w:sz w:val="24"/>
                <w:szCs w:val="24"/>
              </w:rPr>
              <w:t xml:space="preserve">     N</w:t>
            </w:r>
            <w:r>
              <w:rPr>
                <w:rFonts w:hint="default" w:ascii="Times New Roman" w:hAnsi="Times New Roman" w:eastAsia="宋体" w:cs="Times New Roman"/>
                <w:b w:val="0"/>
                <w:bCs w:val="0"/>
                <w:color w:val="auto"/>
                <w:spacing w:val="0"/>
                <w:position w:val="0"/>
                <w:sz w:val="24"/>
                <w:szCs w:val="24"/>
              </w:rPr>
              <w:t>—室内声源总数。</w:t>
            </w:r>
          </w:p>
          <w:p>
            <w:pPr>
              <w:pStyle w:val="113"/>
              <w:adjustRightInd w:val="0"/>
              <w:snapToGrid w:val="0"/>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③无指向性点声源几何发散衰减的基本公式是：</w:t>
            </w:r>
          </w:p>
          <w:p>
            <w:pPr>
              <w:pStyle w:val="113"/>
              <w:adjustRightInd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27" o:spt="75" type="#_x0000_t75" style="height:36.95pt;width:131.9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p>
          <w:p>
            <w:pPr>
              <w:spacing w:line="360" w:lineRule="auto"/>
              <w:ind w:firstLine="48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)—预测点处声压级，dB；</w:t>
            </w:r>
          </w:p>
          <w:p>
            <w:pPr>
              <w:spacing w:line="360" w:lineRule="auto"/>
              <w:ind w:firstLine="948" w:firstLineChars="395"/>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i/>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)—参考位置</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处的声压级，dB；</w:t>
            </w:r>
          </w:p>
          <w:p>
            <w:pPr>
              <w:pStyle w:val="113"/>
              <w:spacing w:line="360" w:lineRule="auto"/>
              <w:ind w:firstLine="916" w:firstLineChars="382"/>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—预测点距声源的距离；</w:t>
            </w:r>
          </w:p>
          <w:p>
            <w:pPr>
              <w:pStyle w:val="113"/>
              <w:spacing w:line="360" w:lineRule="auto"/>
              <w:ind w:firstLine="916" w:firstLineChars="382"/>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—参考位置距声源的距离，m。</w:t>
            </w:r>
          </w:p>
          <w:p>
            <w:pPr>
              <w:pStyle w:val="106"/>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④建设项目声源在预测点产生的等效声级贡献值</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eastAsia" w:ascii="Times New Roman" w:hAnsi="Times New Roman" w:eastAsia="宋体" w:cs="Times New Roman"/>
                <w:b w:val="0"/>
                <w:bCs w:val="0"/>
                <w:color w:val="auto"/>
                <w:spacing w:val="0"/>
                <w:position w:val="0"/>
                <w:sz w:val="24"/>
                <w:szCs w:val="24"/>
                <w:vertAlign w:val="subscript"/>
                <w:lang w:eastAsia="zh-CN"/>
              </w:rPr>
              <w:t>）</w:t>
            </w:r>
            <w:r>
              <w:rPr>
                <w:rFonts w:hint="default" w:ascii="Times New Roman" w:hAnsi="Times New Roman" w:eastAsia="宋体" w:cs="Times New Roman"/>
                <w:b w:val="0"/>
                <w:bCs w:val="0"/>
                <w:color w:val="auto"/>
                <w:spacing w:val="0"/>
                <w:position w:val="0"/>
                <w:sz w:val="24"/>
                <w:szCs w:val="24"/>
              </w:rPr>
              <w:t>计算公式：</w:t>
            </w:r>
          </w:p>
          <w:p>
            <w:pPr>
              <w:pStyle w:val="106"/>
              <w:autoSpaceDE w:val="0"/>
              <w:autoSpaceDN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28" o:spt="75" type="#_x0000_t75" style="height:39.5pt;width:143.3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p>
          <w:p>
            <w:pPr>
              <w:pStyle w:val="106"/>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default" w:ascii="Times New Roman" w:hAnsi="Times New Roman" w:eastAsia="宋体" w:cs="Times New Roman"/>
                <w:b w:val="0"/>
                <w:bCs w:val="0"/>
                <w:color w:val="auto"/>
                <w:spacing w:val="0"/>
                <w:position w:val="0"/>
                <w:sz w:val="24"/>
                <w:szCs w:val="24"/>
              </w:rPr>
              <w:t>—建设项目声源在预测点的等效声级贡献值，dB(A</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pStyle w:val="106"/>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L</w:t>
            </w:r>
            <w:r>
              <w:rPr>
                <w:rFonts w:hint="default" w:ascii="Times New Roman" w:hAnsi="Times New Roman" w:eastAsia="宋体" w:cs="Times New Roman"/>
                <w:b w:val="0"/>
                <w:bCs w:val="0"/>
                <w:color w:val="auto"/>
                <w:spacing w:val="0"/>
                <w:position w:val="0"/>
                <w:sz w:val="24"/>
                <w:szCs w:val="24"/>
                <w:vertAlign w:val="subscript"/>
              </w:rPr>
              <w:t>Ai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声源在预测点产生的A声级，dB(A</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pStyle w:val="106"/>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T</w:t>
            </w:r>
            <w:r>
              <w:rPr>
                <w:rFonts w:hint="default" w:ascii="Times New Roman" w:hAnsi="Times New Roman" w:eastAsia="宋体" w:cs="Times New Roman"/>
                <w:b w:val="0"/>
                <w:bCs w:val="0"/>
                <w:color w:val="auto"/>
                <w:spacing w:val="0"/>
                <w:position w:val="0"/>
                <w:sz w:val="24"/>
                <w:szCs w:val="24"/>
              </w:rPr>
              <w:t>—预测计算的时间段，s；</w:t>
            </w:r>
          </w:p>
          <w:p>
            <w:pPr>
              <w:pStyle w:val="113"/>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t</w:t>
            </w:r>
            <w:r>
              <w:rPr>
                <w:rFonts w:hint="default" w:ascii="Times New Roman" w:hAnsi="Times New Roman" w:eastAsia="宋体" w:cs="Times New Roman"/>
                <w:b w:val="0"/>
                <w:bCs w:val="0"/>
                <w:color w:val="auto"/>
                <w:spacing w:val="0"/>
                <w:position w:val="0"/>
                <w:sz w:val="24"/>
                <w:szCs w:val="24"/>
                <w:vertAlign w:val="subscript"/>
              </w:rPr>
              <w:t>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声源在T时段内的运行时间，s。</w:t>
            </w:r>
          </w:p>
          <w:p>
            <w:pPr>
              <w:pStyle w:val="106"/>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预测点的预测等效声级</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w:t>
            </w:r>
            <w:r>
              <w:rPr>
                <w:rFonts w:hint="eastAsia" w:ascii="Times New Roman" w:hAnsi="Times New Roman" w:eastAsia="宋体" w:cs="Times New Roman"/>
                <w:b w:val="0"/>
                <w:bCs w:val="0"/>
                <w:color w:val="auto"/>
                <w:spacing w:val="0"/>
                <w:position w:val="0"/>
                <w:sz w:val="24"/>
                <w:szCs w:val="24"/>
                <w:vertAlign w:val="subscript"/>
                <w:lang w:eastAsia="zh-CN"/>
              </w:rPr>
              <w:t>）</w:t>
            </w:r>
            <w:r>
              <w:rPr>
                <w:rFonts w:hint="default" w:ascii="Times New Roman" w:hAnsi="Times New Roman" w:eastAsia="宋体" w:cs="Times New Roman"/>
                <w:b w:val="0"/>
                <w:bCs w:val="0"/>
                <w:color w:val="auto"/>
                <w:spacing w:val="0"/>
                <w:position w:val="0"/>
                <w:sz w:val="24"/>
                <w:szCs w:val="24"/>
              </w:rPr>
              <w:t xml:space="preserve">计算公式： </w:t>
            </w:r>
          </w:p>
          <w:p>
            <w:pPr>
              <w:autoSpaceDE w:val="0"/>
              <w:autoSpaceDN w:val="0"/>
              <w:spacing w:line="360" w:lineRule="auto"/>
              <w:ind w:firstLine="480"/>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29" o:spt="75" type="#_x0000_t75" style="height:24.85pt;width:183.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p>
          <w:p>
            <w:pPr>
              <w:pStyle w:val="106"/>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default" w:ascii="Times New Roman" w:hAnsi="Times New Roman" w:eastAsia="宋体" w:cs="Times New Roman"/>
                <w:b w:val="0"/>
                <w:bCs w:val="0"/>
                <w:color w:val="auto"/>
                <w:spacing w:val="0"/>
                <w:position w:val="0"/>
                <w:sz w:val="24"/>
                <w:szCs w:val="24"/>
              </w:rPr>
              <w:t>—建设项目声源在预测点的等效声级贡献值，dB(A</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 xml:space="preserve">； </w:t>
            </w:r>
          </w:p>
          <w:p>
            <w:pPr>
              <w:pStyle w:val="75"/>
              <w:spacing w:line="360" w:lineRule="auto"/>
              <w:ind w:firstLine="48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eqb</w:t>
            </w:r>
            <w:r>
              <w:rPr>
                <w:rFonts w:hint="default" w:ascii="Times New Roman" w:hAnsi="Times New Roman" w:eastAsia="宋体" w:cs="Times New Roman"/>
                <w:b w:val="0"/>
                <w:bCs w:val="0"/>
                <w:color w:val="auto"/>
                <w:spacing w:val="0"/>
                <w:position w:val="0"/>
                <w:sz w:val="24"/>
                <w:szCs w:val="24"/>
              </w:rPr>
              <w:t>—预测点的背景值，dB(A</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⑤户外声传播衰减计算</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户外声传播衰减包括几何发散（A</w:t>
            </w:r>
            <w:r>
              <w:rPr>
                <w:rFonts w:hint="default" w:ascii="Times New Roman" w:hAnsi="Times New Roman" w:eastAsia="宋体" w:cs="Times New Roman"/>
                <w:b w:val="0"/>
                <w:bCs w:val="0"/>
                <w:color w:val="auto"/>
                <w:spacing w:val="0"/>
                <w:position w:val="0"/>
                <w:sz w:val="24"/>
                <w:szCs w:val="24"/>
                <w:vertAlign w:val="subscript"/>
              </w:rPr>
              <w:t>div</w:t>
            </w:r>
            <w:r>
              <w:rPr>
                <w:rFonts w:hint="default" w:ascii="Times New Roman" w:hAnsi="Times New Roman" w:eastAsia="宋体" w:cs="Times New Roman"/>
                <w:b w:val="0"/>
                <w:bCs w:val="0"/>
                <w:color w:val="auto"/>
                <w:spacing w:val="0"/>
                <w:position w:val="0"/>
                <w:sz w:val="24"/>
                <w:szCs w:val="24"/>
              </w:rPr>
              <w:t>）、大气吸收（A</w:t>
            </w:r>
            <w:r>
              <w:rPr>
                <w:rFonts w:hint="default" w:ascii="Times New Roman" w:hAnsi="Times New Roman" w:eastAsia="宋体" w:cs="Times New Roman"/>
                <w:b w:val="0"/>
                <w:bCs w:val="0"/>
                <w:color w:val="auto"/>
                <w:spacing w:val="0"/>
                <w:position w:val="0"/>
                <w:sz w:val="24"/>
                <w:szCs w:val="24"/>
                <w:vertAlign w:val="subscript"/>
              </w:rPr>
              <w:t>atm</w:t>
            </w:r>
            <w:r>
              <w:rPr>
                <w:rFonts w:hint="default" w:ascii="Times New Roman" w:hAnsi="Times New Roman" w:eastAsia="宋体" w:cs="Times New Roman"/>
                <w:b w:val="0"/>
                <w:bCs w:val="0"/>
                <w:color w:val="auto"/>
                <w:spacing w:val="0"/>
                <w:position w:val="0"/>
                <w:sz w:val="24"/>
                <w:szCs w:val="24"/>
              </w:rPr>
              <w:t>）、地面效应（A</w:t>
            </w:r>
            <w:r>
              <w:rPr>
                <w:rFonts w:hint="default" w:ascii="Times New Roman" w:hAnsi="Times New Roman" w:eastAsia="宋体" w:cs="Times New Roman"/>
                <w:b w:val="0"/>
                <w:bCs w:val="0"/>
                <w:color w:val="auto"/>
                <w:spacing w:val="0"/>
                <w:position w:val="0"/>
                <w:sz w:val="24"/>
                <w:szCs w:val="24"/>
                <w:vertAlign w:val="subscript"/>
              </w:rPr>
              <w:t>gr</w:t>
            </w:r>
            <w:r>
              <w:rPr>
                <w:rFonts w:hint="default" w:ascii="Times New Roman" w:hAnsi="Times New Roman" w:eastAsia="宋体" w:cs="Times New Roman"/>
                <w:b w:val="0"/>
                <w:bCs w:val="0"/>
                <w:color w:val="auto"/>
                <w:spacing w:val="0"/>
                <w:position w:val="0"/>
                <w:sz w:val="24"/>
                <w:szCs w:val="24"/>
              </w:rPr>
              <w:t>）、屏障屏蔽（A</w:t>
            </w:r>
            <w:r>
              <w:rPr>
                <w:rFonts w:hint="default" w:ascii="Times New Roman" w:hAnsi="Times New Roman" w:eastAsia="宋体" w:cs="Times New Roman"/>
                <w:b w:val="0"/>
                <w:bCs w:val="0"/>
                <w:color w:val="auto"/>
                <w:spacing w:val="0"/>
                <w:position w:val="0"/>
                <w:sz w:val="24"/>
                <w:szCs w:val="24"/>
                <w:vertAlign w:val="subscript"/>
              </w:rPr>
              <w:t>bar</w:t>
            </w:r>
            <w:r>
              <w:rPr>
                <w:rFonts w:hint="default" w:ascii="Times New Roman" w:hAnsi="Times New Roman" w:eastAsia="宋体" w:cs="Times New Roman"/>
                <w:b w:val="0"/>
                <w:bCs w:val="0"/>
                <w:color w:val="auto"/>
                <w:spacing w:val="0"/>
                <w:position w:val="0"/>
                <w:sz w:val="24"/>
                <w:szCs w:val="24"/>
              </w:rPr>
              <w:t>）、其他多方面效应（A</w:t>
            </w:r>
            <w:r>
              <w:rPr>
                <w:rFonts w:hint="default" w:ascii="Times New Roman" w:hAnsi="Times New Roman" w:eastAsia="宋体" w:cs="Times New Roman"/>
                <w:b w:val="0"/>
                <w:bCs w:val="0"/>
                <w:color w:val="auto"/>
                <w:spacing w:val="0"/>
                <w:position w:val="0"/>
                <w:sz w:val="24"/>
                <w:szCs w:val="24"/>
                <w:vertAlign w:val="subscript"/>
              </w:rPr>
              <w:t>misc</w:t>
            </w:r>
            <w:r>
              <w:rPr>
                <w:rFonts w:hint="default" w:ascii="Times New Roman" w:hAnsi="Times New Roman" w:eastAsia="宋体" w:cs="Times New Roman"/>
                <w:b w:val="0"/>
                <w:bCs w:val="0"/>
                <w:color w:val="auto"/>
                <w:spacing w:val="0"/>
                <w:position w:val="0"/>
                <w:sz w:val="24"/>
                <w:szCs w:val="24"/>
              </w:rPr>
              <w:t>）引起的衰减。</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距声源点r处的A声级按下式计算：</w:t>
            </w:r>
          </w:p>
          <w:p>
            <w:pPr>
              <w:spacing w:line="360" w:lineRule="auto"/>
              <w:jc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drawing>
                <wp:inline distT="0" distB="0" distL="0" distR="0">
                  <wp:extent cx="3932555" cy="331470"/>
                  <wp:effectExtent l="0" t="0" r="10795" b="11430"/>
                  <wp:docPr id="31" name="图片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44"/>
                          <pic:cNvPicPr>
                            <a:picLocks noChangeAspect="1" noChangeArrowheads="1"/>
                          </pic:cNvPicPr>
                        </pic:nvPicPr>
                        <pic:blipFill>
                          <a:blip r:embed="rId27"/>
                          <a:srcRect/>
                          <a:stretch>
                            <a:fillRect/>
                          </a:stretch>
                        </pic:blipFill>
                        <pic:spPr>
                          <a:xfrm>
                            <a:off x="0" y="0"/>
                            <a:ext cx="3932555" cy="331470"/>
                          </a:xfrm>
                          <a:prstGeom prst="rect">
                            <a:avLst/>
                          </a:prstGeom>
                          <a:noFill/>
                          <a:ln w="9525">
                            <a:noFill/>
                            <a:miter lim="800000"/>
                            <a:headEnd/>
                            <a:tailEnd/>
                          </a:ln>
                        </pic:spPr>
                      </pic:pic>
                    </a:graphicData>
                  </a:graphic>
                </wp:inline>
              </w:drawing>
            </w:r>
          </w:p>
          <w:p>
            <w:pPr>
              <w:keepNext w:val="0"/>
              <w:keepLines w:val="0"/>
              <w:pageBreakBefore w:val="0"/>
              <w:kinsoku/>
              <w:overflowPunct/>
              <w:topLinePunct w:val="0"/>
              <w:bidi w:val="0"/>
              <w:spacing w:line="360" w:lineRule="auto"/>
              <w:ind w:firstLine="480" w:firstLineChars="200"/>
              <w:jc w:val="left"/>
              <w:rPr>
                <w:rFonts w:ascii="Times New Roman" w:hAnsi="Times New Roman" w:eastAsia="宋体" w:cs="Times New Roman"/>
                <w:b/>
                <w:bCs/>
                <w:color w:val="auto"/>
                <w:sz w:val="21"/>
                <w:szCs w:val="21"/>
                <w:lang w:val="zh-CN"/>
              </w:rPr>
            </w:pPr>
            <w:r>
              <w:rPr>
                <w:rFonts w:hint="default" w:ascii="Times New Roman" w:hAnsi="Times New Roman" w:eastAsia="宋体" w:cs="Times New Roman"/>
                <w:b w:val="0"/>
                <w:bCs w:val="0"/>
                <w:color w:val="auto"/>
                <w:spacing w:val="0"/>
                <w:position w:val="0"/>
                <w:sz w:val="24"/>
                <w:szCs w:val="24"/>
              </w:rPr>
              <w:t>在预测中考虑反射引起的修正、屏障引起的衰减、双绕射、室内声源等效室外声源等影响和计算方法。</w:t>
            </w:r>
          </w:p>
          <w:p>
            <w:pPr>
              <w:keepNext w:val="0"/>
              <w:keepLines w:val="0"/>
              <w:pageBreakBefore w:val="0"/>
              <w:kinsoku/>
              <w:overflowPunct/>
              <w:topLinePunct w:val="0"/>
              <w:bidi w:val="0"/>
              <w:spacing w:line="360" w:lineRule="auto"/>
              <w:ind w:firstLine="422" w:firstLineChars="200"/>
              <w:jc w:val="center"/>
              <w:rPr>
                <w:rFonts w:hint="default" w:ascii="Times New Roman" w:hAnsi="Times New Roman" w:eastAsia="宋体" w:cs="Times New Roman"/>
                <w:b/>
                <w:bCs/>
                <w:color w:val="auto"/>
                <w:sz w:val="21"/>
                <w:szCs w:val="21"/>
                <w:lang w:val="en-US" w:eastAsia="zh-CN"/>
              </w:rPr>
            </w:pPr>
            <w:r>
              <w:rPr>
                <w:rFonts w:ascii="Times New Roman" w:hAnsi="Times New Roman" w:eastAsia="宋体" w:cs="Times New Roman"/>
                <w:b/>
                <w:bCs/>
                <w:color w:val="auto"/>
                <w:sz w:val="21"/>
                <w:szCs w:val="21"/>
                <w:lang w:val="zh-CN"/>
              </w:rPr>
              <w:t>表4-</w:t>
            </w:r>
            <w:r>
              <w:rPr>
                <w:rFonts w:hint="eastAsia" w:ascii="Times New Roman" w:hAnsi="Times New Roman" w:eastAsia="宋体" w:cs="Times New Roman"/>
                <w:b/>
                <w:bCs/>
                <w:color w:val="auto"/>
                <w:sz w:val="21"/>
                <w:szCs w:val="21"/>
                <w:lang w:val="en-US" w:eastAsia="zh-CN"/>
              </w:rPr>
              <w:t>12</w:t>
            </w:r>
            <w:r>
              <w:rPr>
                <w:rFonts w:ascii="Times New Roman" w:hAnsi="Times New Roman" w:eastAsia="宋体" w:cs="Times New Roman"/>
                <w:b/>
                <w:bCs/>
                <w:color w:val="auto"/>
                <w:sz w:val="21"/>
                <w:szCs w:val="21"/>
                <w:lang w:val="zh-CN"/>
              </w:rPr>
              <w:t xml:space="preserve"> 主要噪声</w:t>
            </w:r>
            <w:r>
              <w:rPr>
                <w:rFonts w:hint="eastAsia" w:ascii="Times New Roman" w:hAnsi="Times New Roman" w:eastAsia="宋体" w:cs="Times New Roman"/>
                <w:b/>
                <w:bCs/>
                <w:color w:val="auto"/>
                <w:sz w:val="21"/>
                <w:szCs w:val="21"/>
                <w:lang w:val="en-US" w:eastAsia="zh-CN"/>
              </w:rPr>
              <w:t>影响预测结果</w:t>
            </w:r>
          </w:p>
          <w:tbl>
            <w:tblPr>
              <w:tblStyle w:val="29"/>
              <w:tblW w:w="913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749"/>
              <w:gridCol w:w="1604"/>
              <w:gridCol w:w="2"/>
              <w:gridCol w:w="1595"/>
              <w:gridCol w:w="1601"/>
              <w:gridCol w:w="16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41" w:type="dxa"/>
                  <w:vMerge w:val="restart"/>
                  <w:noWrap w:val="0"/>
                  <w:vAlign w:val="center"/>
                </w:tcPr>
                <w:p>
                  <w:pPr>
                    <w:snapToGrid w:val="0"/>
                    <w:jc w:val="center"/>
                    <w:rPr>
                      <w:b/>
                      <w:bCs/>
                      <w:color w:val="auto"/>
                      <w:szCs w:val="21"/>
                    </w:rPr>
                  </w:pPr>
                  <w:r>
                    <w:rPr>
                      <w:b/>
                      <w:bCs/>
                      <w:color w:val="auto"/>
                      <w:szCs w:val="21"/>
                      <w:lang w:bidi="ar"/>
                    </w:rPr>
                    <w:t>预测点</w:t>
                  </w:r>
                </w:p>
              </w:tc>
              <w:tc>
                <w:tcPr>
                  <w:tcW w:w="1749" w:type="dxa"/>
                  <w:noWrap w:val="0"/>
                  <w:vAlign w:val="center"/>
                </w:tcPr>
                <w:p>
                  <w:pPr>
                    <w:snapToGrid w:val="0"/>
                    <w:jc w:val="center"/>
                    <w:rPr>
                      <w:b/>
                      <w:bCs/>
                      <w:color w:val="auto"/>
                      <w:szCs w:val="21"/>
                    </w:rPr>
                  </w:pPr>
                  <w:r>
                    <w:rPr>
                      <w:b/>
                      <w:bCs/>
                      <w:color w:val="auto"/>
                      <w:szCs w:val="21"/>
                      <w:lang w:bidi="ar"/>
                    </w:rPr>
                    <w:t>贡献值/dB（A）</w:t>
                  </w:r>
                </w:p>
              </w:tc>
              <w:tc>
                <w:tcPr>
                  <w:tcW w:w="1604" w:type="dxa"/>
                  <w:noWrap w:val="0"/>
                  <w:vAlign w:val="center"/>
                </w:tcPr>
                <w:p>
                  <w:pPr>
                    <w:snapToGrid w:val="0"/>
                    <w:jc w:val="center"/>
                    <w:rPr>
                      <w:rFonts w:hint="eastAsia" w:eastAsia="宋体"/>
                      <w:b/>
                      <w:bCs/>
                      <w:color w:val="auto"/>
                      <w:szCs w:val="21"/>
                      <w:lang w:val="en-US" w:eastAsia="zh-CN" w:bidi="ar"/>
                    </w:rPr>
                  </w:pPr>
                  <w:r>
                    <w:rPr>
                      <w:rFonts w:hint="eastAsia"/>
                      <w:b/>
                      <w:bCs/>
                      <w:color w:val="auto"/>
                      <w:szCs w:val="21"/>
                      <w:lang w:val="en-US" w:eastAsia="zh-CN" w:bidi="ar"/>
                    </w:rPr>
                    <w:t>背景值</w:t>
                  </w:r>
                  <w:r>
                    <w:rPr>
                      <w:b/>
                      <w:bCs/>
                      <w:color w:val="auto"/>
                      <w:szCs w:val="21"/>
                      <w:lang w:bidi="ar"/>
                    </w:rPr>
                    <w:t>/dB（A）</w:t>
                  </w:r>
                </w:p>
              </w:tc>
              <w:tc>
                <w:tcPr>
                  <w:tcW w:w="1597" w:type="dxa"/>
                  <w:gridSpan w:val="2"/>
                  <w:noWrap w:val="0"/>
                  <w:vAlign w:val="center"/>
                </w:tcPr>
                <w:p>
                  <w:pPr>
                    <w:snapToGrid w:val="0"/>
                    <w:jc w:val="center"/>
                    <w:rPr>
                      <w:rFonts w:hint="default"/>
                      <w:b/>
                      <w:bCs/>
                      <w:color w:val="auto"/>
                      <w:szCs w:val="21"/>
                      <w:lang w:val="en-US" w:eastAsia="zh-CN" w:bidi="ar"/>
                    </w:rPr>
                  </w:pPr>
                  <w:r>
                    <w:rPr>
                      <w:rFonts w:hint="eastAsia"/>
                      <w:b/>
                      <w:bCs/>
                      <w:color w:val="auto"/>
                      <w:szCs w:val="21"/>
                      <w:lang w:val="en-US" w:eastAsia="zh-CN" w:bidi="ar"/>
                    </w:rPr>
                    <w:t>叠加值</w:t>
                  </w:r>
                  <w:r>
                    <w:rPr>
                      <w:b/>
                      <w:bCs/>
                      <w:color w:val="auto"/>
                      <w:szCs w:val="21"/>
                      <w:lang w:bidi="ar"/>
                    </w:rPr>
                    <w:t>/dB（A）</w:t>
                  </w:r>
                </w:p>
              </w:tc>
              <w:tc>
                <w:tcPr>
                  <w:tcW w:w="1601" w:type="dxa"/>
                  <w:noWrap w:val="0"/>
                  <w:vAlign w:val="center"/>
                </w:tcPr>
                <w:p>
                  <w:pPr>
                    <w:snapToGrid w:val="0"/>
                    <w:jc w:val="center"/>
                    <w:rPr>
                      <w:b/>
                      <w:bCs/>
                      <w:color w:val="auto"/>
                      <w:szCs w:val="21"/>
                    </w:rPr>
                  </w:pPr>
                  <w:r>
                    <w:rPr>
                      <w:b/>
                      <w:bCs/>
                      <w:color w:val="auto"/>
                      <w:szCs w:val="21"/>
                      <w:lang w:bidi="ar"/>
                    </w:rPr>
                    <w:t>噪声标准/dB（A）</w:t>
                  </w:r>
                </w:p>
              </w:tc>
              <w:tc>
                <w:tcPr>
                  <w:tcW w:w="1639" w:type="dxa"/>
                  <w:noWrap w:val="0"/>
                  <w:vAlign w:val="center"/>
                </w:tcPr>
                <w:p>
                  <w:pPr>
                    <w:snapToGrid w:val="0"/>
                    <w:jc w:val="center"/>
                    <w:rPr>
                      <w:b/>
                      <w:bCs/>
                      <w:color w:val="auto"/>
                      <w:szCs w:val="21"/>
                    </w:rPr>
                  </w:pPr>
                  <w:r>
                    <w:rPr>
                      <w:b/>
                      <w:bCs/>
                      <w:color w:val="auto"/>
                      <w:szCs w:val="21"/>
                      <w:lang w:bidi="ar"/>
                    </w:rPr>
                    <w:t>超标和达标情况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41" w:type="dxa"/>
                  <w:vMerge w:val="continue"/>
                  <w:noWrap w:val="0"/>
                  <w:vAlign w:val="center"/>
                </w:tcPr>
                <w:p>
                  <w:pPr>
                    <w:rPr>
                      <w:rFonts w:eastAsia="等线"/>
                      <w:color w:val="auto"/>
                      <w:sz w:val="20"/>
                      <w:szCs w:val="20"/>
                    </w:rPr>
                  </w:pPr>
                </w:p>
              </w:tc>
              <w:tc>
                <w:tcPr>
                  <w:tcW w:w="1749" w:type="dxa"/>
                  <w:noWrap w:val="0"/>
                  <w:vAlign w:val="center"/>
                </w:tcPr>
                <w:p>
                  <w:pPr>
                    <w:snapToGrid w:val="0"/>
                    <w:jc w:val="center"/>
                    <w:rPr>
                      <w:b/>
                      <w:bCs/>
                      <w:color w:val="auto"/>
                      <w:szCs w:val="21"/>
                    </w:rPr>
                  </w:pPr>
                  <w:r>
                    <w:rPr>
                      <w:rFonts w:hint="eastAsia"/>
                      <w:b/>
                      <w:bCs/>
                      <w:color w:val="auto"/>
                      <w:szCs w:val="21"/>
                    </w:rPr>
                    <w:t>昼间</w:t>
                  </w:r>
                </w:p>
              </w:tc>
              <w:tc>
                <w:tcPr>
                  <w:tcW w:w="1606" w:type="dxa"/>
                  <w:gridSpan w:val="2"/>
                  <w:noWrap w:val="0"/>
                  <w:vAlign w:val="center"/>
                </w:tcPr>
                <w:p>
                  <w:pPr>
                    <w:snapToGrid w:val="0"/>
                    <w:jc w:val="center"/>
                    <w:rPr>
                      <w:rFonts w:hint="eastAsia"/>
                      <w:b/>
                      <w:bCs/>
                      <w:color w:val="auto"/>
                      <w:szCs w:val="21"/>
                    </w:rPr>
                  </w:pPr>
                  <w:r>
                    <w:rPr>
                      <w:rFonts w:hint="eastAsia"/>
                      <w:b/>
                      <w:bCs/>
                      <w:color w:val="auto"/>
                      <w:szCs w:val="21"/>
                    </w:rPr>
                    <w:t>昼间</w:t>
                  </w:r>
                </w:p>
              </w:tc>
              <w:tc>
                <w:tcPr>
                  <w:tcW w:w="1595" w:type="dxa"/>
                  <w:noWrap w:val="0"/>
                  <w:vAlign w:val="center"/>
                </w:tcPr>
                <w:p>
                  <w:pPr>
                    <w:snapToGrid w:val="0"/>
                    <w:jc w:val="center"/>
                    <w:rPr>
                      <w:b/>
                      <w:bCs/>
                      <w:color w:val="auto"/>
                      <w:szCs w:val="21"/>
                    </w:rPr>
                  </w:pPr>
                  <w:r>
                    <w:rPr>
                      <w:rFonts w:hint="eastAsia"/>
                      <w:b/>
                      <w:bCs/>
                      <w:color w:val="auto"/>
                      <w:szCs w:val="21"/>
                    </w:rPr>
                    <w:t>昼间</w:t>
                  </w:r>
                </w:p>
              </w:tc>
              <w:tc>
                <w:tcPr>
                  <w:tcW w:w="1601" w:type="dxa"/>
                  <w:noWrap w:val="0"/>
                  <w:vAlign w:val="center"/>
                </w:tcPr>
                <w:p>
                  <w:pPr>
                    <w:snapToGrid w:val="0"/>
                    <w:jc w:val="center"/>
                    <w:rPr>
                      <w:rFonts w:hint="eastAsia"/>
                      <w:b/>
                      <w:bCs/>
                      <w:color w:val="auto"/>
                      <w:szCs w:val="21"/>
                    </w:rPr>
                  </w:pPr>
                  <w:r>
                    <w:rPr>
                      <w:rFonts w:hint="eastAsia"/>
                      <w:b/>
                      <w:bCs/>
                      <w:color w:val="auto"/>
                      <w:szCs w:val="21"/>
                    </w:rPr>
                    <w:t>昼间</w:t>
                  </w:r>
                </w:p>
              </w:tc>
              <w:tc>
                <w:tcPr>
                  <w:tcW w:w="1639" w:type="dxa"/>
                  <w:noWrap w:val="0"/>
                  <w:vAlign w:val="center"/>
                </w:tcPr>
                <w:p>
                  <w:pPr>
                    <w:snapToGrid w:val="0"/>
                    <w:jc w:val="center"/>
                    <w:rPr>
                      <w:rFonts w:hint="eastAsia"/>
                      <w:b/>
                      <w:bCs/>
                      <w:color w:val="auto"/>
                      <w:szCs w:val="21"/>
                    </w:rPr>
                  </w:pPr>
                  <w:r>
                    <w:rPr>
                      <w:rFonts w:hint="eastAsia"/>
                      <w:b/>
                      <w:bCs/>
                      <w:color w:val="auto"/>
                      <w:szCs w:val="21"/>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4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厂界东</w:t>
                  </w:r>
                </w:p>
              </w:tc>
              <w:tc>
                <w:tcPr>
                  <w:tcW w:w="174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47.10</w:t>
                  </w:r>
                </w:p>
              </w:tc>
              <w:tc>
                <w:tcPr>
                  <w:tcW w:w="1606" w:type="dxa"/>
                  <w:gridSpan w:val="2"/>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1595"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1601" w:type="dxa"/>
                  <w:shd w:val="clear" w:color="auto" w:fill="auto"/>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1639"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4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厂界南</w:t>
                  </w:r>
                </w:p>
              </w:tc>
              <w:tc>
                <w:tcPr>
                  <w:tcW w:w="174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46.84</w:t>
                  </w:r>
                </w:p>
              </w:tc>
              <w:tc>
                <w:tcPr>
                  <w:tcW w:w="1606" w:type="dxa"/>
                  <w:gridSpan w:val="2"/>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1595"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1601"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1639"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4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厂界西</w:t>
                  </w:r>
                </w:p>
              </w:tc>
              <w:tc>
                <w:tcPr>
                  <w:tcW w:w="174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46.45</w:t>
                  </w:r>
                </w:p>
              </w:tc>
              <w:tc>
                <w:tcPr>
                  <w:tcW w:w="1606" w:type="dxa"/>
                  <w:gridSpan w:val="2"/>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1595"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1601"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1639"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4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厂界北</w:t>
                  </w:r>
                </w:p>
              </w:tc>
              <w:tc>
                <w:tcPr>
                  <w:tcW w:w="174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45.55</w:t>
                  </w:r>
                </w:p>
              </w:tc>
              <w:tc>
                <w:tcPr>
                  <w:tcW w:w="1606" w:type="dxa"/>
                  <w:gridSpan w:val="2"/>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1595"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1601"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1639"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4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厂界西侧居民</w:t>
                  </w:r>
                </w:p>
              </w:tc>
              <w:tc>
                <w:tcPr>
                  <w:tcW w:w="174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43.46</w:t>
                  </w:r>
                </w:p>
              </w:tc>
              <w:tc>
                <w:tcPr>
                  <w:tcW w:w="1606" w:type="dxa"/>
                  <w:gridSpan w:val="2"/>
                  <w:noWrap w:val="0"/>
                  <w:vAlign w:val="center"/>
                </w:tcPr>
                <w:p>
                  <w:pPr>
                    <w:spacing w:after="0"/>
                    <w:jc w:val="center"/>
                    <w:rPr>
                      <w:rFonts w:hint="default" w:ascii="Times New Roman" w:hAnsi="Times New Roman" w:eastAsia="宋体" w:cs="Times New Roman"/>
                      <w:color w:val="auto"/>
                      <w:szCs w:val="21"/>
                      <w:highlight w:val="none"/>
                      <w:lang w:val="en-US" w:eastAsia="zh-CN"/>
                    </w:rPr>
                  </w:pPr>
                  <w:r>
                    <w:rPr>
                      <w:rFonts w:ascii="Times New Roman" w:hAnsi="Times New Roman" w:eastAsiaTheme="minorEastAsia"/>
                      <w:sz w:val="21"/>
                      <w:szCs w:val="21"/>
                    </w:rPr>
                    <w:t>51</w:t>
                  </w:r>
                </w:p>
              </w:tc>
              <w:tc>
                <w:tcPr>
                  <w:tcW w:w="1595" w:type="dxa"/>
                  <w:noWrap w:val="0"/>
                  <w:vAlign w:val="center"/>
                </w:tcPr>
                <w:p>
                  <w:pPr>
                    <w:spacing w:after="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51.70</w:t>
                  </w:r>
                </w:p>
              </w:tc>
              <w:tc>
                <w:tcPr>
                  <w:tcW w:w="1601" w:type="dxa"/>
                  <w:shd w:val="clear" w:color="auto" w:fill="auto"/>
                  <w:noWrap w:val="0"/>
                  <w:vAlign w:val="center"/>
                </w:tcPr>
                <w:p>
                  <w:pPr>
                    <w:spacing w:after="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w:t>
                  </w:r>
                </w:p>
              </w:tc>
              <w:tc>
                <w:tcPr>
                  <w:tcW w:w="1639"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4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厂界东南侧居民</w:t>
                  </w:r>
                </w:p>
              </w:tc>
              <w:tc>
                <w:tcPr>
                  <w:tcW w:w="174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38.19</w:t>
                  </w:r>
                </w:p>
              </w:tc>
              <w:tc>
                <w:tcPr>
                  <w:tcW w:w="1606" w:type="dxa"/>
                  <w:gridSpan w:val="2"/>
                  <w:noWrap w:val="0"/>
                  <w:vAlign w:val="center"/>
                </w:tcPr>
                <w:p>
                  <w:pPr>
                    <w:spacing w:after="0"/>
                    <w:jc w:val="center"/>
                    <w:rPr>
                      <w:rFonts w:hint="default" w:ascii="Times New Roman" w:hAnsi="Times New Roman" w:eastAsia="宋体" w:cs="Times New Roman"/>
                      <w:color w:val="auto"/>
                      <w:szCs w:val="21"/>
                      <w:highlight w:val="none"/>
                      <w:lang w:val="en-US" w:eastAsia="zh-CN"/>
                    </w:rPr>
                  </w:pPr>
                  <w:r>
                    <w:rPr>
                      <w:rFonts w:ascii="Times New Roman" w:hAnsi="Times New Roman" w:eastAsiaTheme="minorEastAsia"/>
                      <w:sz w:val="21"/>
                      <w:szCs w:val="21"/>
                    </w:rPr>
                    <w:t>52</w:t>
                  </w:r>
                </w:p>
              </w:tc>
              <w:tc>
                <w:tcPr>
                  <w:tcW w:w="1595" w:type="dxa"/>
                  <w:noWrap w:val="0"/>
                  <w:vAlign w:val="center"/>
                </w:tcPr>
                <w:p>
                  <w:pPr>
                    <w:spacing w:after="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52.18</w:t>
                  </w:r>
                </w:p>
              </w:tc>
              <w:tc>
                <w:tcPr>
                  <w:tcW w:w="1601" w:type="dxa"/>
                  <w:shd w:val="clear" w:color="auto" w:fill="auto"/>
                  <w:noWrap w:val="0"/>
                  <w:vAlign w:val="center"/>
                </w:tcPr>
                <w:p>
                  <w:pPr>
                    <w:spacing w:after="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w:t>
                  </w:r>
                </w:p>
              </w:tc>
              <w:tc>
                <w:tcPr>
                  <w:tcW w:w="1639"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94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厂界东侧居民</w:t>
                  </w:r>
                </w:p>
              </w:tc>
              <w:tc>
                <w:tcPr>
                  <w:tcW w:w="174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44.62</w:t>
                  </w:r>
                </w:p>
              </w:tc>
              <w:tc>
                <w:tcPr>
                  <w:tcW w:w="1606" w:type="dxa"/>
                  <w:gridSpan w:val="2"/>
                  <w:noWrap w:val="0"/>
                  <w:vAlign w:val="center"/>
                </w:tcPr>
                <w:p>
                  <w:pPr>
                    <w:spacing w:after="0"/>
                    <w:jc w:val="center"/>
                    <w:rPr>
                      <w:rFonts w:hint="eastAsia" w:ascii="Times New Roman" w:hAnsi="Times New Roman" w:eastAsia="宋体" w:cs="Times New Roman"/>
                      <w:color w:val="auto"/>
                      <w:szCs w:val="21"/>
                      <w:highlight w:val="none"/>
                      <w:lang w:val="en-US" w:eastAsia="zh-CN"/>
                    </w:rPr>
                  </w:pPr>
                  <w:r>
                    <w:rPr>
                      <w:rFonts w:ascii="Times New Roman" w:hAnsi="Times New Roman" w:eastAsiaTheme="minorEastAsia"/>
                      <w:sz w:val="21"/>
                      <w:szCs w:val="21"/>
                    </w:rPr>
                    <w:t>51</w:t>
                  </w:r>
                </w:p>
              </w:tc>
              <w:tc>
                <w:tcPr>
                  <w:tcW w:w="1595" w:type="dxa"/>
                  <w:noWrap w:val="0"/>
                  <w:vAlign w:val="center"/>
                </w:tcPr>
                <w:p>
                  <w:pPr>
                    <w:spacing w:after="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51.90</w:t>
                  </w:r>
                </w:p>
              </w:tc>
              <w:tc>
                <w:tcPr>
                  <w:tcW w:w="1601" w:type="dxa"/>
                  <w:noWrap w:val="0"/>
                  <w:vAlign w:val="center"/>
                </w:tcPr>
                <w:p>
                  <w:pPr>
                    <w:spacing w:after="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w:t>
                  </w:r>
                </w:p>
              </w:tc>
              <w:tc>
                <w:tcPr>
                  <w:tcW w:w="1639"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w:t>
            </w:r>
            <w:r>
              <w:rPr>
                <w:rFonts w:hint="eastAsia" w:cs="Times New Roman"/>
                <w:bCs/>
                <w:color w:val="auto"/>
                <w:spacing w:val="-10"/>
                <w:sz w:val="24"/>
                <w:szCs w:val="24"/>
                <w:lang w:val="en-US" w:eastAsia="zh-CN"/>
              </w:rPr>
              <w:t>3</w:t>
            </w:r>
            <w:r>
              <w:rPr>
                <w:rFonts w:hint="default" w:ascii="Times New Roman" w:hAnsi="Times New Roman" w:eastAsia="宋体" w:cs="Times New Roman"/>
                <w:bCs/>
                <w:color w:val="auto"/>
                <w:spacing w:val="-10"/>
                <w:sz w:val="24"/>
                <w:szCs w:val="24"/>
                <w:lang w:val="en-US" w:eastAsia="zh-CN"/>
              </w:rPr>
              <w:t>）达标情况分析</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 w:val="24"/>
                <w:szCs w:val="24"/>
                <w:lang w:val="en-US" w:eastAsia="zh-CN"/>
              </w:rPr>
              <w:t>本项目选用低噪声设备，设备装设减振垫，再通过房</w:t>
            </w:r>
            <w:r>
              <w:rPr>
                <w:rFonts w:hint="eastAsia" w:cs="Times New Roman"/>
                <w:bCs/>
                <w:color w:val="auto"/>
                <w:spacing w:val="-10"/>
                <w:sz w:val="24"/>
                <w:szCs w:val="24"/>
                <w:lang w:val="en-US" w:eastAsia="zh-CN"/>
              </w:rPr>
              <w:t>屋</w:t>
            </w:r>
            <w:r>
              <w:rPr>
                <w:rFonts w:hint="default" w:ascii="Times New Roman" w:hAnsi="Times New Roman" w:eastAsia="宋体" w:cs="Times New Roman"/>
                <w:bCs/>
                <w:color w:val="auto"/>
                <w:spacing w:val="-10"/>
                <w:sz w:val="24"/>
                <w:szCs w:val="24"/>
                <w:lang w:val="en-US" w:eastAsia="zh-CN"/>
              </w:rPr>
              <w:t>隔声等措施，可限制噪声向外传播，</w:t>
            </w:r>
            <w:r>
              <w:rPr>
                <w:rFonts w:hint="default" w:ascii="Times New Roman" w:hAnsi="Times New Roman" w:cs="Times New Roman"/>
                <w:color w:val="auto"/>
                <w:sz w:val="24"/>
                <w:szCs w:val="24"/>
                <w:lang w:val="en-US" w:eastAsia="zh-CN"/>
              </w:rPr>
              <w:t>通过上述措施</w:t>
            </w:r>
            <w:r>
              <w:rPr>
                <w:rFonts w:hint="default" w:ascii="Times New Roman" w:hAnsi="Times New Roman" w:eastAsia="宋体" w:cs="Times New Roman"/>
                <w:bCs/>
                <w:color w:val="auto"/>
                <w:spacing w:val="-10"/>
                <w:sz w:val="24"/>
                <w:szCs w:val="24"/>
                <w:lang w:val="en-US" w:eastAsia="zh-CN"/>
              </w:rPr>
              <w:t>厂界噪声排放</w:t>
            </w:r>
            <w:r>
              <w:rPr>
                <w:rFonts w:hint="default" w:ascii="Times New Roman" w:hAnsi="Times New Roman" w:cs="Times New Roman"/>
                <w:color w:val="auto"/>
                <w:kern w:val="0"/>
                <w:sz w:val="24"/>
                <w:szCs w:val="24"/>
                <w:lang w:val="en-US" w:eastAsia="zh-CN"/>
              </w:rPr>
              <w:t>满足</w:t>
            </w:r>
            <w:r>
              <w:rPr>
                <w:rFonts w:hint="eastAsia" w:ascii="Times New Roman" w:hAnsi="Times New Roman" w:cs="Times New Roman"/>
                <w:color w:val="auto"/>
                <w:kern w:val="0"/>
                <w:sz w:val="24"/>
                <w:szCs w:val="24"/>
                <w:lang w:val="en-US" w:eastAsia="zh-CN"/>
              </w:rPr>
              <w:t>《工业企业厂界环境噪声排放标准》</w:t>
            </w:r>
            <w:r>
              <w:rPr>
                <w:rFonts w:hint="default" w:ascii="Times New Roman" w:hAnsi="Times New Roman" w:cs="Times New Roman"/>
                <w:color w:val="auto"/>
                <w:kern w:val="0"/>
                <w:sz w:val="24"/>
                <w:szCs w:val="24"/>
                <w:lang w:val="en-US" w:eastAsia="zh-CN"/>
              </w:rPr>
              <w:t>（GB12348-2008）中</w:t>
            </w:r>
            <w:r>
              <w:rPr>
                <w:rFonts w:hint="eastAsia" w:cs="Times New Roman"/>
                <w:color w:val="auto"/>
                <w:kern w:val="0"/>
                <w:sz w:val="24"/>
                <w:szCs w:val="24"/>
                <w:lang w:val="en-US" w:eastAsia="zh-CN"/>
              </w:rPr>
              <w:t>2</w:t>
            </w:r>
            <w:r>
              <w:rPr>
                <w:rFonts w:hint="default" w:ascii="Times New Roman" w:hAnsi="Times New Roman" w:cs="Times New Roman"/>
                <w:color w:val="auto"/>
                <w:kern w:val="0"/>
                <w:sz w:val="24"/>
                <w:szCs w:val="24"/>
                <w:lang w:val="en-US" w:eastAsia="zh-CN"/>
              </w:rPr>
              <w:t>类标准要求</w:t>
            </w:r>
            <w:r>
              <w:rPr>
                <w:rFonts w:hint="eastAsia" w:cs="Times New Roman"/>
                <w:color w:val="auto"/>
                <w:kern w:val="0"/>
                <w:sz w:val="24"/>
                <w:szCs w:val="24"/>
                <w:lang w:val="en-US" w:eastAsia="zh-CN"/>
              </w:rPr>
              <w:t>。本项目使用隔声门窗、在墙面、地面、顶棚涂布吸声材料等消声措施来减少噪声对外部环境的影响，防止对周边居民产生影响，</w:t>
            </w:r>
            <w:r>
              <w:rPr>
                <w:rFonts w:hint="eastAsia"/>
                <w:color w:val="auto"/>
                <w:sz w:val="24"/>
                <w:lang w:val="en-US" w:eastAsia="zh-CN"/>
              </w:rPr>
              <w:t>厂界周边敏感点满足《声环境质量标准》（GB3096-2008）中2类标准。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（3）环境噪声监测要求</w:t>
            </w:r>
          </w:p>
          <w:p>
            <w:pPr>
              <w:pStyle w:val="93"/>
              <w:adjustRightInd/>
              <w:snapToGrid/>
              <w:spacing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eastAsia" w:ascii="Times New Roman" w:hAnsi="Times New Roman" w:eastAsia="宋体" w:cs="Times New Roman"/>
                <w:b/>
                <w:bCs/>
                <w:color w:val="auto"/>
                <w:sz w:val="24"/>
                <w:szCs w:val="24"/>
                <w:lang w:val="en-US" w:eastAsia="zh-CN"/>
              </w:rPr>
              <w:t>13</w:t>
            </w:r>
            <w:r>
              <w:rPr>
                <w:rFonts w:hint="default" w:ascii="Times New Roman" w:hAnsi="Times New Roman" w:eastAsia="宋体" w:cs="Times New Roman"/>
                <w:b/>
                <w:bCs/>
                <w:color w:val="auto"/>
                <w:sz w:val="24"/>
                <w:szCs w:val="24"/>
              </w:rPr>
              <w:t xml:space="preserve">  噪声监测计划一览表</w:t>
            </w:r>
          </w:p>
          <w:tbl>
            <w:tblPr>
              <w:tblStyle w:val="29"/>
              <w:tblW w:w="8651"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17"/>
              <w:gridCol w:w="750"/>
              <w:gridCol w:w="1773"/>
              <w:gridCol w:w="818"/>
              <w:gridCol w:w="1800"/>
              <w:gridCol w:w="279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64" w:hRule="atLeast"/>
                <w:jc w:val="center"/>
              </w:trPr>
              <w:tc>
                <w:tcPr>
                  <w:tcW w:w="717"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序号</w:t>
                  </w:r>
                </w:p>
              </w:tc>
              <w:tc>
                <w:tcPr>
                  <w:tcW w:w="75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环境</w:t>
                  </w:r>
                </w:p>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要素</w:t>
                  </w:r>
                </w:p>
              </w:tc>
              <w:tc>
                <w:tcPr>
                  <w:tcW w:w="177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监测点位</w:t>
                  </w:r>
                </w:p>
              </w:tc>
              <w:tc>
                <w:tcPr>
                  <w:tcW w:w="818"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监测指标</w:t>
                  </w:r>
                </w:p>
              </w:tc>
              <w:tc>
                <w:tcPr>
                  <w:tcW w:w="180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监测频次</w:t>
                  </w:r>
                </w:p>
              </w:tc>
              <w:tc>
                <w:tcPr>
                  <w:tcW w:w="279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执行标准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575" w:hRule="atLeast"/>
                <w:jc w:val="center"/>
              </w:trPr>
              <w:tc>
                <w:tcPr>
                  <w:tcW w:w="717"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w:t>
                  </w:r>
                </w:p>
              </w:tc>
              <w:tc>
                <w:tcPr>
                  <w:tcW w:w="75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声环境</w:t>
                  </w:r>
                </w:p>
              </w:tc>
              <w:tc>
                <w:tcPr>
                  <w:tcW w:w="1773" w:type="dxa"/>
                  <w:noWrap w:val="0"/>
                  <w:vAlign w:val="center"/>
                </w:tcPr>
                <w:p>
                  <w:pPr>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bCs/>
                      <w:color w:val="auto"/>
                      <w:kern w:val="0"/>
                      <w:szCs w:val="21"/>
                    </w:rPr>
                    <w:t>厂界四周外1m</w:t>
                  </w:r>
                  <w:r>
                    <w:rPr>
                      <w:rFonts w:hint="eastAsia" w:cs="Times New Roman"/>
                      <w:bCs/>
                      <w:color w:val="auto"/>
                      <w:kern w:val="0"/>
                      <w:szCs w:val="21"/>
                      <w:lang w:val="en-US" w:eastAsia="zh-CN"/>
                    </w:rPr>
                    <w:t>处、厂界周围敏感点</w:t>
                  </w:r>
                </w:p>
              </w:tc>
              <w:tc>
                <w:tcPr>
                  <w:tcW w:w="818" w:type="dxa"/>
                  <w:noWrap w:val="0"/>
                  <w:vAlign w:val="center"/>
                </w:tcPr>
                <w:p>
                  <w:pPr>
                    <w:jc w:val="center"/>
                    <w:rPr>
                      <w:rFonts w:hint="default"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等效声级</w:t>
                  </w:r>
                </w:p>
              </w:tc>
              <w:tc>
                <w:tcPr>
                  <w:tcW w:w="1800" w:type="dxa"/>
                  <w:noWrap w:val="0"/>
                  <w:vAlign w:val="center"/>
                </w:tcPr>
                <w:p>
                  <w:pPr>
                    <w:jc w:val="center"/>
                    <w:rPr>
                      <w:rFonts w:hint="default"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1次/季度</w:t>
                  </w:r>
                </w:p>
              </w:tc>
              <w:tc>
                <w:tcPr>
                  <w:tcW w:w="2793" w:type="dxa"/>
                  <w:noWrap w:val="0"/>
                  <w:vAlign w:val="center"/>
                </w:tcPr>
                <w:p>
                  <w:pPr>
                    <w:jc w:val="center"/>
                    <w:rPr>
                      <w:rFonts w:hint="eastAsia" w:ascii="Times New Roman" w:hAnsi="Times New Roman" w:eastAsia="宋体" w:cs="Times New Roman"/>
                      <w:bCs/>
                      <w:color w:val="auto"/>
                      <w:kern w:val="0"/>
                      <w:szCs w:val="21"/>
                      <w:lang w:eastAsia="zh-CN"/>
                    </w:rPr>
                  </w:pPr>
                  <w:r>
                    <w:rPr>
                      <w:rFonts w:hint="default" w:ascii="Times New Roman" w:hAnsi="Times New Roman" w:cs="Times New Roman"/>
                      <w:bCs/>
                      <w:color w:val="auto"/>
                      <w:kern w:val="0"/>
                      <w:szCs w:val="21"/>
                      <w:highlight w:val="none"/>
                    </w:rPr>
                    <w:t>《工业企业厂界环境噪声排放标准》（GB12348-2008）</w:t>
                  </w:r>
                  <w:r>
                    <w:rPr>
                      <w:rFonts w:hint="eastAsia" w:cs="Times New Roman"/>
                      <w:bCs/>
                      <w:color w:val="auto"/>
                      <w:kern w:val="0"/>
                      <w:szCs w:val="21"/>
                      <w:highlight w:val="none"/>
                      <w:lang w:eastAsia="zh-CN"/>
                    </w:rPr>
                    <w:t>》</w:t>
                  </w:r>
                  <w:r>
                    <w:rPr>
                      <w:rFonts w:hint="eastAsia" w:ascii="Times New Roman" w:hAnsi="Times New Roman" w:eastAsia="宋体" w:cs="Times New Roman"/>
                      <w:color w:val="auto"/>
                      <w:kern w:val="0"/>
                      <w:szCs w:val="21"/>
                      <w:lang w:val="en-US" w:eastAsia="zh-CN"/>
                    </w:rPr>
                    <w:t>中2类标准、《声环境质量标准》（GB3096-2008）中2类标准</w:t>
                  </w:r>
                </w:p>
              </w:tc>
            </w:tr>
          </w:tbl>
          <w:p>
            <w:pPr>
              <w:spacing w:line="360" w:lineRule="auto"/>
              <w:jc w:val="left"/>
              <w:rPr>
                <w:b/>
                <w:color w:val="auto"/>
                <w:sz w:val="24"/>
              </w:rPr>
            </w:pPr>
            <w:r>
              <w:rPr>
                <w:b/>
                <w:color w:val="auto"/>
                <w:sz w:val="24"/>
              </w:rPr>
              <w:t>四、固体废物</w:t>
            </w:r>
          </w:p>
          <w:p>
            <w:pPr>
              <w:pStyle w:val="75"/>
              <w:spacing w:line="360" w:lineRule="auto"/>
              <w:ind w:firstLineChars="200"/>
              <w:rPr>
                <w:color w:val="auto"/>
              </w:rPr>
            </w:pPr>
            <w:r>
              <w:rPr>
                <w:color w:val="auto"/>
              </w:rPr>
              <w:t>本项目产生的固体废物主要为</w:t>
            </w:r>
            <w:r>
              <w:rPr>
                <w:rFonts w:hint="eastAsia"/>
                <w:color w:val="auto"/>
                <w:szCs w:val="28"/>
                <w:highlight w:val="none"/>
              </w:rPr>
              <w:t>废弃</w:t>
            </w:r>
            <w:r>
              <w:rPr>
                <w:rFonts w:hint="eastAsia"/>
                <w:color w:val="auto"/>
                <w:szCs w:val="28"/>
              </w:rPr>
              <w:t>包装、</w:t>
            </w:r>
            <w:r>
              <w:rPr>
                <w:rFonts w:hint="eastAsia"/>
                <w:color w:val="auto"/>
                <w:szCs w:val="28"/>
                <w:lang w:val="en-US" w:eastAsia="zh-CN"/>
              </w:rPr>
              <w:t>滤渣、</w:t>
            </w:r>
            <w:r>
              <w:rPr>
                <w:color w:val="auto"/>
                <w:szCs w:val="28"/>
              </w:rPr>
              <w:t>污泥</w:t>
            </w:r>
            <w:r>
              <w:rPr>
                <w:rFonts w:hint="eastAsia"/>
                <w:color w:val="auto"/>
                <w:szCs w:val="28"/>
              </w:rPr>
              <w:t>、</w:t>
            </w:r>
            <w:r>
              <w:rPr>
                <w:rFonts w:hint="eastAsia"/>
                <w:color w:val="auto"/>
                <w:kern w:val="0"/>
                <w:sz w:val="24"/>
                <w:lang w:eastAsia="zh-CN"/>
              </w:rPr>
              <w:t>废活性炭</w:t>
            </w:r>
            <w:r>
              <w:rPr>
                <w:color w:val="auto"/>
                <w:szCs w:val="28"/>
              </w:rPr>
              <w:t>及员工产生的生活垃圾</w:t>
            </w:r>
            <w:r>
              <w:rPr>
                <w:color w:val="auto"/>
              </w:rPr>
              <w:t>。</w:t>
            </w:r>
          </w:p>
          <w:p>
            <w:pPr>
              <w:pStyle w:val="5"/>
              <w:spacing w:line="360" w:lineRule="auto"/>
              <w:ind w:firstLine="480" w:firstLineChars="200"/>
              <w:rPr>
                <w:bCs/>
                <w:color w:val="auto"/>
                <w:szCs w:val="24"/>
              </w:rPr>
            </w:pPr>
            <w:r>
              <w:rPr>
                <w:rFonts w:hint="eastAsia"/>
                <w:bCs/>
                <w:color w:val="auto"/>
                <w:szCs w:val="24"/>
                <w:lang w:val="en-US" w:eastAsia="zh-CN"/>
              </w:rPr>
              <w:t>1</w:t>
            </w:r>
            <w:r>
              <w:rPr>
                <w:rFonts w:hint="eastAsia"/>
                <w:bCs/>
                <w:color w:val="auto"/>
                <w:szCs w:val="24"/>
              </w:rPr>
              <w:t>、废弃包装</w:t>
            </w:r>
          </w:p>
          <w:p>
            <w:pPr>
              <w:pStyle w:val="5"/>
              <w:spacing w:line="360" w:lineRule="auto"/>
              <w:ind w:firstLine="480" w:firstLineChars="200"/>
              <w:rPr>
                <w:bCs/>
                <w:color w:val="auto"/>
                <w:szCs w:val="24"/>
                <w:highlight w:val="none"/>
              </w:rPr>
            </w:pPr>
            <w:r>
              <w:rPr>
                <w:rFonts w:hint="eastAsia"/>
                <w:bCs/>
                <w:color w:val="auto"/>
                <w:szCs w:val="24"/>
              </w:rPr>
              <w:t>生产过程</w:t>
            </w:r>
            <w:r>
              <w:rPr>
                <w:rFonts w:hint="eastAsia"/>
                <w:bCs/>
                <w:color w:val="auto"/>
                <w:szCs w:val="24"/>
                <w:highlight w:val="none"/>
              </w:rPr>
              <w:t>中，产生一定量的废弃包装，根据项目单位提供资料，废弃包装产生量约为</w:t>
            </w:r>
            <w:r>
              <w:rPr>
                <w:rFonts w:hint="eastAsia"/>
                <w:bCs/>
                <w:color w:val="auto"/>
                <w:szCs w:val="24"/>
                <w:highlight w:val="none"/>
                <w:lang w:val="en-US" w:eastAsia="zh-CN"/>
              </w:rPr>
              <w:t>10</w:t>
            </w:r>
            <w:r>
              <w:rPr>
                <w:rFonts w:hint="eastAsia"/>
                <w:bCs/>
                <w:color w:val="auto"/>
                <w:szCs w:val="24"/>
                <w:highlight w:val="none"/>
              </w:rPr>
              <w:t>t/a，</w:t>
            </w:r>
            <w:r>
              <w:rPr>
                <w:rFonts w:hint="eastAsia"/>
                <w:color w:val="auto"/>
                <w:sz w:val="24"/>
                <w:highlight w:val="none"/>
                <w:lang w:val="en-US" w:eastAsia="zh-CN"/>
              </w:rPr>
              <w:t>废弃包装为一般工业固体废物</w:t>
            </w:r>
            <w:r>
              <w:rPr>
                <w:rFonts w:hint="eastAsia" w:ascii="Times New Roman" w:hAnsi="Times New Roman" w:eastAsia="宋体" w:cs="Times New Roman"/>
                <w:color w:val="auto"/>
                <w:sz w:val="24"/>
                <w:szCs w:val="24"/>
                <w:highlight w:val="none"/>
                <w:lang w:val="en-US" w:eastAsia="zh-CN"/>
              </w:rPr>
              <w:t>（代码：900-005-S17）</w:t>
            </w:r>
            <w:r>
              <w:rPr>
                <w:rFonts w:hint="eastAsia"/>
                <w:color w:val="auto"/>
                <w:sz w:val="24"/>
                <w:highlight w:val="none"/>
                <w:lang w:val="en-US" w:eastAsia="zh-CN"/>
              </w:rPr>
              <w:t>，</w:t>
            </w:r>
            <w:r>
              <w:rPr>
                <w:rFonts w:hint="eastAsia"/>
                <w:bCs/>
                <w:color w:val="auto"/>
                <w:szCs w:val="24"/>
                <w:highlight w:val="none"/>
              </w:rPr>
              <w:t>统一收集，外售综合利用。</w:t>
            </w:r>
          </w:p>
          <w:p>
            <w:pPr>
              <w:spacing w:line="360" w:lineRule="auto"/>
              <w:ind w:firstLine="480" w:firstLineChars="200"/>
              <w:rPr>
                <w:color w:val="auto"/>
                <w:sz w:val="24"/>
              </w:rPr>
            </w:pPr>
            <w:r>
              <w:rPr>
                <w:rFonts w:hint="eastAsia"/>
                <w:bCs/>
                <w:color w:val="auto"/>
                <w:sz w:val="24"/>
                <w:lang w:val="en-US" w:eastAsia="zh-CN"/>
              </w:rPr>
              <w:t>2</w:t>
            </w:r>
            <w:r>
              <w:rPr>
                <w:bCs/>
                <w:color w:val="auto"/>
                <w:sz w:val="24"/>
              </w:rPr>
              <w:t>、生活垃圾</w:t>
            </w:r>
          </w:p>
          <w:p>
            <w:pPr>
              <w:pStyle w:val="5"/>
              <w:spacing w:line="360" w:lineRule="auto"/>
              <w:ind w:firstLine="480" w:firstLineChars="200"/>
              <w:rPr>
                <w:color w:val="auto"/>
                <w:szCs w:val="24"/>
              </w:rPr>
            </w:pPr>
            <w:r>
              <w:rPr>
                <w:color w:val="auto"/>
                <w:szCs w:val="24"/>
              </w:rPr>
              <w:t>本项目员工</w:t>
            </w:r>
            <w:r>
              <w:rPr>
                <w:color w:val="auto"/>
                <w:szCs w:val="24"/>
                <w:highlight w:val="none"/>
              </w:rPr>
              <w:t>人数约</w:t>
            </w:r>
            <w:r>
              <w:rPr>
                <w:rFonts w:hint="eastAsia"/>
                <w:color w:val="auto"/>
                <w:szCs w:val="24"/>
                <w:highlight w:val="none"/>
                <w:lang w:val="en-US" w:eastAsia="zh-CN"/>
              </w:rPr>
              <w:t>5</w:t>
            </w:r>
            <w:r>
              <w:rPr>
                <w:color w:val="auto"/>
                <w:szCs w:val="24"/>
                <w:highlight w:val="none"/>
              </w:rPr>
              <w:t>人，年工作</w:t>
            </w:r>
            <w:r>
              <w:rPr>
                <w:rFonts w:hint="eastAsia"/>
                <w:color w:val="auto"/>
                <w:szCs w:val="24"/>
                <w:highlight w:val="none"/>
                <w:lang w:val="en-US" w:eastAsia="zh-CN"/>
              </w:rPr>
              <w:t>60</w:t>
            </w:r>
            <w:r>
              <w:rPr>
                <w:color w:val="auto"/>
                <w:szCs w:val="24"/>
                <w:highlight w:val="none"/>
              </w:rPr>
              <w:t>天，工作人员生活垃圾排放量按0.5kg/人•d计，则生活垃圾排放量为</w:t>
            </w:r>
            <w:r>
              <w:rPr>
                <w:rFonts w:hint="eastAsia"/>
                <w:color w:val="auto"/>
                <w:szCs w:val="24"/>
                <w:highlight w:val="none"/>
                <w:lang w:val="en-US" w:eastAsia="zh-CN"/>
              </w:rPr>
              <w:t>0.15</w:t>
            </w:r>
            <w:r>
              <w:rPr>
                <w:color w:val="auto"/>
                <w:szCs w:val="24"/>
                <w:highlight w:val="none"/>
              </w:rPr>
              <w:t>t/a，</w:t>
            </w:r>
            <w:r>
              <w:rPr>
                <w:rFonts w:hint="eastAsia"/>
                <w:color w:val="auto"/>
                <w:szCs w:val="24"/>
                <w:highlight w:val="none"/>
                <w:lang w:eastAsia="zh-CN"/>
              </w:rPr>
              <w:t>集中收集</w:t>
            </w:r>
            <w:r>
              <w:rPr>
                <w:color w:val="auto"/>
                <w:szCs w:val="24"/>
                <w:highlight w:val="none"/>
              </w:rPr>
              <w:t>，</w:t>
            </w:r>
            <w:r>
              <w:rPr>
                <w:rFonts w:hint="eastAsia"/>
                <w:bCs/>
                <w:color w:val="auto"/>
                <w:sz w:val="24"/>
                <w:lang w:eastAsia="zh-CN"/>
              </w:rPr>
              <w:t>定期交由环卫部门处置</w:t>
            </w:r>
            <w:r>
              <w:rPr>
                <w:color w:val="auto"/>
                <w:szCs w:val="24"/>
              </w:rPr>
              <w:t>。</w:t>
            </w:r>
          </w:p>
          <w:p>
            <w:pPr>
              <w:spacing w:line="360" w:lineRule="auto"/>
              <w:ind w:firstLine="480" w:firstLineChars="200"/>
              <w:rPr>
                <w:bCs/>
                <w:color w:val="auto"/>
                <w:sz w:val="24"/>
              </w:rPr>
            </w:pPr>
            <w:r>
              <w:rPr>
                <w:rFonts w:hint="eastAsia"/>
                <w:bCs/>
                <w:color w:val="auto"/>
                <w:sz w:val="24"/>
                <w:lang w:val="en-US" w:eastAsia="zh-CN"/>
              </w:rPr>
              <w:t>3</w:t>
            </w:r>
            <w:r>
              <w:rPr>
                <w:rFonts w:hint="eastAsia"/>
                <w:bCs/>
                <w:color w:val="auto"/>
                <w:sz w:val="24"/>
              </w:rPr>
              <w:t>、</w:t>
            </w:r>
            <w:r>
              <w:rPr>
                <w:bCs/>
                <w:color w:val="auto"/>
                <w:sz w:val="24"/>
              </w:rPr>
              <w:t>污泥</w:t>
            </w:r>
          </w:p>
          <w:p>
            <w:pPr>
              <w:spacing w:line="360" w:lineRule="auto"/>
              <w:ind w:firstLine="480" w:firstLineChars="200"/>
              <w:rPr>
                <w:rFonts w:hint="default" w:eastAsia="宋体"/>
                <w:bCs/>
                <w:color w:val="auto"/>
                <w:sz w:val="24"/>
                <w:highlight w:val="none"/>
                <w:lang w:val="en-US" w:eastAsia="zh-CN"/>
              </w:rPr>
            </w:pPr>
            <w:r>
              <w:rPr>
                <w:rFonts w:hint="eastAsia"/>
                <w:bCs/>
                <w:color w:val="auto"/>
                <w:sz w:val="24"/>
              </w:rPr>
              <w:t>污泥主要为污水处理设施污泥，属于一般固废</w:t>
            </w:r>
            <w:r>
              <w:rPr>
                <w:rFonts w:hint="eastAsia"/>
                <w:bCs/>
                <w:color w:val="auto"/>
                <w:sz w:val="24"/>
                <w:lang w:eastAsia="zh-CN"/>
              </w:rPr>
              <w:t>，</w:t>
            </w:r>
            <w:r>
              <w:rPr>
                <w:rFonts w:hint="eastAsia"/>
                <w:bCs/>
                <w:color w:val="auto"/>
                <w:sz w:val="24"/>
                <w:highlight w:val="none"/>
              </w:rPr>
              <w:t>污水处理设施污泥产生量按</w:t>
            </w:r>
            <w:r>
              <w:rPr>
                <w:bCs/>
                <w:color w:val="auto"/>
                <w:sz w:val="24"/>
                <w:highlight w:val="none"/>
              </w:rPr>
              <w:t>0.5kg干污泥/kgBOD</w:t>
            </w:r>
            <w:r>
              <w:rPr>
                <w:bCs/>
                <w:color w:val="auto"/>
                <w:sz w:val="24"/>
                <w:highlight w:val="none"/>
                <w:vertAlign w:val="subscript"/>
              </w:rPr>
              <w:t>5</w:t>
            </w:r>
            <w:r>
              <w:rPr>
                <w:bCs/>
                <w:color w:val="auto"/>
                <w:sz w:val="24"/>
                <w:highlight w:val="none"/>
              </w:rPr>
              <w:t>，项目BOD</w:t>
            </w:r>
            <w:r>
              <w:rPr>
                <w:bCs/>
                <w:color w:val="auto"/>
                <w:sz w:val="24"/>
                <w:highlight w:val="none"/>
                <w:vertAlign w:val="subscript"/>
              </w:rPr>
              <w:t>5</w:t>
            </w:r>
            <w:r>
              <w:rPr>
                <w:bCs/>
                <w:color w:val="auto"/>
                <w:sz w:val="24"/>
                <w:highlight w:val="none"/>
              </w:rPr>
              <w:t>消减量</w:t>
            </w:r>
            <w:r>
              <w:rPr>
                <w:rFonts w:hint="eastAsia"/>
                <w:bCs/>
                <w:color w:val="auto"/>
                <w:sz w:val="24"/>
                <w:highlight w:val="none"/>
                <w:lang w:val="en-US" w:eastAsia="zh-CN"/>
              </w:rPr>
              <w:t>0.035</w:t>
            </w:r>
            <w:r>
              <w:rPr>
                <w:bCs/>
                <w:color w:val="auto"/>
                <w:sz w:val="24"/>
                <w:highlight w:val="none"/>
              </w:rPr>
              <w:t>t/a，污泥（湿污泥）经浓缩池浓缩后含水率约60%，则</w:t>
            </w:r>
            <w:r>
              <w:rPr>
                <w:rFonts w:hint="eastAsia"/>
                <w:bCs/>
                <w:color w:val="auto"/>
                <w:sz w:val="24"/>
                <w:highlight w:val="none"/>
              </w:rPr>
              <w:t>污水处理设施</w:t>
            </w:r>
            <w:r>
              <w:rPr>
                <w:bCs/>
                <w:color w:val="auto"/>
                <w:sz w:val="24"/>
                <w:highlight w:val="none"/>
              </w:rPr>
              <w:t>污泥产生量约</w:t>
            </w:r>
            <w:r>
              <w:rPr>
                <w:rFonts w:hint="eastAsia"/>
                <w:bCs/>
                <w:color w:val="auto"/>
                <w:sz w:val="24"/>
                <w:highlight w:val="none"/>
                <w:lang w:val="en-US" w:eastAsia="zh-CN"/>
              </w:rPr>
              <w:t>0.044</w:t>
            </w:r>
            <w:r>
              <w:rPr>
                <w:bCs/>
                <w:color w:val="auto"/>
                <w:sz w:val="24"/>
                <w:highlight w:val="none"/>
              </w:rPr>
              <w:t>t/a，</w:t>
            </w:r>
            <w:r>
              <w:rPr>
                <w:rFonts w:hint="eastAsia"/>
                <w:color w:val="auto"/>
                <w:sz w:val="24"/>
                <w:highlight w:val="none"/>
                <w:lang w:val="en-US" w:eastAsia="zh-CN"/>
              </w:rPr>
              <w:t>污泥为一般工业固体废物</w:t>
            </w:r>
            <w:r>
              <w:rPr>
                <w:rFonts w:hint="eastAsia" w:ascii="Times New Roman" w:hAnsi="Times New Roman" w:eastAsia="宋体" w:cs="Times New Roman"/>
                <w:color w:val="auto"/>
                <w:sz w:val="24"/>
                <w:szCs w:val="24"/>
                <w:highlight w:val="none"/>
                <w:lang w:val="en-US" w:eastAsia="zh-CN"/>
              </w:rPr>
              <w:t>（代码：15</w:t>
            </w:r>
            <w:r>
              <w:rPr>
                <w:rFonts w:hint="eastAsia"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-00</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S07</w:t>
            </w:r>
            <w:r>
              <w:rPr>
                <w:rFonts w:hint="eastAsia" w:ascii="Times New Roman" w:hAnsi="Times New Roman" w:eastAsia="宋体" w:cs="Times New Roman"/>
                <w:color w:val="auto"/>
                <w:sz w:val="24"/>
                <w:szCs w:val="24"/>
                <w:highlight w:val="none"/>
                <w:lang w:val="en-US" w:eastAsia="zh-CN"/>
              </w:rPr>
              <w:t>）</w:t>
            </w:r>
            <w:r>
              <w:rPr>
                <w:rFonts w:hint="eastAsia"/>
                <w:color w:val="auto"/>
                <w:sz w:val="24"/>
                <w:highlight w:val="none"/>
                <w:lang w:val="en-US" w:eastAsia="zh-CN"/>
              </w:rPr>
              <w:t>，</w:t>
            </w:r>
            <w:r>
              <w:rPr>
                <w:rFonts w:hint="eastAsia"/>
                <w:bCs/>
                <w:color w:val="auto"/>
                <w:sz w:val="24"/>
                <w:szCs w:val="24"/>
                <w:lang w:val="en-US" w:eastAsia="zh-CN"/>
              </w:rPr>
              <w:t>送往垃圾填埋场</w:t>
            </w:r>
            <w:r>
              <w:rPr>
                <w:rFonts w:hint="eastAsia"/>
                <w:bCs/>
                <w:color w:val="auto"/>
                <w:sz w:val="24"/>
                <w:szCs w:val="24"/>
                <w:highlight w:val="none"/>
                <w:lang w:val="en-US" w:eastAsia="zh-CN"/>
              </w:rPr>
              <w:t>处置</w:t>
            </w:r>
            <w:r>
              <w:rPr>
                <w:color w:val="auto"/>
                <w:sz w:val="24"/>
                <w:szCs w:val="24"/>
                <w:highlight w:val="none"/>
              </w:rPr>
              <w:t>。</w:t>
            </w:r>
          </w:p>
          <w:p>
            <w:pPr>
              <w:pStyle w:val="14"/>
              <w:spacing w:after="0" w:line="360" w:lineRule="auto"/>
              <w:ind w:left="0" w:leftChars="0" w:firstLine="480" w:firstLineChars="200"/>
              <w:rPr>
                <w:rFonts w:hint="eastAsia"/>
                <w:color w:val="auto"/>
                <w:sz w:val="24"/>
                <w:highlight w:val="none"/>
                <w:lang w:val="en-US" w:eastAsia="zh-CN"/>
              </w:rPr>
            </w:pPr>
            <w:r>
              <w:rPr>
                <w:rFonts w:hint="eastAsia"/>
                <w:color w:val="auto"/>
                <w:sz w:val="24"/>
                <w:highlight w:val="none"/>
                <w:lang w:val="en-US" w:eastAsia="zh-CN"/>
              </w:rPr>
              <w:t>4、</w:t>
            </w:r>
            <w:r>
              <w:rPr>
                <w:bCs/>
                <w:color w:val="auto"/>
                <w:sz w:val="24"/>
                <w:highlight w:val="none"/>
              </w:rPr>
              <w:t>废活性炭</w:t>
            </w:r>
          </w:p>
          <w:p>
            <w:pPr>
              <w:pStyle w:val="14"/>
              <w:spacing w:after="0" w:line="360" w:lineRule="auto"/>
              <w:ind w:left="0" w:leftChars="0" w:firstLine="480" w:firstLineChars="200"/>
              <w:rPr>
                <w:rFonts w:hint="eastAsia"/>
                <w:bCs/>
                <w:color w:val="auto"/>
                <w:sz w:val="24"/>
                <w:szCs w:val="24"/>
                <w:highlight w:val="none"/>
              </w:rPr>
            </w:pPr>
            <w:r>
              <w:rPr>
                <w:rFonts w:hint="eastAsia"/>
                <w:bCs/>
                <w:color w:val="auto"/>
                <w:sz w:val="24"/>
                <w:highlight w:val="none"/>
              </w:rPr>
              <w:t>污水处理设施产生恶臭采用活性炭吸附处理</w:t>
            </w:r>
            <w:r>
              <w:rPr>
                <w:bCs/>
                <w:color w:val="auto"/>
                <w:sz w:val="24"/>
                <w:highlight w:val="none"/>
              </w:rPr>
              <w:t>，活性炭按1年更换一次计，产生的废活性炭属于一般废物，</w:t>
            </w:r>
            <w:r>
              <w:rPr>
                <w:rFonts w:hint="eastAsia"/>
                <w:bCs/>
                <w:color w:val="auto"/>
                <w:sz w:val="24"/>
                <w:highlight w:val="none"/>
                <w:lang w:eastAsia="zh-CN"/>
              </w:rPr>
              <w:t>废</w:t>
            </w:r>
            <w:r>
              <w:rPr>
                <w:bCs/>
                <w:color w:val="auto"/>
                <w:sz w:val="24"/>
                <w:highlight w:val="none"/>
              </w:rPr>
              <w:t>活性炭产生量约</w:t>
            </w:r>
            <w:r>
              <w:rPr>
                <w:rFonts w:hint="eastAsia"/>
                <w:bCs/>
                <w:color w:val="auto"/>
                <w:sz w:val="24"/>
                <w:highlight w:val="none"/>
                <w:lang w:val="en-US" w:eastAsia="zh-CN"/>
              </w:rPr>
              <w:t>0.2</w:t>
            </w:r>
            <w:r>
              <w:rPr>
                <w:bCs/>
                <w:color w:val="auto"/>
                <w:sz w:val="24"/>
                <w:highlight w:val="none"/>
              </w:rPr>
              <w:t>t/a。</w:t>
            </w:r>
            <w:r>
              <w:rPr>
                <w:rFonts w:hint="eastAsia"/>
                <w:color w:val="auto"/>
                <w:sz w:val="24"/>
                <w:highlight w:val="none"/>
                <w:lang w:val="en-US" w:eastAsia="zh-CN"/>
              </w:rPr>
              <w:t>废活性炭为一般工业固体废物</w:t>
            </w:r>
            <w:r>
              <w:rPr>
                <w:rFonts w:hint="eastAsia" w:ascii="Times New Roman" w:hAnsi="Times New Roman" w:eastAsia="宋体" w:cs="Times New Roman"/>
                <w:color w:val="auto"/>
                <w:sz w:val="24"/>
                <w:szCs w:val="24"/>
                <w:highlight w:val="none"/>
                <w:lang w:val="en-US" w:eastAsia="zh-CN"/>
              </w:rPr>
              <w:t>（代码：</w:t>
            </w:r>
            <w:r>
              <w:rPr>
                <w:rFonts w:hint="default" w:ascii="Times New Roman" w:hAnsi="Times New Roman" w:eastAsia="宋体" w:cs="Times New Roman"/>
                <w:color w:val="auto"/>
                <w:sz w:val="24"/>
                <w:szCs w:val="24"/>
                <w:highlight w:val="none"/>
              </w:rPr>
              <w:t>900-008-S59</w:t>
            </w:r>
            <w:r>
              <w:rPr>
                <w:rFonts w:hint="eastAsia" w:ascii="Times New Roman" w:hAnsi="Times New Roman" w:eastAsia="宋体" w:cs="Times New Roman"/>
                <w:color w:val="auto"/>
                <w:sz w:val="24"/>
                <w:szCs w:val="24"/>
                <w:highlight w:val="none"/>
                <w:lang w:val="en-US" w:eastAsia="zh-CN"/>
              </w:rPr>
              <w:t>）</w:t>
            </w:r>
            <w:r>
              <w:rPr>
                <w:rFonts w:hint="eastAsia"/>
                <w:color w:val="auto"/>
                <w:sz w:val="24"/>
                <w:highlight w:val="none"/>
                <w:lang w:val="en-US" w:eastAsia="zh-CN"/>
              </w:rPr>
              <w:t>，</w:t>
            </w:r>
            <w:r>
              <w:rPr>
                <w:rFonts w:hint="eastAsia"/>
                <w:bCs/>
                <w:color w:val="auto"/>
                <w:sz w:val="24"/>
                <w:szCs w:val="24"/>
                <w:lang w:eastAsia="zh-CN"/>
              </w:rPr>
              <w:t>由</w:t>
            </w:r>
            <w:r>
              <w:rPr>
                <w:rFonts w:hint="eastAsia"/>
                <w:bCs/>
                <w:color w:val="auto"/>
                <w:sz w:val="24"/>
                <w:szCs w:val="24"/>
                <w:lang w:val="en-US" w:eastAsia="zh-CN"/>
              </w:rPr>
              <w:t>厂家回收</w:t>
            </w:r>
            <w:r>
              <w:rPr>
                <w:rFonts w:hint="eastAsia"/>
                <w:bCs/>
                <w:color w:val="auto"/>
                <w:sz w:val="24"/>
                <w:szCs w:val="24"/>
                <w:lang w:eastAsia="zh-CN"/>
              </w:rPr>
              <w:t>处置</w:t>
            </w:r>
            <w:r>
              <w:rPr>
                <w:rFonts w:hint="eastAsia"/>
                <w:bCs/>
                <w:color w:val="auto"/>
                <w:sz w:val="24"/>
                <w:szCs w:val="24"/>
                <w:highlight w:val="none"/>
              </w:rPr>
              <w:t>。</w:t>
            </w:r>
          </w:p>
          <w:p>
            <w:pPr>
              <w:spacing w:line="360" w:lineRule="auto"/>
              <w:ind w:firstLine="480" w:firstLineChars="200"/>
              <w:rPr>
                <w:rFonts w:hint="eastAsia" w:eastAsia="宋体"/>
                <w:bCs/>
                <w:color w:val="auto"/>
                <w:sz w:val="24"/>
                <w:lang w:eastAsia="zh-CN"/>
              </w:rPr>
            </w:pPr>
            <w:r>
              <w:rPr>
                <w:rFonts w:hint="eastAsia"/>
                <w:bCs/>
                <w:color w:val="auto"/>
                <w:sz w:val="24"/>
                <w:lang w:val="en-US" w:eastAsia="zh-CN"/>
              </w:rPr>
              <w:t>5</w:t>
            </w:r>
            <w:r>
              <w:rPr>
                <w:rFonts w:hint="eastAsia"/>
                <w:bCs/>
                <w:color w:val="auto"/>
                <w:sz w:val="24"/>
              </w:rPr>
              <w:t>、</w:t>
            </w:r>
            <w:r>
              <w:rPr>
                <w:rFonts w:hint="eastAsia"/>
                <w:bCs/>
                <w:color w:val="auto"/>
                <w:sz w:val="24"/>
                <w:lang w:val="en-US" w:eastAsia="zh-CN"/>
              </w:rPr>
              <w:t>滤渣</w:t>
            </w:r>
          </w:p>
          <w:p>
            <w:pPr>
              <w:spacing w:line="360" w:lineRule="auto"/>
              <w:ind w:firstLine="480" w:firstLineChars="200"/>
              <w:rPr>
                <w:rFonts w:hint="default" w:eastAsia="宋体"/>
                <w:bCs/>
                <w:color w:val="auto"/>
                <w:sz w:val="24"/>
                <w:highlight w:val="none"/>
                <w:lang w:val="en-US" w:eastAsia="zh-CN"/>
              </w:rPr>
            </w:pPr>
            <w:r>
              <w:rPr>
                <w:rFonts w:hint="eastAsia"/>
                <w:color w:val="auto"/>
                <w:sz w:val="24"/>
                <w:szCs w:val="24"/>
                <w:highlight w:val="none"/>
                <w:lang w:val="en-US" w:eastAsia="zh-CN"/>
              </w:rPr>
              <w:t>原料溶解后过滤产</w:t>
            </w:r>
            <w:r>
              <w:rPr>
                <w:rFonts w:hint="eastAsia" w:ascii="Times New Roman" w:hAnsi="Times New Roman" w:eastAsia="宋体" w:cs="Times New Roman"/>
                <w:color w:val="auto"/>
                <w:sz w:val="24"/>
                <w:szCs w:val="24"/>
                <w:highlight w:val="none"/>
                <w:lang w:val="en-US" w:eastAsia="zh-CN"/>
              </w:rPr>
              <w:t>生的滤渣约10t/a，滤渣中含有蜂蜡和花粉等成分，外售综合利用，滤渣为一般工业固体废物（代码：900-099-S13）。</w:t>
            </w:r>
          </w:p>
          <w:p>
            <w:pPr>
              <w:pStyle w:val="14"/>
              <w:spacing w:after="0" w:line="360" w:lineRule="auto"/>
              <w:ind w:left="0" w:leftChars="0" w:firstLine="480" w:firstLineChars="200"/>
              <w:rPr>
                <w:rFonts w:hint="default" w:eastAsia="宋体"/>
                <w:color w:val="auto"/>
                <w:lang w:val="en-US" w:eastAsia="zh-CN"/>
              </w:rPr>
            </w:pPr>
            <w:r>
              <w:rPr>
                <w:rFonts w:hint="eastAsia"/>
                <w:color w:val="auto"/>
                <w:sz w:val="24"/>
                <w:lang w:val="en-US" w:eastAsia="zh-CN"/>
              </w:rPr>
              <w:t>一般</w:t>
            </w:r>
            <w:r>
              <w:rPr>
                <w:color w:val="auto"/>
                <w:sz w:val="24"/>
              </w:rPr>
              <w:t>固体废物产生情况见表4-</w:t>
            </w:r>
            <w:r>
              <w:rPr>
                <w:rFonts w:hint="eastAsia"/>
                <w:color w:val="auto"/>
                <w:sz w:val="24"/>
                <w:lang w:val="en-US" w:eastAsia="zh-CN"/>
              </w:rPr>
              <w:t>14</w:t>
            </w:r>
            <w:r>
              <w:rPr>
                <w:color w:val="auto"/>
                <w:sz w:val="24"/>
              </w:rPr>
              <w:t>。</w:t>
            </w:r>
          </w:p>
          <w:p>
            <w:pPr>
              <w:spacing w:line="240" w:lineRule="auto"/>
              <w:ind w:firstLine="422" w:firstLineChars="200"/>
              <w:jc w:val="center"/>
              <w:rPr>
                <w:b/>
                <w:color w:val="auto"/>
                <w:sz w:val="21"/>
                <w:szCs w:val="21"/>
              </w:rPr>
            </w:pPr>
            <w:r>
              <w:rPr>
                <w:b/>
                <w:color w:val="auto"/>
                <w:sz w:val="21"/>
                <w:szCs w:val="21"/>
              </w:rPr>
              <w:t>表4-</w:t>
            </w:r>
            <w:r>
              <w:rPr>
                <w:rFonts w:hint="eastAsia"/>
                <w:b/>
                <w:color w:val="auto"/>
                <w:sz w:val="21"/>
                <w:szCs w:val="21"/>
                <w:lang w:val="en-US" w:eastAsia="zh-CN"/>
              </w:rPr>
              <w:t xml:space="preserve">14 </w:t>
            </w:r>
            <w:r>
              <w:rPr>
                <w:b/>
                <w:color w:val="auto"/>
                <w:sz w:val="21"/>
                <w:szCs w:val="21"/>
              </w:rPr>
              <w:t>一般固体废物一览表</w:t>
            </w:r>
          </w:p>
          <w:tbl>
            <w:tblPr>
              <w:tblStyle w:val="29"/>
              <w:tblW w:w="913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677"/>
              <w:gridCol w:w="1909"/>
              <w:gridCol w:w="1204"/>
              <w:gridCol w:w="2629"/>
              <w:gridCol w:w="10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 w:hRule="atLeast"/>
                <w:jc w:val="center"/>
              </w:trPr>
              <w:tc>
                <w:tcPr>
                  <w:tcW w:w="616" w:type="dxa"/>
                  <w:vMerge w:val="restart"/>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sz w:val="21"/>
                      <w:szCs w:val="21"/>
                    </w:rPr>
                  </w:pPr>
                  <w:bookmarkStart w:id="292" w:name="_Hlk523068308"/>
                  <w:r>
                    <w:rPr>
                      <w:rFonts w:hint="default" w:ascii="Times New Roman" w:hAnsi="Times New Roman" w:eastAsia="宋体" w:cs="Times New Roman"/>
                      <w:color w:val="auto"/>
                      <w:sz w:val="21"/>
                      <w:szCs w:val="21"/>
                    </w:rPr>
                    <w:t>工序</w:t>
                  </w:r>
                </w:p>
              </w:tc>
              <w:tc>
                <w:tcPr>
                  <w:tcW w:w="1677" w:type="dxa"/>
                  <w:vMerge w:val="restart"/>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固体废物名称</w:t>
                  </w:r>
                </w:p>
              </w:tc>
              <w:tc>
                <w:tcPr>
                  <w:tcW w:w="1909" w:type="dxa"/>
                  <w:vMerge w:val="restart"/>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固废属性</w:t>
                  </w:r>
                </w:p>
              </w:tc>
              <w:tc>
                <w:tcPr>
                  <w:tcW w:w="1204" w:type="dxa"/>
                  <w:vMerge w:val="restart"/>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w:t>
                  </w:r>
                </w:p>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default" w:ascii="Times New Roman" w:hAnsi="Times New Roman" w:eastAsia="宋体" w:cs="Times New Roman"/>
                      <w:color w:val="auto"/>
                      <w:sz w:val="21"/>
                      <w:szCs w:val="21"/>
                    </w:rPr>
                    <w:t>t/a</w:t>
                  </w:r>
                  <w:r>
                    <w:rPr>
                      <w:rFonts w:hint="eastAsia" w:cs="Times New Roman"/>
                      <w:color w:val="auto"/>
                      <w:sz w:val="21"/>
                      <w:szCs w:val="21"/>
                      <w:lang w:eastAsia="zh-CN"/>
                    </w:rPr>
                    <w:t>)</w:t>
                  </w:r>
                </w:p>
              </w:tc>
              <w:tc>
                <w:tcPr>
                  <w:tcW w:w="3725" w:type="dxa"/>
                  <w:gridSpan w:val="2"/>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616" w:type="dxa"/>
                  <w:vMerge w:val="continue"/>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sz w:val="21"/>
                      <w:szCs w:val="21"/>
                    </w:rPr>
                  </w:pPr>
                </w:p>
              </w:tc>
              <w:tc>
                <w:tcPr>
                  <w:tcW w:w="1677" w:type="dxa"/>
                  <w:vMerge w:val="continue"/>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sz w:val="21"/>
                      <w:szCs w:val="21"/>
                    </w:rPr>
                  </w:pPr>
                </w:p>
              </w:tc>
              <w:tc>
                <w:tcPr>
                  <w:tcW w:w="1909" w:type="dxa"/>
                  <w:vMerge w:val="continue"/>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sz w:val="21"/>
                      <w:szCs w:val="21"/>
                    </w:rPr>
                  </w:pPr>
                </w:p>
              </w:tc>
              <w:tc>
                <w:tcPr>
                  <w:tcW w:w="1204" w:type="dxa"/>
                  <w:vMerge w:val="continue"/>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sz w:val="21"/>
                      <w:szCs w:val="21"/>
                    </w:rPr>
                  </w:pPr>
                </w:p>
              </w:tc>
              <w:tc>
                <w:tcPr>
                  <w:tcW w:w="2629" w:type="dxa"/>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w:t>
                  </w:r>
                </w:p>
              </w:tc>
              <w:tc>
                <w:tcPr>
                  <w:tcW w:w="1096" w:type="dxa"/>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处置量（t/a）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616" w:type="dxa"/>
                  <w:vMerge w:val="restart"/>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w:t>
                  </w:r>
                </w:p>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废物</w:t>
                  </w:r>
                </w:p>
              </w:tc>
              <w:tc>
                <w:tcPr>
                  <w:tcW w:w="1677" w:type="dxa"/>
                  <w:shd w:val="clear" w:color="auto" w:fill="auto"/>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textAlignment w:val="auto"/>
                    <w:rPr>
                      <w:rFonts w:hint="default" w:ascii="Times New Roman" w:hAnsi="Times New Roman" w:eastAsia="宋体" w:cs="Times New Roman"/>
                      <w:b w:val="0"/>
                      <w:bCs w:val="0"/>
                      <w:color w:val="auto"/>
                      <w:kern w:val="0"/>
                      <w:sz w:val="21"/>
                      <w:szCs w:val="21"/>
                      <w:lang w:val="en-US" w:eastAsia="zh-CN" w:bidi="ar-SA"/>
                    </w:rPr>
                  </w:pPr>
                  <w:bookmarkStart w:id="293" w:name="_Toc18632"/>
                  <w:bookmarkStart w:id="294" w:name="_Toc19664"/>
                  <w:bookmarkStart w:id="295" w:name="_Toc1917"/>
                  <w:r>
                    <w:rPr>
                      <w:rFonts w:hint="default" w:ascii="Times New Roman" w:hAnsi="Times New Roman" w:eastAsia="宋体" w:cs="Times New Roman"/>
                      <w:b w:val="0"/>
                      <w:bCs w:val="0"/>
                      <w:color w:val="auto"/>
                      <w:sz w:val="21"/>
                      <w:szCs w:val="21"/>
                    </w:rPr>
                    <w:t>废弃包装</w:t>
                  </w:r>
                  <w:bookmarkEnd w:id="293"/>
                  <w:bookmarkEnd w:id="294"/>
                  <w:bookmarkEnd w:id="295"/>
                </w:p>
              </w:tc>
              <w:tc>
                <w:tcPr>
                  <w:tcW w:w="1909" w:type="dxa"/>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rPr>
                    <w:t>一般工业固废</w:t>
                  </w:r>
                </w:p>
              </w:tc>
              <w:tc>
                <w:tcPr>
                  <w:tcW w:w="1204" w:type="dxa"/>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2629" w:type="dxa"/>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外售综合利用</w:t>
                  </w:r>
                </w:p>
              </w:tc>
              <w:tc>
                <w:tcPr>
                  <w:tcW w:w="1096" w:type="dxa"/>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jc w:val="center"/>
              </w:trPr>
              <w:tc>
                <w:tcPr>
                  <w:tcW w:w="616" w:type="dxa"/>
                  <w:vMerge w:val="continue"/>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sz w:val="21"/>
                      <w:szCs w:val="21"/>
                    </w:rPr>
                  </w:pPr>
                </w:p>
              </w:tc>
              <w:tc>
                <w:tcPr>
                  <w:tcW w:w="1677" w:type="dxa"/>
                  <w:shd w:val="clear" w:color="auto" w:fill="auto"/>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textAlignment w:val="auto"/>
                    <w:rPr>
                      <w:rFonts w:hint="default" w:ascii="Times New Roman" w:hAnsi="Times New Roman" w:eastAsia="宋体" w:cs="Times New Roman"/>
                      <w:b w:val="0"/>
                      <w:bCs w:val="0"/>
                      <w:color w:val="auto"/>
                      <w:kern w:val="0"/>
                      <w:sz w:val="21"/>
                      <w:szCs w:val="21"/>
                      <w:lang w:val="en-US" w:eastAsia="zh-CN" w:bidi="ar-SA"/>
                    </w:rPr>
                  </w:pPr>
                  <w:bookmarkStart w:id="296" w:name="_Toc25948"/>
                  <w:bookmarkStart w:id="297" w:name="_Toc4790"/>
                  <w:bookmarkStart w:id="298" w:name="_Toc4419"/>
                  <w:r>
                    <w:rPr>
                      <w:rFonts w:hint="default" w:ascii="Times New Roman" w:hAnsi="Times New Roman" w:eastAsia="宋体" w:cs="Times New Roman"/>
                      <w:b w:val="0"/>
                      <w:bCs w:val="0"/>
                      <w:color w:val="auto"/>
                      <w:sz w:val="21"/>
                      <w:szCs w:val="21"/>
                    </w:rPr>
                    <w:t>污泥</w:t>
                  </w:r>
                  <w:bookmarkEnd w:id="296"/>
                  <w:bookmarkEnd w:id="297"/>
                  <w:bookmarkEnd w:id="298"/>
                </w:p>
              </w:tc>
              <w:tc>
                <w:tcPr>
                  <w:tcW w:w="1909" w:type="dxa"/>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一般工业固废</w:t>
                  </w:r>
                </w:p>
              </w:tc>
              <w:tc>
                <w:tcPr>
                  <w:tcW w:w="1204" w:type="dxa"/>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textAlignment w:val="auto"/>
                    <w:rPr>
                      <w:rFonts w:hint="default" w:ascii="Times New Roman" w:hAnsi="Times New Roman" w:eastAsia="宋体" w:cs="Times New Roman"/>
                      <w:b w:val="0"/>
                      <w:bCs w:val="0"/>
                      <w:color w:val="auto"/>
                      <w:sz w:val="21"/>
                      <w:szCs w:val="21"/>
                      <w:lang w:val="en-US"/>
                    </w:rPr>
                  </w:pPr>
                  <w:bookmarkStart w:id="299" w:name="_Toc14715"/>
                  <w:bookmarkStart w:id="300" w:name="_Toc22553"/>
                  <w:r>
                    <w:rPr>
                      <w:rFonts w:hint="eastAsia" w:ascii="Times New Roman" w:hAnsi="Times New Roman" w:eastAsia="宋体" w:cs="Times New Roman"/>
                      <w:b w:val="0"/>
                      <w:bCs w:val="0"/>
                      <w:color w:val="auto"/>
                      <w:sz w:val="21"/>
                      <w:szCs w:val="21"/>
                      <w:lang w:val="en-US" w:eastAsia="zh-CN"/>
                    </w:rPr>
                    <w:t>0.</w:t>
                  </w:r>
                  <w:bookmarkEnd w:id="299"/>
                  <w:r>
                    <w:rPr>
                      <w:rFonts w:hint="eastAsia" w:ascii="Times New Roman" w:hAnsi="Times New Roman" w:eastAsia="宋体" w:cs="Times New Roman"/>
                      <w:b w:val="0"/>
                      <w:bCs w:val="0"/>
                      <w:color w:val="auto"/>
                      <w:sz w:val="21"/>
                      <w:szCs w:val="21"/>
                      <w:lang w:val="en-US" w:eastAsia="zh-CN"/>
                    </w:rPr>
                    <w:t>044</w:t>
                  </w:r>
                  <w:bookmarkEnd w:id="300"/>
                </w:p>
              </w:tc>
              <w:tc>
                <w:tcPr>
                  <w:tcW w:w="2629" w:type="dxa"/>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eastAsia="zh-CN"/>
                    </w:rPr>
                    <w:t>集中收集，</w:t>
                  </w:r>
                  <w:r>
                    <w:rPr>
                      <w:rFonts w:hint="eastAsia" w:cs="Times New Roman"/>
                      <w:b w:val="0"/>
                      <w:bCs w:val="0"/>
                      <w:color w:val="auto"/>
                      <w:sz w:val="21"/>
                      <w:szCs w:val="21"/>
                      <w:lang w:val="en-US" w:eastAsia="zh-CN"/>
                    </w:rPr>
                    <w:t>送往垃圾填埋场处置</w:t>
                  </w:r>
                </w:p>
              </w:tc>
              <w:tc>
                <w:tcPr>
                  <w:tcW w:w="1096" w:type="dxa"/>
                  <w:shd w:val="clear" w:color="auto" w:fill="auto"/>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textAlignment w:val="auto"/>
                    <w:rPr>
                      <w:rFonts w:hint="default" w:ascii="Times New Roman" w:hAnsi="Times New Roman" w:eastAsia="宋体" w:cs="Times New Roman"/>
                      <w:b w:val="0"/>
                      <w:bCs w:val="0"/>
                      <w:color w:val="auto"/>
                      <w:kern w:val="0"/>
                      <w:sz w:val="21"/>
                      <w:szCs w:val="21"/>
                      <w:lang w:val="en-US" w:eastAsia="zh-CN" w:bidi="ar-SA"/>
                    </w:rPr>
                  </w:pPr>
                  <w:bookmarkStart w:id="301" w:name="_Toc13585"/>
                  <w:bookmarkStart w:id="302" w:name="_Toc21124"/>
                  <w:r>
                    <w:rPr>
                      <w:rFonts w:hint="eastAsia" w:ascii="Times New Roman" w:hAnsi="Times New Roman" w:eastAsia="宋体" w:cs="Times New Roman"/>
                      <w:b w:val="0"/>
                      <w:bCs w:val="0"/>
                      <w:color w:val="auto"/>
                      <w:sz w:val="21"/>
                      <w:szCs w:val="21"/>
                      <w:lang w:val="en-US" w:eastAsia="zh-CN"/>
                    </w:rPr>
                    <w:t>0.</w:t>
                  </w:r>
                  <w:bookmarkEnd w:id="301"/>
                  <w:r>
                    <w:rPr>
                      <w:rFonts w:hint="eastAsia" w:ascii="Times New Roman" w:hAnsi="Times New Roman" w:eastAsia="宋体" w:cs="Times New Roman"/>
                      <w:b w:val="0"/>
                      <w:bCs w:val="0"/>
                      <w:color w:val="auto"/>
                      <w:sz w:val="21"/>
                      <w:szCs w:val="21"/>
                      <w:lang w:val="en-US" w:eastAsia="zh-CN"/>
                    </w:rPr>
                    <w:t>044</w:t>
                  </w:r>
                  <w:bookmarkEnd w:id="302"/>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 w:hRule="atLeast"/>
                <w:jc w:val="center"/>
              </w:trPr>
              <w:tc>
                <w:tcPr>
                  <w:tcW w:w="616" w:type="dxa"/>
                  <w:vMerge w:val="continue"/>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sz w:val="21"/>
                      <w:szCs w:val="21"/>
                    </w:rPr>
                  </w:pPr>
                </w:p>
              </w:tc>
              <w:tc>
                <w:tcPr>
                  <w:tcW w:w="1677" w:type="dxa"/>
                  <w:shd w:val="clear" w:color="auto" w:fill="auto"/>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textAlignment w:val="auto"/>
                    <w:rPr>
                      <w:rFonts w:hint="eastAsia" w:ascii="Times New Roman" w:hAnsi="Times New Roman" w:eastAsia="宋体" w:cs="Times New Roman"/>
                      <w:b w:val="0"/>
                      <w:bCs w:val="0"/>
                      <w:color w:val="auto"/>
                      <w:sz w:val="21"/>
                      <w:szCs w:val="21"/>
                      <w:lang w:val="en-US" w:eastAsia="zh-CN"/>
                    </w:rPr>
                  </w:pPr>
                  <w:bookmarkStart w:id="303" w:name="_Toc17487"/>
                  <w:r>
                    <w:rPr>
                      <w:rFonts w:hint="eastAsia" w:ascii="Times New Roman" w:hAnsi="Times New Roman" w:eastAsia="宋体" w:cs="Times New Roman"/>
                      <w:b w:val="0"/>
                      <w:bCs w:val="0"/>
                      <w:color w:val="auto"/>
                      <w:sz w:val="21"/>
                      <w:szCs w:val="21"/>
                      <w:lang w:val="en-US" w:eastAsia="zh-CN"/>
                    </w:rPr>
                    <w:t>滤渣</w:t>
                  </w:r>
                  <w:bookmarkEnd w:id="303"/>
                </w:p>
              </w:tc>
              <w:tc>
                <w:tcPr>
                  <w:tcW w:w="1909" w:type="dxa"/>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一般工业固废</w:t>
                  </w:r>
                </w:p>
              </w:tc>
              <w:tc>
                <w:tcPr>
                  <w:tcW w:w="1204" w:type="dxa"/>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color w:val="auto"/>
                      <w:sz w:val="21"/>
                      <w:szCs w:val="21"/>
                      <w:lang w:val="en-US" w:eastAsia="zh-CN"/>
                    </w:rPr>
                    <w:t>10</w:t>
                  </w:r>
                </w:p>
              </w:tc>
              <w:tc>
                <w:tcPr>
                  <w:tcW w:w="2629" w:type="dxa"/>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eastAsia" w:cs="Times New Roman"/>
                      <w:b w:val="0"/>
                      <w:bCs w:val="0"/>
                      <w:color w:val="auto"/>
                      <w:sz w:val="21"/>
                      <w:szCs w:val="21"/>
                      <w:lang w:eastAsia="zh-CN"/>
                    </w:rPr>
                  </w:pPr>
                  <w:r>
                    <w:rPr>
                      <w:rFonts w:hint="eastAsia" w:cs="Times New Roman"/>
                      <w:color w:val="auto"/>
                      <w:sz w:val="21"/>
                      <w:szCs w:val="21"/>
                      <w:lang w:val="en-US" w:eastAsia="zh-CN"/>
                    </w:rPr>
                    <w:t>外售综合利用</w:t>
                  </w:r>
                </w:p>
              </w:tc>
              <w:tc>
                <w:tcPr>
                  <w:tcW w:w="1096" w:type="dxa"/>
                  <w:shd w:val="clear" w:color="auto" w:fill="auto"/>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616" w:type="dxa"/>
                  <w:vMerge w:val="continue"/>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sz w:val="21"/>
                      <w:szCs w:val="21"/>
                    </w:rPr>
                  </w:pPr>
                </w:p>
              </w:tc>
              <w:tc>
                <w:tcPr>
                  <w:tcW w:w="1677" w:type="dxa"/>
                  <w:shd w:val="clear" w:color="auto" w:fill="auto"/>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textAlignment w:val="auto"/>
                    <w:rPr>
                      <w:rFonts w:hint="default" w:ascii="Times New Roman" w:hAnsi="Times New Roman" w:eastAsia="宋体" w:cs="Times New Roman"/>
                      <w:b w:val="0"/>
                      <w:bCs w:val="0"/>
                      <w:color w:val="auto"/>
                      <w:kern w:val="0"/>
                      <w:sz w:val="21"/>
                      <w:szCs w:val="21"/>
                      <w:lang w:val="en-US" w:eastAsia="zh-CN" w:bidi="ar-SA"/>
                    </w:rPr>
                  </w:pPr>
                  <w:bookmarkStart w:id="304" w:name="_Toc251"/>
                  <w:bookmarkStart w:id="305" w:name="_Toc4284"/>
                  <w:bookmarkStart w:id="306" w:name="_Toc9922"/>
                  <w:r>
                    <w:rPr>
                      <w:rFonts w:hint="default" w:ascii="Times New Roman" w:hAnsi="Times New Roman" w:eastAsia="宋体" w:cs="Times New Roman"/>
                      <w:b w:val="0"/>
                      <w:bCs w:val="0"/>
                      <w:color w:val="auto"/>
                      <w:sz w:val="21"/>
                      <w:szCs w:val="21"/>
                    </w:rPr>
                    <w:t>废活性炭</w:t>
                  </w:r>
                  <w:bookmarkEnd w:id="304"/>
                  <w:bookmarkEnd w:id="305"/>
                  <w:bookmarkEnd w:id="306"/>
                </w:p>
              </w:tc>
              <w:tc>
                <w:tcPr>
                  <w:tcW w:w="1909" w:type="dxa"/>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一般工业固废</w:t>
                  </w:r>
                </w:p>
              </w:tc>
              <w:tc>
                <w:tcPr>
                  <w:tcW w:w="1204" w:type="dxa"/>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textAlignment w:val="auto"/>
                    <w:rPr>
                      <w:rFonts w:hint="default" w:ascii="Times New Roman" w:hAnsi="Times New Roman" w:eastAsia="宋体" w:cs="Times New Roman"/>
                      <w:b w:val="0"/>
                      <w:bCs w:val="0"/>
                      <w:color w:val="auto"/>
                      <w:sz w:val="21"/>
                      <w:szCs w:val="21"/>
                      <w:lang w:val="en-US" w:eastAsia="zh-CN"/>
                    </w:rPr>
                  </w:pPr>
                  <w:bookmarkStart w:id="307" w:name="_Toc73"/>
                  <w:bookmarkStart w:id="308" w:name="_Toc13630"/>
                  <w:bookmarkStart w:id="309" w:name="_Toc8386"/>
                  <w:r>
                    <w:rPr>
                      <w:rFonts w:hint="eastAsia" w:ascii="Times New Roman" w:hAnsi="Times New Roman" w:eastAsia="宋体" w:cs="Times New Roman"/>
                      <w:b w:val="0"/>
                      <w:bCs w:val="0"/>
                      <w:color w:val="auto"/>
                      <w:sz w:val="21"/>
                      <w:szCs w:val="21"/>
                      <w:lang w:val="en-US" w:eastAsia="zh-CN"/>
                    </w:rPr>
                    <w:t>0.2</w:t>
                  </w:r>
                  <w:bookmarkEnd w:id="307"/>
                  <w:bookmarkEnd w:id="308"/>
                  <w:bookmarkEnd w:id="309"/>
                </w:p>
              </w:tc>
              <w:tc>
                <w:tcPr>
                  <w:tcW w:w="2629" w:type="dxa"/>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sz w:val="21"/>
                      <w:szCs w:val="21"/>
                      <w:highlight w:val="none"/>
                    </w:rPr>
                    <w:t>由厂家更换及回收</w:t>
                  </w:r>
                </w:p>
              </w:tc>
              <w:tc>
                <w:tcPr>
                  <w:tcW w:w="1096" w:type="dxa"/>
                  <w:shd w:val="clear" w:color="auto" w:fill="auto"/>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textAlignment w:val="auto"/>
                    <w:rPr>
                      <w:rFonts w:hint="default" w:ascii="Times New Roman" w:hAnsi="Times New Roman" w:eastAsia="宋体" w:cs="Times New Roman"/>
                      <w:b w:val="0"/>
                      <w:bCs w:val="0"/>
                      <w:color w:val="auto"/>
                      <w:kern w:val="0"/>
                      <w:sz w:val="21"/>
                      <w:szCs w:val="21"/>
                      <w:lang w:val="en-US" w:eastAsia="zh-CN" w:bidi="ar-SA"/>
                    </w:rPr>
                  </w:pPr>
                  <w:bookmarkStart w:id="310" w:name="_Toc14413"/>
                  <w:bookmarkStart w:id="311" w:name="_Toc4153"/>
                  <w:r>
                    <w:rPr>
                      <w:rFonts w:hint="eastAsia" w:ascii="Times New Roman" w:hAnsi="Times New Roman" w:eastAsia="宋体" w:cs="Times New Roman"/>
                      <w:b w:val="0"/>
                      <w:bCs w:val="0"/>
                      <w:color w:val="auto"/>
                      <w:sz w:val="21"/>
                      <w:szCs w:val="21"/>
                      <w:lang w:val="en-US" w:eastAsia="zh-CN"/>
                    </w:rPr>
                    <w:t>0.2</w:t>
                  </w:r>
                  <w:bookmarkEnd w:id="310"/>
                  <w:bookmarkEnd w:id="311"/>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16" w:type="dxa"/>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w:t>
                  </w:r>
                </w:p>
              </w:tc>
              <w:tc>
                <w:tcPr>
                  <w:tcW w:w="1677" w:type="dxa"/>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生活垃圾</w:t>
                  </w:r>
                </w:p>
              </w:tc>
              <w:tc>
                <w:tcPr>
                  <w:tcW w:w="1909" w:type="dxa"/>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生活垃圾</w:t>
                  </w:r>
                </w:p>
              </w:tc>
              <w:tc>
                <w:tcPr>
                  <w:tcW w:w="1204" w:type="dxa"/>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textAlignment w:val="auto"/>
                    <w:rPr>
                      <w:rFonts w:hint="default" w:ascii="Times New Roman" w:hAnsi="Times New Roman" w:eastAsia="宋体" w:cs="Times New Roman"/>
                      <w:b w:val="0"/>
                      <w:bCs w:val="0"/>
                      <w:color w:val="auto"/>
                      <w:sz w:val="21"/>
                      <w:szCs w:val="21"/>
                      <w:lang w:val="en-US" w:eastAsia="zh-CN"/>
                    </w:rPr>
                  </w:pPr>
                  <w:bookmarkStart w:id="312" w:name="_Toc2399"/>
                  <w:bookmarkStart w:id="313" w:name="_Toc29577"/>
                  <w:r>
                    <w:rPr>
                      <w:rFonts w:hint="eastAsia" w:ascii="Times New Roman" w:hAnsi="Times New Roman" w:eastAsia="宋体" w:cs="Times New Roman"/>
                      <w:b w:val="0"/>
                      <w:bCs w:val="0"/>
                      <w:color w:val="auto"/>
                      <w:sz w:val="21"/>
                      <w:szCs w:val="21"/>
                      <w:lang w:val="en-US" w:eastAsia="zh-CN"/>
                    </w:rPr>
                    <w:t>0.15</w:t>
                  </w:r>
                  <w:bookmarkEnd w:id="312"/>
                  <w:bookmarkEnd w:id="313"/>
                </w:p>
              </w:tc>
              <w:tc>
                <w:tcPr>
                  <w:tcW w:w="2629" w:type="dxa"/>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b w:val="0"/>
                      <w:bCs w:val="0"/>
                      <w:color w:val="auto"/>
                      <w:sz w:val="21"/>
                      <w:szCs w:val="21"/>
                    </w:rPr>
                  </w:pPr>
                  <w:r>
                    <w:rPr>
                      <w:rFonts w:hint="eastAsia"/>
                      <w:color w:val="auto"/>
                      <w:sz w:val="21"/>
                      <w:szCs w:val="21"/>
                      <w:highlight w:val="none"/>
                      <w:lang w:val="en-US" w:eastAsia="zh-CN"/>
                    </w:rPr>
                    <w:t>统一收集，</w:t>
                  </w:r>
                  <w:r>
                    <w:rPr>
                      <w:rFonts w:hint="eastAsia"/>
                      <w:bCs/>
                      <w:color w:val="auto"/>
                      <w:sz w:val="21"/>
                      <w:szCs w:val="21"/>
                      <w:lang w:eastAsia="zh-CN"/>
                    </w:rPr>
                    <w:t>定期交由环卫部门处置</w:t>
                  </w:r>
                </w:p>
              </w:tc>
              <w:tc>
                <w:tcPr>
                  <w:tcW w:w="1096" w:type="dxa"/>
                  <w:shd w:val="clear" w:color="auto" w:fill="auto"/>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textAlignment w:val="auto"/>
                    <w:rPr>
                      <w:rFonts w:hint="default" w:ascii="Times New Roman" w:hAnsi="Times New Roman" w:eastAsia="宋体" w:cs="Times New Roman"/>
                      <w:b w:val="0"/>
                      <w:bCs w:val="0"/>
                      <w:color w:val="auto"/>
                      <w:kern w:val="0"/>
                      <w:sz w:val="21"/>
                      <w:szCs w:val="21"/>
                      <w:lang w:val="en-US" w:eastAsia="zh-CN" w:bidi="ar-SA"/>
                    </w:rPr>
                  </w:pPr>
                  <w:bookmarkStart w:id="314" w:name="_Toc26495"/>
                  <w:bookmarkStart w:id="315" w:name="_Toc18639"/>
                  <w:r>
                    <w:rPr>
                      <w:rFonts w:hint="eastAsia" w:ascii="Times New Roman" w:hAnsi="Times New Roman" w:eastAsia="宋体" w:cs="Times New Roman"/>
                      <w:b w:val="0"/>
                      <w:bCs w:val="0"/>
                      <w:color w:val="auto"/>
                      <w:sz w:val="21"/>
                      <w:szCs w:val="21"/>
                      <w:lang w:val="en-US" w:eastAsia="zh-CN"/>
                    </w:rPr>
                    <w:t>0.15</w:t>
                  </w:r>
                  <w:bookmarkEnd w:id="314"/>
                  <w:bookmarkEnd w:id="315"/>
                </w:p>
              </w:tc>
            </w:tr>
            <w:bookmarkEnd w:id="292"/>
          </w:tbl>
          <w:p>
            <w:pPr>
              <w:numPr>
                <w:ilvl w:val="0"/>
                <w:numId w:val="0"/>
              </w:numPr>
              <w:adjustRightInd w:val="0"/>
              <w:snapToGrid w:val="0"/>
              <w:spacing w:line="360" w:lineRule="auto"/>
              <w:ind w:left="0" w:leftChars="0" w:firstLine="480" w:firstLineChars="200"/>
              <w:rPr>
                <w:rFonts w:hint="eastAsia"/>
                <w:color w:val="auto"/>
                <w:lang w:val="en-US" w:eastAsia="zh-CN"/>
              </w:rPr>
            </w:pPr>
            <w:r>
              <w:rPr>
                <w:rFonts w:hint="default" w:ascii="Times New Roman" w:hAnsi="Times New Roman" w:cs="Times New Roman"/>
                <w:bCs/>
                <w:color w:val="auto"/>
                <w:sz w:val="24"/>
                <w:szCs w:val="24"/>
                <w:highlight w:val="none"/>
              </w:rPr>
              <w:t>本项目所产生的固体废物做到及时收集，妥善处置，一般废物处置能够符合《中华人民共和国固体废物污染环境防治法》及黑龙江省关于固体废物处置的有关规定；综上所述，本项目的固体废物有相应的、安全的处置</w:t>
            </w:r>
            <w:r>
              <w:rPr>
                <w:rFonts w:hint="eastAsia" w:cs="Times New Roman"/>
                <w:bCs/>
                <w:color w:val="auto"/>
                <w:sz w:val="24"/>
                <w:szCs w:val="24"/>
                <w:highlight w:val="none"/>
                <w:lang w:eastAsia="zh-CN"/>
              </w:rPr>
              <w:t>方法</w:t>
            </w:r>
            <w:r>
              <w:rPr>
                <w:rFonts w:hint="default" w:ascii="Times New Roman" w:hAnsi="Times New Roman" w:cs="Times New Roman"/>
                <w:bCs/>
                <w:color w:val="auto"/>
                <w:sz w:val="24"/>
                <w:szCs w:val="24"/>
                <w:highlight w:val="none"/>
              </w:rPr>
              <w:t>，对环境的影响较小。</w:t>
            </w:r>
          </w:p>
        </w:tc>
      </w:tr>
    </w:tbl>
    <w:p>
      <w:pPr>
        <w:adjustRightInd w:val="0"/>
        <w:snapToGrid w:val="0"/>
        <w:spacing w:line="360" w:lineRule="auto"/>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4"/>
        <w:jc w:val="center"/>
        <w:outlineLvl w:val="0"/>
        <w:rPr>
          <w:rFonts w:ascii="Times New Roman" w:hAnsi="Times New Roman" w:eastAsia="黑体"/>
          <w:snapToGrid w:val="0"/>
          <w:color w:val="auto"/>
          <w:sz w:val="30"/>
          <w:szCs w:val="30"/>
          <w:highlight w:val="none"/>
        </w:rPr>
      </w:pPr>
      <w:bookmarkStart w:id="316" w:name="_Toc30589"/>
      <w:r>
        <w:rPr>
          <w:rFonts w:ascii="Times New Roman" w:hAnsi="Times New Roman" w:eastAsia="黑体"/>
          <w:snapToGrid w:val="0"/>
          <w:color w:val="auto"/>
          <w:sz w:val="30"/>
          <w:szCs w:val="30"/>
          <w:highlight w:val="none"/>
        </w:rPr>
        <w:t>五、</w:t>
      </w:r>
      <w:bookmarkStart w:id="317" w:name="_Hlk54167917"/>
      <w:r>
        <w:rPr>
          <w:rFonts w:ascii="Times New Roman" w:hAnsi="Times New Roman" w:eastAsia="黑体"/>
          <w:snapToGrid w:val="0"/>
          <w:color w:val="auto"/>
          <w:sz w:val="30"/>
          <w:szCs w:val="30"/>
          <w:highlight w:val="none"/>
        </w:rPr>
        <w:t>环境保护措施监督检查清单</w:t>
      </w:r>
      <w:bookmarkEnd w:id="316"/>
      <w:bookmarkEnd w:id="317"/>
    </w:p>
    <w:tbl>
      <w:tblPr>
        <w:tblStyle w:val="29"/>
        <w:tblW w:w="951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338"/>
        <w:gridCol w:w="1534"/>
        <w:gridCol w:w="3108"/>
        <w:gridCol w:w="22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jc w:val="center"/>
        </w:trPr>
        <w:tc>
          <w:tcPr>
            <w:tcW w:w="1273" w:type="dxa"/>
            <w:tcBorders>
              <w:tl2br w:val="single" w:color="auto" w:sz="4" w:space="0"/>
            </w:tcBorders>
          </w:tcPr>
          <w:p>
            <w:pPr>
              <w:adjustRightInd w:val="0"/>
              <w:snapToGrid w:val="0"/>
              <w:spacing w:line="300" w:lineRule="exact"/>
              <w:ind w:firstLine="480" w:firstLineChars="200"/>
              <w:rPr>
                <w:color w:val="auto"/>
                <w:sz w:val="24"/>
              </w:rPr>
            </w:pPr>
            <w:r>
              <w:rPr>
                <w:color w:val="auto"/>
                <w:sz w:val="24"/>
              </w:rPr>
              <w:t>内容</w:t>
            </w:r>
          </w:p>
          <w:p>
            <w:pPr>
              <w:adjustRightInd w:val="0"/>
              <w:snapToGrid w:val="0"/>
              <w:spacing w:line="300" w:lineRule="exact"/>
              <w:rPr>
                <w:color w:val="auto"/>
                <w:sz w:val="24"/>
              </w:rPr>
            </w:pPr>
            <w:r>
              <w:rPr>
                <w:color w:val="auto"/>
                <w:sz w:val="24"/>
              </w:rPr>
              <w:t>要素</w:t>
            </w:r>
          </w:p>
        </w:tc>
        <w:tc>
          <w:tcPr>
            <w:tcW w:w="1338" w:type="dxa"/>
            <w:vAlign w:val="center"/>
          </w:tcPr>
          <w:p>
            <w:pPr>
              <w:adjustRightInd w:val="0"/>
              <w:snapToGrid w:val="0"/>
              <w:spacing w:line="300" w:lineRule="exact"/>
              <w:jc w:val="center"/>
              <w:rPr>
                <w:color w:val="auto"/>
                <w:sz w:val="24"/>
              </w:rPr>
            </w:pPr>
            <w:r>
              <w:rPr>
                <w:color w:val="auto"/>
                <w:sz w:val="24"/>
              </w:rPr>
              <w:t>排放口</w:t>
            </w:r>
            <w:r>
              <w:rPr>
                <w:rFonts w:hint="eastAsia"/>
                <w:color w:val="auto"/>
                <w:sz w:val="24"/>
                <w:lang w:eastAsia="zh-CN"/>
              </w:rPr>
              <w:t>（</w:t>
            </w:r>
            <w:r>
              <w:rPr>
                <w:color w:val="auto"/>
                <w:sz w:val="24"/>
              </w:rPr>
              <w:t>编号、名称</w:t>
            </w:r>
            <w:r>
              <w:rPr>
                <w:rFonts w:hint="eastAsia"/>
                <w:color w:val="auto"/>
                <w:sz w:val="24"/>
                <w:lang w:eastAsia="zh-CN"/>
              </w:rPr>
              <w:t>）</w:t>
            </w:r>
            <w:r>
              <w:rPr>
                <w:color w:val="auto"/>
                <w:sz w:val="24"/>
              </w:rPr>
              <w:t>/污染源</w:t>
            </w:r>
          </w:p>
        </w:tc>
        <w:tc>
          <w:tcPr>
            <w:tcW w:w="1534" w:type="dxa"/>
            <w:vAlign w:val="center"/>
          </w:tcPr>
          <w:p>
            <w:pPr>
              <w:adjustRightInd w:val="0"/>
              <w:snapToGrid w:val="0"/>
              <w:spacing w:line="300" w:lineRule="exact"/>
              <w:jc w:val="center"/>
              <w:rPr>
                <w:color w:val="auto"/>
                <w:sz w:val="24"/>
              </w:rPr>
            </w:pPr>
            <w:r>
              <w:rPr>
                <w:color w:val="auto"/>
                <w:sz w:val="24"/>
              </w:rPr>
              <w:t>污染物项目</w:t>
            </w:r>
          </w:p>
        </w:tc>
        <w:tc>
          <w:tcPr>
            <w:tcW w:w="3108" w:type="dxa"/>
            <w:vAlign w:val="center"/>
          </w:tcPr>
          <w:p>
            <w:pPr>
              <w:adjustRightInd w:val="0"/>
              <w:snapToGrid w:val="0"/>
              <w:spacing w:line="300" w:lineRule="exact"/>
              <w:jc w:val="center"/>
              <w:rPr>
                <w:color w:val="auto"/>
                <w:sz w:val="24"/>
              </w:rPr>
            </w:pPr>
            <w:r>
              <w:rPr>
                <w:color w:val="auto"/>
                <w:sz w:val="24"/>
              </w:rPr>
              <w:t>环境保护措施</w:t>
            </w:r>
          </w:p>
        </w:tc>
        <w:tc>
          <w:tcPr>
            <w:tcW w:w="2260" w:type="dxa"/>
            <w:vAlign w:val="center"/>
          </w:tcPr>
          <w:p>
            <w:pPr>
              <w:adjustRightInd w:val="0"/>
              <w:snapToGrid w:val="0"/>
              <w:spacing w:line="300" w:lineRule="exact"/>
              <w:jc w:val="center"/>
              <w:rPr>
                <w:color w:val="auto"/>
                <w:sz w:val="24"/>
              </w:rPr>
            </w:pPr>
            <w:r>
              <w:rPr>
                <w:color w:val="auto"/>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70" w:hRule="atLeast"/>
          <w:jc w:val="center"/>
        </w:trPr>
        <w:tc>
          <w:tcPr>
            <w:tcW w:w="1273" w:type="dxa"/>
            <w:vMerge w:val="restart"/>
            <w:vAlign w:val="center"/>
          </w:tcPr>
          <w:p>
            <w:pPr>
              <w:adjustRightInd w:val="0"/>
              <w:snapToGrid w:val="0"/>
              <w:spacing w:line="300" w:lineRule="exact"/>
              <w:jc w:val="center"/>
              <w:rPr>
                <w:color w:val="auto"/>
                <w:sz w:val="24"/>
              </w:rPr>
            </w:pPr>
            <w:r>
              <w:rPr>
                <w:color w:val="auto"/>
                <w:sz w:val="24"/>
              </w:rPr>
              <w:t>大气环境</w:t>
            </w:r>
          </w:p>
        </w:tc>
        <w:tc>
          <w:tcPr>
            <w:tcW w:w="1338" w:type="dxa"/>
            <w:vAlign w:val="center"/>
          </w:tcPr>
          <w:p>
            <w:pPr>
              <w:adjustRightInd w:val="0"/>
              <w:snapToGrid w:val="0"/>
              <w:spacing w:line="300" w:lineRule="exact"/>
              <w:jc w:val="center"/>
              <w:rPr>
                <w:color w:val="auto"/>
                <w:sz w:val="24"/>
              </w:rPr>
            </w:pPr>
            <w:r>
              <w:rPr>
                <w:rFonts w:hint="eastAsia"/>
                <w:color w:val="auto"/>
                <w:sz w:val="24"/>
              </w:rPr>
              <w:t>污水处理设施</w:t>
            </w:r>
          </w:p>
        </w:tc>
        <w:tc>
          <w:tcPr>
            <w:tcW w:w="1534" w:type="dxa"/>
            <w:vAlign w:val="center"/>
          </w:tcPr>
          <w:p>
            <w:pPr>
              <w:adjustRightInd w:val="0"/>
              <w:snapToGrid w:val="0"/>
              <w:spacing w:line="300" w:lineRule="exact"/>
              <w:jc w:val="center"/>
              <w:rPr>
                <w:rFonts w:hint="eastAsia"/>
                <w:color w:val="auto"/>
                <w:sz w:val="24"/>
                <w:lang w:eastAsia="zh-CN"/>
              </w:rPr>
            </w:pPr>
            <w:r>
              <w:rPr>
                <w:rFonts w:hint="eastAsia"/>
                <w:color w:val="auto"/>
                <w:sz w:val="24"/>
                <w:lang w:eastAsia="zh-CN"/>
              </w:rPr>
              <w:t>氨</w:t>
            </w:r>
          </w:p>
          <w:p>
            <w:pPr>
              <w:adjustRightInd w:val="0"/>
              <w:snapToGrid w:val="0"/>
              <w:spacing w:line="300" w:lineRule="exact"/>
              <w:jc w:val="center"/>
              <w:rPr>
                <w:rFonts w:hint="eastAsia"/>
                <w:color w:val="auto"/>
                <w:sz w:val="24"/>
                <w:lang w:eastAsia="zh-CN"/>
              </w:rPr>
            </w:pPr>
            <w:r>
              <w:rPr>
                <w:rFonts w:hint="eastAsia"/>
                <w:color w:val="auto"/>
                <w:sz w:val="24"/>
                <w:lang w:eastAsia="zh-CN"/>
              </w:rPr>
              <w:t>硫化氢</w:t>
            </w:r>
          </w:p>
          <w:p>
            <w:pPr>
              <w:adjustRightInd w:val="0"/>
              <w:snapToGrid w:val="0"/>
              <w:spacing w:line="300" w:lineRule="exact"/>
              <w:jc w:val="center"/>
              <w:rPr>
                <w:rFonts w:hint="eastAsia" w:eastAsia="宋体"/>
                <w:smallCaps/>
                <w:color w:val="auto"/>
                <w:sz w:val="24"/>
                <w:szCs w:val="20"/>
                <w:lang w:eastAsia="zh-CN"/>
              </w:rPr>
            </w:pPr>
            <w:r>
              <w:rPr>
                <w:rFonts w:hint="eastAsia"/>
                <w:color w:val="auto"/>
                <w:sz w:val="24"/>
                <w:lang w:eastAsia="zh-CN"/>
              </w:rPr>
              <w:t>臭气浓度</w:t>
            </w:r>
          </w:p>
        </w:tc>
        <w:tc>
          <w:tcPr>
            <w:tcW w:w="3108" w:type="dxa"/>
            <w:vAlign w:val="center"/>
          </w:tcPr>
          <w:p>
            <w:pPr>
              <w:adjustRightInd w:val="0"/>
              <w:snapToGrid w:val="0"/>
              <w:spacing w:line="300" w:lineRule="exact"/>
              <w:jc w:val="center"/>
              <w:rPr>
                <w:color w:val="auto"/>
                <w:sz w:val="24"/>
              </w:rPr>
            </w:pPr>
            <w:r>
              <w:rPr>
                <w:rFonts w:hint="eastAsia"/>
                <w:color w:val="auto"/>
                <w:sz w:val="24"/>
              </w:rPr>
              <w:t>污水处理设施各池体进行全封闭，产生的恶臭气体经风机集气活性炭吸附后经15m高排气筒排放。</w:t>
            </w:r>
          </w:p>
        </w:tc>
        <w:tc>
          <w:tcPr>
            <w:tcW w:w="2260" w:type="dxa"/>
            <w:vAlign w:val="center"/>
          </w:tcPr>
          <w:p>
            <w:pPr>
              <w:adjustRightInd w:val="0"/>
              <w:snapToGrid w:val="0"/>
              <w:spacing w:line="300" w:lineRule="exact"/>
              <w:jc w:val="center"/>
              <w:rPr>
                <w:color w:val="auto"/>
                <w:sz w:val="24"/>
              </w:rPr>
            </w:pPr>
            <w:r>
              <w:rPr>
                <w:rFonts w:hint="eastAsia"/>
                <w:color w:val="auto"/>
                <w:sz w:val="24"/>
              </w:rPr>
              <w:t>《恶臭污染物排放标准》（GB14554-93）表2恶臭污染物排放标准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70" w:hRule="atLeast"/>
          <w:jc w:val="center"/>
        </w:trPr>
        <w:tc>
          <w:tcPr>
            <w:tcW w:w="1273" w:type="dxa"/>
            <w:vMerge w:val="continue"/>
            <w:vAlign w:val="center"/>
          </w:tcPr>
          <w:p>
            <w:pPr>
              <w:adjustRightInd w:val="0"/>
              <w:snapToGrid w:val="0"/>
              <w:spacing w:line="300" w:lineRule="exact"/>
              <w:jc w:val="center"/>
              <w:rPr>
                <w:color w:val="auto"/>
                <w:sz w:val="24"/>
              </w:rPr>
            </w:pPr>
          </w:p>
        </w:tc>
        <w:tc>
          <w:tcPr>
            <w:tcW w:w="1338" w:type="dxa"/>
            <w:vAlign w:val="center"/>
          </w:tcPr>
          <w:p>
            <w:pPr>
              <w:adjustRightInd w:val="0"/>
              <w:snapToGrid w:val="0"/>
              <w:spacing w:line="300" w:lineRule="exact"/>
              <w:jc w:val="center"/>
              <w:rPr>
                <w:rFonts w:hint="eastAsia" w:eastAsia="宋体"/>
                <w:color w:val="auto"/>
                <w:sz w:val="24"/>
                <w:lang w:val="en-US" w:eastAsia="zh-CN"/>
              </w:rPr>
            </w:pPr>
            <w:r>
              <w:rPr>
                <w:rFonts w:hint="eastAsia"/>
                <w:color w:val="auto"/>
                <w:sz w:val="24"/>
                <w:lang w:val="en-US" w:eastAsia="zh-CN"/>
              </w:rPr>
              <w:t>厂界</w:t>
            </w:r>
          </w:p>
        </w:tc>
        <w:tc>
          <w:tcPr>
            <w:tcW w:w="1534" w:type="dxa"/>
            <w:vAlign w:val="center"/>
          </w:tcPr>
          <w:p>
            <w:pPr>
              <w:adjustRightInd w:val="0"/>
              <w:snapToGrid w:val="0"/>
              <w:spacing w:line="300" w:lineRule="exact"/>
              <w:jc w:val="center"/>
              <w:rPr>
                <w:rFonts w:hint="eastAsia"/>
                <w:color w:val="auto"/>
                <w:sz w:val="24"/>
                <w:lang w:eastAsia="zh-CN"/>
              </w:rPr>
            </w:pPr>
            <w:r>
              <w:rPr>
                <w:rFonts w:hint="eastAsia"/>
                <w:color w:val="auto"/>
                <w:sz w:val="24"/>
                <w:lang w:eastAsia="zh-CN"/>
              </w:rPr>
              <w:t>氨</w:t>
            </w:r>
          </w:p>
          <w:p>
            <w:pPr>
              <w:adjustRightInd w:val="0"/>
              <w:snapToGrid w:val="0"/>
              <w:spacing w:line="300" w:lineRule="exact"/>
              <w:jc w:val="center"/>
              <w:rPr>
                <w:rFonts w:hint="eastAsia"/>
                <w:color w:val="auto"/>
                <w:sz w:val="24"/>
                <w:lang w:eastAsia="zh-CN"/>
              </w:rPr>
            </w:pPr>
            <w:r>
              <w:rPr>
                <w:rFonts w:hint="eastAsia"/>
                <w:color w:val="auto"/>
                <w:sz w:val="24"/>
                <w:lang w:eastAsia="zh-CN"/>
              </w:rPr>
              <w:t>硫化氢</w:t>
            </w:r>
          </w:p>
          <w:p>
            <w:pPr>
              <w:adjustRightInd w:val="0"/>
              <w:snapToGrid w:val="0"/>
              <w:spacing w:line="300" w:lineRule="exact"/>
              <w:jc w:val="center"/>
              <w:rPr>
                <w:rFonts w:hint="eastAsia"/>
                <w:color w:val="auto"/>
                <w:sz w:val="24"/>
                <w:lang w:eastAsia="zh-CN"/>
              </w:rPr>
            </w:pPr>
            <w:r>
              <w:rPr>
                <w:rFonts w:hint="eastAsia"/>
                <w:color w:val="auto"/>
                <w:sz w:val="24"/>
                <w:lang w:eastAsia="zh-CN"/>
              </w:rPr>
              <w:t>臭气浓度</w:t>
            </w:r>
          </w:p>
        </w:tc>
        <w:tc>
          <w:tcPr>
            <w:tcW w:w="3108" w:type="dxa"/>
            <w:vAlign w:val="center"/>
          </w:tcPr>
          <w:p>
            <w:pPr>
              <w:adjustRightInd w:val="0"/>
              <w:snapToGrid w:val="0"/>
              <w:spacing w:line="300" w:lineRule="exact"/>
              <w:jc w:val="center"/>
              <w:rPr>
                <w:rFonts w:hint="default" w:eastAsia="宋体"/>
                <w:color w:val="auto"/>
                <w:sz w:val="24"/>
                <w:lang w:val="en-US" w:eastAsia="zh-CN"/>
              </w:rPr>
            </w:pPr>
            <w:r>
              <w:rPr>
                <w:rFonts w:hint="eastAsia"/>
                <w:color w:val="auto"/>
                <w:sz w:val="24"/>
              </w:rPr>
              <w:t>污水处理设施各池体进行全封闭</w:t>
            </w:r>
          </w:p>
        </w:tc>
        <w:tc>
          <w:tcPr>
            <w:tcW w:w="2260" w:type="dxa"/>
            <w:vAlign w:val="center"/>
          </w:tcPr>
          <w:p>
            <w:pPr>
              <w:adjustRightInd w:val="0"/>
              <w:snapToGrid w:val="0"/>
              <w:spacing w:line="300" w:lineRule="exact"/>
              <w:jc w:val="center"/>
              <w:rPr>
                <w:rFonts w:hint="default" w:eastAsia="宋体"/>
                <w:color w:val="auto"/>
                <w:sz w:val="24"/>
                <w:lang w:val="en-US" w:eastAsia="zh-CN"/>
              </w:rPr>
            </w:pPr>
            <w:r>
              <w:rPr>
                <w:rFonts w:hint="eastAsia"/>
                <w:color w:val="auto"/>
                <w:sz w:val="24"/>
                <w:szCs w:val="24"/>
                <w:highlight w:val="none"/>
                <w:lang w:eastAsia="zh-CN"/>
              </w:rPr>
              <w:t>《</w:t>
            </w:r>
            <w:r>
              <w:rPr>
                <w:rFonts w:hint="eastAsia"/>
                <w:bCs/>
                <w:color w:val="auto"/>
                <w:sz w:val="24"/>
                <w:szCs w:val="24"/>
                <w:highlight w:val="none"/>
              </w:rPr>
              <w:t>恶臭污染物排放标准》（GB14554-93）</w:t>
            </w:r>
            <w:r>
              <w:rPr>
                <w:rFonts w:hint="eastAsia"/>
                <w:bCs/>
                <w:color w:val="auto"/>
                <w:sz w:val="24"/>
                <w:szCs w:val="24"/>
                <w:highlight w:val="none"/>
                <w:lang w:val="en-US" w:eastAsia="zh-CN"/>
              </w:rPr>
              <w:t>表1恶臭污染物厂界标准值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73" w:type="dxa"/>
            <w:vAlign w:val="center"/>
          </w:tcPr>
          <w:p>
            <w:pPr>
              <w:adjustRightInd w:val="0"/>
              <w:snapToGrid w:val="0"/>
              <w:spacing w:line="300" w:lineRule="exact"/>
              <w:jc w:val="center"/>
              <w:rPr>
                <w:color w:val="auto"/>
                <w:sz w:val="24"/>
              </w:rPr>
            </w:pPr>
            <w:r>
              <w:rPr>
                <w:color w:val="auto"/>
                <w:sz w:val="24"/>
              </w:rPr>
              <w:t>地表水</w:t>
            </w:r>
          </w:p>
          <w:p>
            <w:pPr>
              <w:adjustRightInd w:val="0"/>
              <w:snapToGrid w:val="0"/>
              <w:spacing w:line="300" w:lineRule="exact"/>
              <w:jc w:val="center"/>
              <w:rPr>
                <w:color w:val="auto"/>
                <w:sz w:val="24"/>
              </w:rPr>
            </w:pPr>
            <w:r>
              <w:rPr>
                <w:color w:val="auto"/>
                <w:sz w:val="24"/>
              </w:rPr>
              <w:t>环境</w:t>
            </w:r>
          </w:p>
        </w:tc>
        <w:tc>
          <w:tcPr>
            <w:tcW w:w="1338" w:type="dxa"/>
            <w:vAlign w:val="center"/>
          </w:tcPr>
          <w:p>
            <w:pPr>
              <w:adjustRightInd w:val="0"/>
              <w:snapToGrid w:val="0"/>
              <w:spacing w:line="300" w:lineRule="exact"/>
              <w:jc w:val="center"/>
              <w:rPr>
                <w:color w:val="auto"/>
                <w:sz w:val="24"/>
              </w:rPr>
            </w:pPr>
            <w:r>
              <w:rPr>
                <w:color w:val="auto"/>
                <w:sz w:val="24"/>
              </w:rPr>
              <w:t>生活污水</w:t>
            </w:r>
            <w:r>
              <w:rPr>
                <w:rFonts w:hint="eastAsia"/>
                <w:color w:val="auto"/>
                <w:sz w:val="24"/>
              </w:rPr>
              <w:t>、生产废水</w:t>
            </w:r>
          </w:p>
        </w:tc>
        <w:tc>
          <w:tcPr>
            <w:tcW w:w="1534" w:type="dxa"/>
            <w:vAlign w:val="center"/>
          </w:tcPr>
          <w:p>
            <w:pPr>
              <w:adjustRightInd w:val="0"/>
              <w:snapToGrid w:val="0"/>
              <w:spacing w:line="300" w:lineRule="exact"/>
              <w:jc w:val="center"/>
              <w:rPr>
                <w:color w:val="auto"/>
                <w:sz w:val="24"/>
              </w:rPr>
            </w:pPr>
            <w:r>
              <w:rPr>
                <w:color w:val="auto"/>
                <w:sz w:val="24"/>
              </w:rPr>
              <w:t>COD、氨氮</w:t>
            </w:r>
          </w:p>
        </w:tc>
        <w:tc>
          <w:tcPr>
            <w:tcW w:w="3108" w:type="dxa"/>
            <w:vAlign w:val="center"/>
          </w:tcPr>
          <w:p>
            <w:pPr>
              <w:adjustRightInd w:val="0"/>
              <w:snapToGrid w:val="0"/>
              <w:spacing w:line="300" w:lineRule="exact"/>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生产废水经过厂区污水处理站处理后与生活污水经化粪池处理拉运至嘉荫县污水处理厂</w:t>
            </w:r>
          </w:p>
        </w:tc>
        <w:tc>
          <w:tcPr>
            <w:tcW w:w="2260" w:type="dxa"/>
            <w:vAlign w:val="center"/>
          </w:tcPr>
          <w:p>
            <w:pPr>
              <w:adjustRightInd w:val="0"/>
              <w:snapToGrid w:val="0"/>
              <w:spacing w:line="300" w:lineRule="exact"/>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rPr>
              <w:t>《食品加工制造业水污染物排放标准》（GB46817—2025）间接排放标准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57" w:hRule="atLeast"/>
          <w:jc w:val="center"/>
        </w:trPr>
        <w:tc>
          <w:tcPr>
            <w:tcW w:w="1273" w:type="dxa"/>
            <w:vAlign w:val="center"/>
          </w:tcPr>
          <w:p>
            <w:pPr>
              <w:adjustRightInd w:val="0"/>
              <w:snapToGrid w:val="0"/>
              <w:spacing w:line="300" w:lineRule="exact"/>
              <w:jc w:val="center"/>
              <w:rPr>
                <w:color w:val="auto"/>
                <w:sz w:val="24"/>
              </w:rPr>
            </w:pPr>
            <w:r>
              <w:rPr>
                <w:color w:val="auto"/>
                <w:sz w:val="24"/>
              </w:rPr>
              <w:t>声环境</w:t>
            </w:r>
          </w:p>
        </w:tc>
        <w:tc>
          <w:tcPr>
            <w:tcW w:w="1338" w:type="dxa"/>
            <w:vAlign w:val="center"/>
          </w:tcPr>
          <w:p>
            <w:pPr>
              <w:pStyle w:val="87"/>
              <w:spacing w:line="300" w:lineRule="exact"/>
              <w:rPr>
                <w:color w:val="auto"/>
                <w:sz w:val="24"/>
                <w:szCs w:val="24"/>
              </w:rPr>
            </w:pPr>
            <w:r>
              <w:rPr>
                <w:color w:val="auto"/>
                <w:sz w:val="24"/>
                <w:szCs w:val="24"/>
              </w:rPr>
              <w:t>设备噪声</w:t>
            </w:r>
          </w:p>
        </w:tc>
        <w:tc>
          <w:tcPr>
            <w:tcW w:w="1534" w:type="dxa"/>
            <w:vAlign w:val="center"/>
          </w:tcPr>
          <w:p>
            <w:pPr>
              <w:adjustRightInd w:val="0"/>
              <w:snapToGrid w:val="0"/>
              <w:spacing w:line="300" w:lineRule="exact"/>
              <w:jc w:val="center"/>
              <w:rPr>
                <w:color w:val="auto"/>
                <w:sz w:val="24"/>
              </w:rPr>
            </w:pPr>
            <w:r>
              <w:rPr>
                <w:color w:val="auto"/>
                <w:sz w:val="24"/>
              </w:rPr>
              <w:t>噪声</w:t>
            </w:r>
          </w:p>
        </w:tc>
        <w:tc>
          <w:tcPr>
            <w:tcW w:w="3108" w:type="dxa"/>
            <w:vAlign w:val="center"/>
          </w:tcPr>
          <w:p>
            <w:pPr>
              <w:widowControl/>
              <w:spacing w:line="300" w:lineRule="exact"/>
              <w:jc w:val="center"/>
              <w:rPr>
                <w:color w:val="auto"/>
                <w:sz w:val="24"/>
              </w:rPr>
            </w:pPr>
            <w:r>
              <w:rPr>
                <w:color w:val="auto"/>
                <w:sz w:val="24"/>
              </w:rPr>
              <w:t>低噪声设备、基础减振、厂房隔声</w:t>
            </w:r>
          </w:p>
        </w:tc>
        <w:tc>
          <w:tcPr>
            <w:tcW w:w="2260" w:type="dxa"/>
            <w:vAlign w:val="center"/>
          </w:tcPr>
          <w:p>
            <w:pPr>
              <w:adjustRightInd w:val="0"/>
              <w:snapToGrid w:val="0"/>
              <w:spacing w:line="300" w:lineRule="exact"/>
              <w:jc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bCs/>
                <w:snapToGrid w:val="0"/>
                <w:color w:val="auto"/>
                <w:kern w:val="0"/>
                <w:sz w:val="24"/>
                <w:szCs w:val="24"/>
                <w:highlight w:val="none"/>
              </w:rPr>
              <w:t>厂界噪声</w:t>
            </w:r>
            <w:r>
              <w:rPr>
                <w:rFonts w:hint="eastAsia" w:ascii="Times New Roman" w:hAnsi="Times New Roman" w:eastAsia="宋体"/>
                <w:bCs/>
                <w:snapToGrid w:val="0"/>
                <w:color w:val="auto"/>
                <w:kern w:val="0"/>
                <w:sz w:val="24"/>
                <w:szCs w:val="24"/>
                <w:highlight w:val="none"/>
                <w:lang w:val="en-US" w:eastAsia="zh-CN"/>
              </w:rPr>
              <w:t>执行</w:t>
            </w:r>
            <w:r>
              <w:rPr>
                <w:rFonts w:hint="default" w:ascii="Times New Roman" w:hAnsi="Times New Roman" w:eastAsia="宋体"/>
                <w:bCs/>
                <w:snapToGrid w:val="0"/>
                <w:color w:val="auto"/>
                <w:kern w:val="0"/>
                <w:sz w:val="24"/>
                <w:szCs w:val="24"/>
                <w:highlight w:val="none"/>
              </w:rPr>
              <w:t>《工业企业厂界环境噪声排放标准》（GB12348-2008）中</w:t>
            </w:r>
            <w:r>
              <w:rPr>
                <w:rFonts w:hint="eastAsia"/>
                <w:bCs/>
                <w:snapToGrid w:val="0"/>
                <w:color w:val="auto"/>
                <w:kern w:val="0"/>
                <w:sz w:val="24"/>
                <w:szCs w:val="24"/>
                <w:highlight w:val="none"/>
                <w:lang w:val="en-US" w:eastAsia="zh-CN"/>
              </w:rPr>
              <w:t>2类</w:t>
            </w:r>
            <w:r>
              <w:rPr>
                <w:rFonts w:hint="default" w:ascii="Times New Roman" w:hAnsi="Times New Roman" w:eastAsia="宋体"/>
                <w:bCs/>
                <w:snapToGrid w:val="0"/>
                <w:color w:val="auto"/>
                <w:kern w:val="0"/>
                <w:sz w:val="24"/>
                <w:szCs w:val="24"/>
                <w:highlight w:val="none"/>
              </w:rPr>
              <w:t>标准</w:t>
            </w:r>
            <w:r>
              <w:rPr>
                <w:rFonts w:hint="eastAsia" w:ascii="Times New Roman" w:hAnsi="Times New Roman" w:eastAsia="宋体"/>
                <w:bCs/>
                <w:snapToGrid w:val="0"/>
                <w:color w:val="auto"/>
                <w:kern w:val="0"/>
                <w:sz w:val="24"/>
                <w:szCs w:val="24"/>
                <w:highlight w:val="none"/>
              </w:rPr>
              <w:t>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73" w:type="dxa"/>
            <w:vAlign w:val="center"/>
          </w:tcPr>
          <w:p>
            <w:pPr>
              <w:adjustRightInd w:val="0"/>
              <w:snapToGrid w:val="0"/>
              <w:spacing w:line="300" w:lineRule="exact"/>
              <w:jc w:val="center"/>
              <w:rPr>
                <w:color w:val="auto"/>
                <w:sz w:val="24"/>
              </w:rPr>
            </w:pPr>
            <w:r>
              <w:rPr>
                <w:color w:val="auto"/>
                <w:sz w:val="24"/>
              </w:rPr>
              <w:t>电磁辐射</w:t>
            </w:r>
          </w:p>
        </w:tc>
        <w:tc>
          <w:tcPr>
            <w:tcW w:w="1338" w:type="dxa"/>
            <w:vAlign w:val="center"/>
          </w:tcPr>
          <w:p>
            <w:pPr>
              <w:adjustRightInd w:val="0"/>
              <w:snapToGrid w:val="0"/>
              <w:spacing w:line="300" w:lineRule="exact"/>
              <w:jc w:val="center"/>
              <w:rPr>
                <w:color w:val="auto"/>
                <w:sz w:val="24"/>
              </w:rPr>
            </w:pPr>
            <w:r>
              <w:rPr>
                <w:color w:val="auto"/>
                <w:sz w:val="24"/>
              </w:rPr>
              <w:t>/</w:t>
            </w:r>
          </w:p>
        </w:tc>
        <w:tc>
          <w:tcPr>
            <w:tcW w:w="1534" w:type="dxa"/>
            <w:vAlign w:val="center"/>
          </w:tcPr>
          <w:p>
            <w:pPr>
              <w:adjustRightInd w:val="0"/>
              <w:snapToGrid w:val="0"/>
              <w:spacing w:line="300" w:lineRule="exact"/>
              <w:jc w:val="center"/>
              <w:rPr>
                <w:color w:val="auto"/>
                <w:sz w:val="24"/>
              </w:rPr>
            </w:pPr>
            <w:r>
              <w:rPr>
                <w:color w:val="auto"/>
                <w:sz w:val="24"/>
              </w:rPr>
              <w:t>/</w:t>
            </w:r>
          </w:p>
        </w:tc>
        <w:tc>
          <w:tcPr>
            <w:tcW w:w="3108" w:type="dxa"/>
            <w:vAlign w:val="center"/>
          </w:tcPr>
          <w:p>
            <w:pPr>
              <w:adjustRightInd w:val="0"/>
              <w:snapToGrid w:val="0"/>
              <w:spacing w:line="300" w:lineRule="exact"/>
              <w:jc w:val="center"/>
              <w:rPr>
                <w:color w:val="auto"/>
                <w:sz w:val="24"/>
              </w:rPr>
            </w:pPr>
            <w:r>
              <w:rPr>
                <w:color w:val="auto"/>
                <w:sz w:val="24"/>
              </w:rPr>
              <w:t>/</w:t>
            </w:r>
          </w:p>
        </w:tc>
        <w:tc>
          <w:tcPr>
            <w:tcW w:w="2260" w:type="dxa"/>
            <w:vAlign w:val="center"/>
          </w:tcPr>
          <w:p>
            <w:pPr>
              <w:adjustRightInd w:val="0"/>
              <w:snapToGrid w:val="0"/>
              <w:spacing w:line="300" w:lineRule="exact"/>
              <w:jc w:val="center"/>
              <w:rPr>
                <w:color w:val="auto"/>
                <w:sz w:val="24"/>
              </w:rPr>
            </w:pPr>
            <w:r>
              <w:rPr>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73" w:type="dxa"/>
            <w:vMerge w:val="restart"/>
            <w:vAlign w:val="center"/>
          </w:tcPr>
          <w:p>
            <w:pPr>
              <w:adjustRightInd w:val="0"/>
              <w:snapToGrid w:val="0"/>
              <w:spacing w:line="300" w:lineRule="exact"/>
              <w:jc w:val="center"/>
              <w:rPr>
                <w:color w:val="auto"/>
                <w:sz w:val="24"/>
              </w:rPr>
            </w:pPr>
            <w:r>
              <w:rPr>
                <w:color w:val="auto"/>
                <w:sz w:val="24"/>
              </w:rPr>
              <w:t>固体废物</w:t>
            </w:r>
          </w:p>
        </w:tc>
        <w:tc>
          <w:tcPr>
            <w:tcW w:w="1338" w:type="dxa"/>
            <w:vAlign w:val="center"/>
          </w:tcPr>
          <w:p>
            <w:pPr>
              <w:adjustRightInd w:val="0"/>
              <w:snapToGrid w:val="0"/>
              <w:spacing w:line="300" w:lineRule="exact"/>
              <w:jc w:val="center"/>
              <w:rPr>
                <w:color w:val="auto"/>
                <w:sz w:val="24"/>
              </w:rPr>
            </w:pPr>
            <w:r>
              <w:rPr>
                <w:bCs/>
                <w:color w:val="auto"/>
                <w:sz w:val="24"/>
              </w:rPr>
              <w:t>职工</w:t>
            </w:r>
          </w:p>
        </w:tc>
        <w:tc>
          <w:tcPr>
            <w:tcW w:w="1534" w:type="dxa"/>
            <w:vAlign w:val="center"/>
          </w:tcPr>
          <w:p>
            <w:pPr>
              <w:adjustRightInd w:val="0"/>
              <w:snapToGrid w:val="0"/>
              <w:spacing w:line="300" w:lineRule="exact"/>
              <w:jc w:val="center"/>
              <w:rPr>
                <w:color w:val="auto"/>
                <w:sz w:val="24"/>
                <w:szCs w:val="24"/>
              </w:rPr>
            </w:pPr>
            <w:r>
              <w:rPr>
                <w:color w:val="auto"/>
                <w:sz w:val="24"/>
                <w:szCs w:val="24"/>
              </w:rPr>
              <w:t>生活垃圾</w:t>
            </w:r>
          </w:p>
        </w:tc>
        <w:tc>
          <w:tcPr>
            <w:tcW w:w="3108" w:type="dxa"/>
            <w:vAlign w:val="center"/>
          </w:tcPr>
          <w:p>
            <w:pPr>
              <w:adjustRightInd w:val="0"/>
              <w:snapToGrid w:val="0"/>
              <w:spacing w:line="300" w:lineRule="exact"/>
              <w:jc w:val="center"/>
              <w:rPr>
                <w:color w:val="auto"/>
                <w:sz w:val="24"/>
                <w:szCs w:val="24"/>
              </w:rPr>
            </w:pPr>
            <w:r>
              <w:rPr>
                <w:rFonts w:hint="eastAsia"/>
                <w:color w:val="auto"/>
                <w:sz w:val="24"/>
                <w:szCs w:val="24"/>
                <w:highlight w:val="none"/>
                <w:lang w:val="en-US" w:eastAsia="zh-CN"/>
              </w:rPr>
              <w:t>统一收集，</w:t>
            </w:r>
            <w:r>
              <w:rPr>
                <w:rFonts w:hint="eastAsia"/>
                <w:bCs/>
                <w:color w:val="auto"/>
                <w:sz w:val="24"/>
                <w:szCs w:val="24"/>
                <w:lang w:eastAsia="zh-CN"/>
              </w:rPr>
              <w:t>定期交由环卫部门处置</w:t>
            </w:r>
          </w:p>
        </w:tc>
        <w:tc>
          <w:tcPr>
            <w:tcW w:w="2260" w:type="dxa"/>
            <w:vAlign w:val="center"/>
          </w:tcPr>
          <w:p>
            <w:pPr>
              <w:adjustRightInd w:val="0"/>
              <w:snapToGrid w:val="0"/>
              <w:spacing w:line="300" w:lineRule="exact"/>
              <w:jc w:val="center"/>
              <w:rPr>
                <w:rFonts w:hint="eastAsia" w:eastAsia="宋体"/>
                <w:color w:val="auto"/>
                <w:sz w:val="24"/>
                <w:lang w:val="en-US" w:eastAsia="zh-CN"/>
              </w:rPr>
            </w:pPr>
            <w:r>
              <w:rPr>
                <w:rFonts w:hint="eastAsia"/>
                <w:color w:val="auto"/>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1273" w:type="dxa"/>
            <w:vMerge w:val="continue"/>
            <w:vAlign w:val="center"/>
          </w:tcPr>
          <w:p>
            <w:pPr>
              <w:adjustRightInd w:val="0"/>
              <w:snapToGrid w:val="0"/>
              <w:spacing w:line="300" w:lineRule="exact"/>
              <w:jc w:val="center"/>
              <w:rPr>
                <w:color w:val="auto"/>
                <w:sz w:val="24"/>
              </w:rPr>
            </w:pPr>
          </w:p>
        </w:tc>
        <w:tc>
          <w:tcPr>
            <w:tcW w:w="1338" w:type="dxa"/>
            <w:vMerge w:val="restart"/>
            <w:vAlign w:val="center"/>
          </w:tcPr>
          <w:p>
            <w:pPr>
              <w:adjustRightInd w:val="0"/>
              <w:snapToGrid w:val="0"/>
              <w:spacing w:line="300" w:lineRule="exact"/>
              <w:jc w:val="center"/>
              <w:rPr>
                <w:bCs/>
                <w:color w:val="auto"/>
                <w:sz w:val="24"/>
              </w:rPr>
            </w:pPr>
            <w:r>
              <w:rPr>
                <w:bCs/>
                <w:color w:val="auto"/>
                <w:sz w:val="24"/>
              </w:rPr>
              <w:t>生产工序</w:t>
            </w:r>
          </w:p>
        </w:tc>
        <w:tc>
          <w:tcPr>
            <w:tcW w:w="1534" w:type="dxa"/>
            <w:vAlign w:val="center"/>
          </w:tcPr>
          <w:p>
            <w:pPr>
              <w:adjustRightInd w:val="0"/>
              <w:snapToGrid w:val="0"/>
              <w:spacing w:line="300" w:lineRule="exact"/>
              <w:jc w:val="center"/>
              <w:rPr>
                <w:color w:val="auto"/>
                <w:sz w:val="24"/>
              </w:rPr>
            </w:pPr>
            <w:r>
              <w:rPr>
                <w:rFonts w:hint="eastAsia"/>
                <w:color w:val="auto"/>
                <w:sz w:val="24"/>
              </w:rPr>
              <w:t>废弃包装</w:t>
            </w:r>
          </w:p>
        </w:tc>
        <w:tc>
          <w:tcPr>
            <w:tcW w:w="3108" w:type="dxa"/>
            <w:vAlign w:val="center"/>
          </w:tcPr>
          <w:p>
            <w:pPr>
              <w:adjustRightInd w:val="0"/>
              <w:snapToGrid w:val="0"/>
              <w:spacing w:line="300" w:lineRule="exact"/>
              <w:jc w:val="center"/>
              <w:rPr>
                <w:color w:val="auto"/>
                <w:sz w:val="24"/>
                <w:szCs w:val="24"/>
              </w:rPr>
            </w:pPr>
            <w:r>
              <w:rPr>
                <w:rFonts w:hint="eastAsia"/>
                <w:color w:val="auto"/>
                <w:sz w:val="24"/>
                <w:szCs w:val="24"/>
              </w:rPr>
              <w:t>外售综合利用</w:t>
            </w:r>
          </w:p>
        </w:tc>
        <w:tc>
          <w:tcPr>
            <w:tcW w:w="2260" w:type="dxa"/>
            <w:vMerge w:val="restart"/>
            <w:shd w:val="clear" w:color="auto" w:fill="auto"/>
            <w:vAlign w:val="center"/>
          </w:tcPr>
          <w:p>
            <w:pPr>
              <w:adjustRightInd w:val="0"/>
              <w:snapToGrid w:val="0"/>
              <w:spacing w:line="300" w:lineRule="exact"/>
              <w:jc w:val="center"/>
              <w:rPr>
                <w:rFonts w:ascii="Times New Roman" w:hAnsi="Times New Roman" w:eastAsia="宋体" w:cs="Times New Roman"/>
                <w:color w:val="auto"/>
                <w:kern w:val="2"/>
                <w:sz w:val="24"/>
                <w:szCs w:val="24"/>
                <w:lang w:val="en-US" w:eastAsia="zh-CN" w:bidi="ar-SA"/>
              </w:rPr>
            </w:pPr>
            <w:r>
              <w:rPr>
                <w:color w:val="auto"/>
                <w:sz w:val="24"/>
              </w:rPr>
              <w:t>《一般工业固体废物贮存和填埋污染控制标准》（GB18599-2020）标准，处置率100%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1273" w:type="dxa"/>
            <w:vMerge w:val="continue"/>
            <w:vAlign w:val="center"/>
          </w:tcPr>
          <w:p>
            <w:pPr>
              <w:adjustRightInd w:val="0"/>
              <w:snapToGrid w:val="0"/>
              <w:spacing w:line="300" w:lineRule="exact"/>
              <w:jc w:val="center"/>
              <w:rPr>
                <w:color w:val="auto"/>
                <w:sz w:val="24"/>
              </w:rPr>
            </w:pPr>
          </w:p>
        </w:tc>
        <w:tc>
          <w:tcPr>
            <w:tcW w:w="1338" w:type="dxa"/>
            <w:vMerge w:val="continue"/>
            <w:vAlign w:val="center"/>
          </w:tcPr>
          <w:p>
            <w:pPr>
              <w:adjustRightInd w:val="0"/>
              <w:snapToGrid w:val="0"/>
              <w:spacing w:line="300" w:lineRule="exact"/>
              <w:jc w:val="center"/>
              <w:rPr>
                <w:bCs/>
                <w:color w:val="auto"/>
                <w:sz w:val="24"/>
              </w:rPr>
            </w:pPr>
          </w:p>
        </w:tc>
        <w:tc>
          <w:tcPr>
            <w:tcW w:w="1534" w:type="dxa"/>
            <w:vAlign w:val="center"/>
          </w:tcPr>
          <w:p>
            <w:pPr>
              <w:adjustRightInd w:val="0"/>
              <w:snapToGrid w:val="0"/>
              <w:spacing w:line="300" w:lineRule="exact"/>
              <w:jc w:val="center"/>
              <w:rPr>
                <w:rFonts w:hint="eastAsia" w:eastAsia="宋体"/>
                <w:color w:val="auto"/>
                <w:sz w:val="24"/>
                <w:lang w:val="en-US" w:eastAsia="zh-CN"/>
              </w:rPr>
            </w:pPr>
            <w:r>
              <w:rPr>
                <w:rFonts w:hint="eastAsia"/>
                <w:color w:val="auto"/>
                <w:sz w:val="24"/>
                <w:lang w:val="en-US" w:eastAsia="zh-CN"/>
              </w:rPr>
              <w:t>滤渣</w:t>
            </w:r>
          </w:p>
        </w:tc>
        <w:tc>
          <w:tcPr>
            <w:tcW w:w="3108" w:type="dxa"/>
            <w:vAlign w:val="center"/>
          </w:tcPr>
          <w:p>
            <w:pPr>
              <w:adjustRightInd w:val="0"/>
              <w:snapToGrid w:val="0"/>
              <w:spacing w:line="300" w:lineRule="exact"/>
              <w:jc w:val="center"/>
              <w:rPr>
                <w:rFonts w:hint="eastAsia"/>
                <w:color w:val="auto"/>
                <w:sz w:val="24"/>
                <w:szCs w:val="24"/>
              </w:rPr>
            </w:pPr>
            <w:r>
              <w:rPr>
                <w:rFonts w:hint="eastAsia"/>
                <w:color w:val="auto"/>
                <w:sz w:val="24"/>
                <w:szCs w:val="24"/>
              </w:rPr>
              <w:t>外售综合利用</w:t>
            </w:r>
          </w:p>
        </w:tc>
        <w:tc>
          <w:tcPr>
            <w:tcW w:w="2260" w:type="dxa"/>
            <w:vMerge w:val="continue"/>
            <w:shd w:val="clear" w:color="auto" w:fill="auto"/>
            <w:vAlign w:val="center"/>
          </w:tcPr>
          <w:p>
            <w:pPr>
              <w:adjustRightInd w:val="0"/>
              <w:snapToGrid w:val="0"/>
              <w:spacing w:line="300" w:lineRule="exact"/>
              <w:jc w:val="center"/>
              <w:rPr>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273" w:type="dxa"/>
            <w:vMerge w:val="continue"/>
            <w:vAlign w:val="center"/>
          </w:tcPr>
          <w:p>
            <w:pPr>
              <w:adjustRightInd w:val="0"/>
              <w:snapToGrid w:val="0"/>
              <w:spacing w:line="300" w:lineRule="exact"/>
              <w:jc w:val="center"/>
              <w:rPr>
                <w:color w:val="auto"/>
                <w:sz w:val="24"/>
              </w:rPr>
            </w:pPr>
          </w:p>
        </w:tc>
        <w:tc>
          <w:tcPr>
            <w:tcW w:w="1338" w:type="dxa"/>
            <w:vMerge w:val="continue"/>
            <w:vAlign w:val="center"/>
          </w:tcPr>
          <w:p>
            <w:pPr>
              <w:adjustRightInd w:val="0"/>
              <w:snapToGrid w:val="0"/>
              <w:spacing w:line="300" w:lineRule="exact"/>
              <w:jc w:val="center"/>
              <w:rPr>
                <w:bCs/>
                <w:color w:val="auto"/>
                <w:sz w:val="24"/>
              </w:rPr>
            </w:pPr>
          </w:p>
        </w:tc>
        <w:tc>
          <w:tcPr>
            <w:tcW w:w="1534" w:type="dxa"/>
            <w:vAlign w:val="center"/>
          </w:tcPr>
          <w:p>
            <w:pPr>
              <w:adjustRightInd w:val="0"/>
              <w:snapToGrid w:val="0"/>
              <w:spacing w:line="300" w:lineRule="exact"/>
              <w:jc w:val="center"/>
              <w:rPr>
                <w:color w:val="auto"/>
                <w:sz w:val="24"/>
              </w:rPr>
            </w:pPr>
            <w:r>
              <w:rPr>
                <w:rFonts w:hint="eastAsia"/>
                <w:color w:val="auto"/>
                <w:sz w:val="24"/>
              </w:rPr>
              <w:t>污泥</w:t>
            </w:r>
          </w:p>
        </w:tc>
        <w:tc>
          <w:tcPr>
            <w:tcW w:w="3108" w:type="dxa"/>
            <w:vAlign w:val="center"/>
          </w:tcPr>
          <w:p>
            <w:pPr>
              <w:adjustRightInd w:val="0"/>
              <w:snapToGrid w:val="0"/>
              <w:spacing w:line="300" w:lineRule="exact"/>
              <w:jc w:val="center"/>
              <w:rPr>
                <w:rFonts w:hint="default" w:eastAsia="宋体"/>
                <w:color w:val="auto"/>
                <w:sz w:val="24"/>
                <w:szCs w:val="24"/>
                <w:lang w:val="en-US" w:eastAsia="zh-CN"/>
              </w:rPr>
            </w:pPr>
            <w:r>
              <w:rPr>
                <w:rFonts w:hint="eastAsia"/>
                <w:color w:val="auto"/>
                <w:sz w:val="24"/>
                <w:szCs w:val="24"/>
                <w:lang w:val="en-US" w:eastAsia="zh-CN"/>
              </w:rPr>
              <w:t>送往垃圾填埋场处理</w:t>
            </w:r>
          </w:p>
        </w:tc>
        <w:tc>
          <w:tcPr>
            <w:tcW w:w="2260" w:type="dxa"/>
            <w:vMerge w:val="continue"/>
            <w:vAlign w:val="center"/>
          </w:tcPr>
          <w:p>
            <w:pPr>
              <w:adjustRightInd w:val="0"/>
              <w:snapToGrid w:val="0"/>
              <w:spacing w:line="300" w:lineRule="exact"/>
              <w:jc w:val="center"/>
              <w:rPr>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1273" w:type="dxa"/>
            <w:vMerge w:val="continue"/>
            <w:vAlign w:val="center"/>
          </w:tcPr>
          <w:p>
            <w:pPr>
              <w:adjustRightInd w:val="0"/>
              <w:snapToGrid w:val="0"/>
              <w:spacing w:line="300" w:lineRule="exact"/>
              <w:jc w:val="center"/>
              <w:rPr>
                <w:color w:val="auto"/>
                <w:sz w:val="24"/>
              </w:rPr>
            </w:pPr>
          </w:p>
        </w:tc>
        <w:tc>
          <w:tcPr>
            <w:tcW w:w="1338" w:type="dxa"/>
            <w:vMerge w:val="continue"/>
            <w:vAlign w:val="center"/>
          </w:tcPr>
          <w:p>
            <w:pPr>
              <w:adjustRightInd w:val="0"/>
              <w:snapToGrid w:val="0"/>
              <w:spacing w:line="300" w:lineRule="exact"/>
              <w:jc w:val="center"/>
              <w:rPr>
                <w:bCs/>
                <w:color w:val="auto"/>
                <w:sz w:val="24"/>
              </w:rPr>
            </w:pPr>
          </w:p>
        </w:tc>
        <w:tc>
          <w:tcPr>
            <w:tcW w:w="1534" w:type="dxa"/>
            <w:vAlign w:val="center"/>
          </w:tcPr>
          <w:p>
            <w:pPr>
              <w:adjustRightInd w:val="0"/>
              <w:snapToGrid w:val="0"/>
              <w:spacing w:line="300" w:lineRule="exact"/>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废活性炭</w:t>
            </w:r>
          </w:p>
        </w:tc>
        <w:tc>
          <w:tcPr>
            <w:tcW w:w="3108" w:type="dxa"/>
            <w:vAlign w:val="center"/>
          </w:tcPr>
          <w:p>
            <w:pPr>
              <w:adjustRightInd w:val="0"/>
              <w:snapToGrid w:val="0"/>
              <w:spacing w:line="300" w:lineRule="exact"/>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厂家回收处置</w:t>
            </w:r>
          </w:p>
        </w:tc>
        <w:tc>
          <w:tcPr>
            <w:tcW w:w="2260" w:type="dxa"/>
            <w:vMerge w:val="continue"/>
            <w:vAlign w:val="center"/>
          </w:tcPr>
          <w:p>
            <w:pPr>
              <w:adjustRightInd w:val="0"/>
              <w:snapToGrid w:val="0"/>
              <w:spacing w:line="300" w:lineRule="exact"/>
              <w:jc w:val="center"/>
              <w:rPr>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jc w:val="center"/>
        </w:trPr>
        <w:tc>
          <w:tcPr>
            <w:tcW w:w="1273" w:type="dxa"/>
            <w:vAlign w:val="center"/>
          </w:tcPr>
          <w:p>
            <w:pPr>
              <w:adjustRightInd w:val="0"/>
              <w:snapToGrid w:val="0"/>
              <w:spacing w:line="300" w:lineRule="exact"/>
              <w:jc w:val="center"/>
              <w:rPr>
                <w:color w:val="auto"/>
                <w:sz w:val="24"/>
              </w:rPr>
            </w:pPr>
            <w:r>
              <w:rPr>
                <w:color w:val="auto"/>
                <w:sz w:val="24"/>
              </w:rPr>
              <w:t>土壤及地下水污染防治措施</w:t>
            </w:r>
          </w:p>
        </w:tc>
        <w:tc>
          <w:tcPr>
            <w:tcW w:w="8240" w:type="dxa"/>
            <w:gridSpan w:val="4"/>
            <w:vAlign w:val="center"/>
          </w:tcPr>
          <w:p>
            <w:pPr>
              <w:adjustRightInd w:val="0"/>
              <w:snapToGrid w:val="0"/>
              <w:spacing w:line="300" w:lineRule="exact"/>
              <w:jc w:val="center"/>
              <w:rPr>
                <w:rFonts w:hint="default"/>
                <w:color w:val="auto"/>
                <w:sz w:val="24"/>
                <w:lang w:val="en-US"/>
              </w:rPr>
            </w:pPr>
            <w:r>
              <w:rPr>
                <w:rFonts w:hint="eastAsia" w:cs="Times New Roman"/>
                <w:color w:val="auto"/>
                <w:kern w:val="2"/>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1273" w:type="dxa"/>
            <w:vAlign w:val="center"/>
          </w:tcPr>
          <w:p>
            <w:pPr>
              <w:adjustRightInd w:val="0"/>
              <w:snapToGrid w:val="0"/>
              <w:spacing w:line="300" w:lineRule="exact"/>
              <w:jc w:val="center"/>
              <w:rPr>
                <w:color w:val="auto"/>
                <w:sz w:val="24"/>
              </w:rPr>
            </w:pPr>
            <w:r>
              <w:rPr>
                <w:color w:val="auto"/>
                <w:sz w:val="24"/>
              </w:rPr>
              <w:t>生态保护措施</w:t>
            </w:r>
          </w:p>
        </w:tc>
        <w:tc>
          <w:tcPr>
            <w:tcW w:w="8240" w:type="dxa"/>
            <w:gridSpan w:val="4"/>
            <w:vAlign w:val="center"/>
          </w:tcPr>
          <w:p>
            <w:pPr>
              <w:adjustRightInd w:val="0"/>
              <w:snapToGrid w:val="0"/>
              <w:spacing w:line="300" w:lineRule="exact"/>
              <w:jc w:val="center"/>
              <w:rPr>
                <w:color w:val="auto"/>
                <w:sz w:val="24"/>
              </w:rPr>
            </w:pPr>
            <w:r>
              <w:rPr>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273" w:type="dxa"/>
            <w:vAlign w:val="center"/>
          </w:tcPr>
          <w:p>
            <w:pPr>
              <w:adjustRightInd w:val="0"/>
              <w:snapToGrid w:val="0"/>
              <w:spacing w:line="300" w:lineRule="exact"/>
              <w:jc w:val="center"/>
              <w:rPr>
                <w:color w:val="auto"/>
                <w:spacing w:val="-8"/>
                <w:sz w:val="24"/>
              </w:rPr>
            </w:pPr>
            <w:r>
              <w:rPr>
                <w:color w:val="auto"/>
                <w:spacing w:val="-8"/>
                <w:sz w:val="24"/>
              </w:rPr>
              <w:t>环境风险</w:t>
            </w:r>
          </w:p>
          <w:p>
            <w:pPr>
              <w:adjustRightInd w:val="0"/>
              <w:snapToGrid w:val="0"/>
              <w:spacing w:line="300" w:lineRule="exact"/>
              <w:jc w:val="center"/>
              <w:rPr>
                <w:color w:val="auto"/>
                <w:spacing w:val="-8"/>
                <w:sz w:val="24"/>
              </w:rPr>
            </w:pPr>
            <w:r>
              <w:rPr>
                <w:color w:val="auto"/>
                <w:spacing w:val="-8"/>
                <w:sz w:val="24"/>
              </w:rPr>
              <w:t>防范措施</w:t>
            </w:r>
          </w:p>
        </w:tc>
        <w:tc>
          <w:tcPr>
            <w:tcW w:w="8240" w:type="dxa"/>
            <w:gridSpan w:val="4"/>
            <w:vAlign w:val="center"/>
          </w:tcPr>
          <w:p>
            <w:pPr>
              <w:spacing w:line="300" w:lineRule="exact"/>
              <w:jc w:val="center"/>
              <w:rPr>
                <w:rFonts w:hint="default" w:eastAsia="宋体"/>
                <w:color w:val="auto"/>
                <w:sz w:val="24"/>
                <w:lang w:val="en-US" w:eastAsia="zh-CN"/>
              </w:rPr>
            </w:pPr>
            <w:r>
              <w:rPr>
                <w:rFonts w:hint="eastAsia"/>
                <w:color w:val="auto"/>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1273" w:type="dxa"/>
            <w:vAlign w:val="center"/>
          </w:tcPr>
          <w:p>
            <w:pPr>
              <w:adjustRightInd w:val="0"/>
              <w:snapToGrid w:val="0"/>
              <w:spacing w:line="300" w:lineRule="exact"/>
              <w:jc w:val="center"/>
              <w:rPr>
                <w:color w:val="auto"/>
                <w:spacing w:val="-8"/>
                <w:sz w:val="24"/>
              </w:rPr>
            </w:pPr>
            <w:r>
              <w:rPr>
                <w:color w:val="auto"/>
                <w:spacing w:val="-8"/>
                <w:sz w:val="24"/>
              </w:rPr>
              <w:t>其他环境</w:t>
            </w:r>
          </w:p>
          <w:p>
            <w:pPr>
              <w:adjustRightInd w:val="0"/>
              <w:snapToGrid w:val="0"/>
              <w:spacing w:line="300" w:lineRule="exact"/>
              <w:jc w:val="center"/>
              <w:rPr>
                <w:color w:val="auto"/>
                <w:spacing w:val="-8"/>
                <w:sz w:val="24"/>
              </w:rPr>
            </w:pPr>
            <w:r>
              <w:rPr>
                <w:color w:val="auto"/>
                <w:spacing w:val="-8"/>
                <w:sz w:val="24"/>
              </w:rPr>
              <w:t>管理要求</w:t>
            </w:r>
          </w:p>
        </w:tc>
        <w:tc>
          <w:tcPr>
            <w:tcW w:w="8240"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color w:val="auto"/>
                <w:sz w:val="24"/>
              </w:rPr>
            </w:pPr>
            <w:r>
              <w:rPr>
                <w:rFonts w:hint="eastAsia" w:ascii="Times New Roman" w:hAnsi="Times New Roman" w:eastAsia="宋体" w:cs="Times New Roman"/>
                <w:color w:val="auto"/>
                <w:sz w:val="24"/>
                <w:szCs w:val="24"/>
                <w:highlight w:val="none"/>
                <w:lang w:val="en-US" w:eastAsia="zh-CN"/>
              </w:rPr>
              <w:t>根据《固定污染源排污许可分类管理名录》（2019年版），本项目</w:t>
            </w:r>
            <w:r>
              <w:rPr>
                <w:rFonts w:hint="eastAsia" w:cs="Times New Roman"/>
                <w:color w:val="auto"/>
                <w:sz w:val="24"/>
                <w:szCs w:val="24"/>
                <w:highlight w:val="none"/>
                <w:lang w:val="en-US" w:eastAsia="zh-CN"/>
              </w:rPr>
              <w:t>为营养食品制造，属于</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九、食品制造业14中的17方便食品制造143，其他食品制造149中的其他</w:t>
            </w:r>
            <w:r>
              <w:rPr>
                <w:rFonts w:hint="eastAsia" w:ascii="Times New Roman" w:hAnsi="Times New Roman" w:eastAsia="宋体" w:cs="Times New Roman"/>
                <w:color w:val="auto"/>
                <w:sz w:val="24"/>
                <w:szCs w:val="24"/>
                <w:highlight w:val="none"/>
                <w:lang w:val="en-US" w:eastAsia="zh-CN"/>
              </w:rPr>
              <w:t>”，需要进行排污许可</w:t>
            </w:r>
            <w:r>
              <w:rPr>
                <w:rFonts w:hint="eastAsia" w:cs="Times New Roman"/>
                <w:color w:val="auto"/>
                <w:sz w:val="24"/>
                <w:szCs w:val="24"/>
                <w:highlight w:val="none"/>
                <w:lang w:val="en-US" w:eastAsia="zh-CN"/>
              </w:rPr>
              <w:t>登记</w:t>
            </w:r>
            <w:r>
              <w:rPr>
                <w:rFonts w:hint="eastAsia" w:ascii="Times New Roman" w:hAnsi="Times New Roman" w:eastAsia="宋体" w:cs="Times New Roman"/>
                <w:color w:val="auto"/>
                <w:sz w:val="24"/>
                <w:szCs w:val="24"/>
                <w:highlight w:val="none"/>
                <w:lang w:val="en-US" w:eastAsia="zh-CN"/>
              </w:rPr>
              <w:t>管理。</w:t>
            </w:r>
          </w:p>
        </w:tc>
      </w:tr>
    </w:tbl>
    <w:p>
      <w:pPr>
        <w:pStyle w:val="24"/>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bookmarkStart w:id="318" w:name="_Toc21918"/>
      <w:r>
        <w:rPr>
          <w:rFonts w:ascii="Times New Roman" w:hAnsi="Times New Roman" w:eastAsia="黑体"/>
          <w:snapToGrid w:val="0"/>
          <w:color w:val="auto"/>
          <w:sz w:val="30"/>
          <w:szCs w:val="30"/>
        </w:rPr>
        <w:t>六、结论</w:t>
      </w:r>
      <w:bookmarkEnd w:id="318"/>
    </w:p>
    <w:tbl>
      <w:tblPr>
        <w:tblStyle w:val="29"/>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9638" w:type="dxa"/>
            <w:vAlign w:val="top"/>
          </w:tcPr>
          <w:p>
            <w:pPr>
              <w:spacing w:line="360" w:lineRule="auto"/>
              <w:ind w:firstLine="480" w:firstLineChars="200"/>
              <w:rPr>
                <w:bCs/>
                <w:color w:val="auto"/>
                <w:sz w:val="24"/>
              </w:rPr>
            </w:pPr>
            <w:r>
              <w:rPr>
                <w:bCs/>
                <w:color w:val="auto"/>
                <w:sz w:val="24"/>
              </w:rPr>
              <w:t>综上所述，本项目符合国家及地方相关产业政策，选址合理，符合当地区域规划；企业采用的污染防治措施可使污染物达标排放。本项目运营时须严格落实环境影响报告表和工程设计提出的环保对策及措施，严格执行“三同时”制度，确保项目所产生的污染物达标排放。因此，从环境角度考虑，本项目建设是可行的。</w:t>
            </w:r>
          </w:p>
          <w:p>
            <w:pPr>
              <w:widowControl/>
              <w:spacing w:line="480" w:lineRule="atLeast"/>
              <w:ind w:firstLine="420"/>
              <w:rPr>
                <w:rFonts w:hint="eastAsia" w:eastAsia="宋体"/>
                <w:color w:val="auto"/>
                <w:kern w:val="0"/>
                <w:sz w:val="24"/>
                <w:lang w:val="en-US" w:eastAsia="zh-CN"/>
              </w:rPr>
            </w:pPr>
            <w:r>
              <w:rPr>
                <w:rFonts w:hint="eastAsia"/>
                <w:color w:val="auto"/>
                <w:kern w:val="0"/>
                <w:sz w:val="24"/>
                <w:lang w:val="en-US" w:eastAsia="zh-CN"/>
              </w:rPr>
              <w:t xml:space="preserve"> </w:t>
            </w:r>
          </w:p>
          <w:p>
            <w:pPr>
              <w:spacing w:line="360" w:lineRule="auto"/>
              <w:rPr>
                <w:color w:val="auto"/>
                <w:sz w:val="24"/>
              </w:rPr>
            </w:pPr>
          </w:p>
        </w:tc>
      </w:tr>
    </w:tbl>
    <w:p>
      <w:pPr>
        <w:rPr>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4"/>
        <w:adjustRightInd w:val="0"/>
        <w:spacing w:before="0" w:beforeAutospacing="0" w:after="0" w:afterAutospacing="0" w:line="360" w:lineRule="auto"/>
        <w:outlineLvl w:val="0"/>
        <w:rPr>
          <w:rFonts w:ascii="Times New Roman" w:hAnsi="Times New Roman" w:eastAsia="黑体"/>
          <w:snapToGrid w:val="0"/>
          <w:color w:val="auto"/>
          <w:sz w:val="32"/>
          <w:szCs w:val="32"/>
        </w:rPr>
      </w:pPr>
      <w:bookmarkStart w:id="319" w:name="_Toc12510"/>
      <w:bookmarkStart w:id="320" w:name="_Toc23468"/>
      <w:bookmarkStart w:id="321" w:name="_Toc80034807"/>
      <w:bookmarkStart w:id="322" w:name="_Toc10678"/>
      <w:bookmarkStart w:id="323" w:name="_Toc7567"/>
      <w:r>
        <w:rPr>
          <w:rFonts w:ascii="Times New Roman" w:hAnsi="Times New Roman" w:eastAsia="黑体"/>
          <w:snapToGrid w:val="0"/>
          <w:color w:val="auto"/>
          <w:sz w:val="32"/>
          <w:szCs w:val="32"/>
        </w:rPr>
        <w:t>附表</w:t>
      </w:r>
      <w:bookmarkEnd w:id="319"/>
      <w:bookmarkEnd w:id="320"/>
      <w:bookmarkEnd w:id="321"/>
      <w:bookmarkEnd w:id="322"/>
      <w:bookmarkEnd w:id="323"/>
    </w:p>
    <w:p>
      <w:pPr>
        <w:pStyle w:val="24"/>
        <w:adjustRightInd w:val="0"/>
        <w:snapToGrid w:val="0"/>
        <w:spacing w:before="0" w:beforeAutospacing="0" w:after="0" w:afterAutospacing="0" w:line="360" w:lineRule="auto"/>
        <w:jc w:val="center"/>
        <w:outlineLvl w:val="0"/>
        <w:rPr>
          <w:rFonts w:ascii="Times New Roman" w:hAnsi="Times New Roman" w:eastAsia="方正小标宋_GBK"/>
          <w:snapToGrid w:val="0"/>
          <w:color w:val="auto"/>
          <w:sz w:val="38"/>
          <w:szCs w:val="38"/>
          <w:highlight w:val="none"/>
        </w:rPr>
      </w:pPr>
      <w:bookmarkStart w:id="324" w:name="_Toc13052"/>
      <w:bookmarkStart w:id="325" w:name="_Toc18868"/>
      <w:bookmarkStart w:id="326" w:name="_Toc80034808"/>
      <w:bookmarkStart w:id="327" w:name="_Toc2917"/>
      <w:r>
        <w:rPr>
          <w:rFonts w:ascii="Times New Roman" w:hAnsi="Times New Roman" w:eastAsia="方正小标宋_GBK"/>
          <w:snapToGrid w:val="0"/>
          <w:color w:val="auto"/>
          <w:sz w:val="38"/>
          <w:szCs w:val="38"/>
          <w:highlight w:val="none"/>
        </w:rPr>
        <w:t>建设项目污染物排放量汇总表</w:t>
      </w:r>
      <w:bookmarkEnd w:id="324"/>
      <w:bookmarkEnd w:id="325"/>
      <w:bookmarkEnd w:id="326"/>
      <w:bookmarkEnd w:id="327"/>
    </w:p>
    <w:tbl>
      <w:tblPr>
        <w:tblStyle w:val="29"/>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1996"/>
        <w:gridCol w:w="1701"/>
        <w:gridCol w:w="1276"/>
        <w:gridCol w:w="1701"/>
        <w:gridCol w:w="1559"/>
        <w:gridCol w:w="1497"/>
        <w:gridCol w:w="1792"/>
        <w:gridCol w:w="12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009" w:type="dxa"/>
            <w:tcBorders>
              <w:tl2br w:val="single" w:color="auto" w:sz="4" w:space="0"/>
            </w:tcBorders>
            <w:tcMar>
              <w:left w:w="28" w:type="dxa"/>
              <w:right w:w="28" w:type="dxa"/>
            </w:tcMar>
            <w:vAlign w:val="center"/>
          </w:tcPr>
          <w:p>
            <w:pPr>
              <w:pStyle w:val="42"/>
              <w:spacing w:beforeLines="0" w:afterLines="0" w:line="240" w:lineRule="auto"/>
              <w:jc w:val="right"/>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项目</w:t>
            </w:r>
          </w:p>
          <w:p>
            <w:pPr>
              <w:pStyle w:val="42"/>
              <w:spacing w:beforeLines="0" w:afterLines="0" w:line="240" w:lineRule="auto"/>
              <w:jc w:val="left"/>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分类</w:t>
            </w:r>
          </w:p>
        </w:tc>
        <w:tc>
          <w:tcPr>
            <w:tcW w:w="1996" w:type="dxa"/>
            <w:tcMar>
              <w:left w:w="28" w:type="dxa"/>
              <w:right w:w="28" w:type="dxa"/>
            </w:tcMar>
            <w:vAlign w:val="center"/>
          </w:tcPr>
          <w:p>
            <w:pPr>
              <w:pStyle w:val="42"/>
              <w:spacing w:beforeLines="0" w:afterLines="0" w:line="240" w:lineRule="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污染物名称</w:t>
            </w:r>
          </w:p>
        </w:tc>
        <w:tc>
          <w:tcPr>
            <w:tcW w:w="1701" w:type="dxa"/>
            <w:tcMar>
              <w:left w:w="28" w:type="dxa"/>
              <w:right w:w="28" w:type="dxa"/>
            </w:tcMar>
            <w:vAlign w:val="center"/>
          </w:tcPr>
          <w:p>
            <w:pPr>
              <w:pStyle w:val="42"/>
              <w:spacing w:beforeLines="0" w:afterLines="0" w:line="240" w:lineRule="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现有工程</w:t>
            </w:r>
          </w:p>
          <w:p>
            <w:pPr>
              <w:pStyle w:val="42"/>
              <w:spacing w:beforeLines="0" w:afterLines="0" w:line="240" w:lineRule="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排放量（固体废物产生量）</w:t>
            </w:r>
            <w:r>
              <w:rPr>
                <w:rFonts w:ascii="Times New Roman" w:eastAsia="黑体"/>
                <w:snapToGrid w:val="0"/>
                <w:color w:val="auto"/>
                <w:spacing w:val="-6"/>
                <w:kern w:val="21"/>
                <w:sz w:val="21"/>
                <w:szCs w:val="21"/>
              </w:rPr>
              <w:fldChar w:fldCharType="begin"/>
            </w:r>
            <w:r>
              <w:rPr>
                <w:rFonts w:ascii="Times New Roman" w:eastAsia="黑体"/>
                <w:snapToGrid w:val="0"/>
                <w:color w:val="auto"/>
                <w:spacing w:val="-6"/>
                <w:kern w:val="21"/>
                <w:sz w:val="21"/>
                <w:szCs w:val="21"/>
              </w:rPr>
              <w:instrText xml:space="preserve"> = 1 \* GB3 \* MERGEFORMAT </w:instrText>
            </w:r>
            <w:r>
              <w:rPr>
                <w:rFonts w:ascii="Times New Roman" w:eastAsia="黑体"/>
                <w:snapToGrid w:val="0"/>
                <w:color w:val="auto"/>
                <w:spacing w:val="-6"/>
                <w:kern w:val="21"/>
                <w:sz w:val="21"/>
                <w:szCs w:val="21"/>
              </w:rPr>
              <w:fldChar w:fldCharType="separate"/>
            </w:r>
            <w:r>
              <w:rPr>
                <w:rFonts w:ascii="Times New Roman" w:eastAsia="黑体"/>
                <w:color w:val="auto"/>
                <w:kern w:val="2"/>
                <w:sz w:val="21"/>
                <w:szCs w:val="21"/>
              </w:rPr>
              <w:t>①</w:t>
            </w:r>
            <w:r>
              <w:rPr>
                <w:rFonts w:ascii="Times New Roman" w:eastAsia="黑体"/>
                <w:snapToGrid w:val="0"/>
                <w:color w:val="auto"/>
                <w:spacing w:val="-6"/>
                <w:kern w:val="21"/>
                <w:sz w:val="21"/>
                <w:szCs w:val="21"/>
              </w:rPr>
              <w:fldChar w:fldCharType="end"/>
            </w:r>
          </w:p>
        </w:tc>
        <w:tc>
          <w:tcPr>
            <w:tcW w:w="1276" w:type="dxa"/>
            <w:tcMar>
              <w:left w:w="28" w:type="dxa"/>
              <w:right w:w="28" w:type="dxa"/>
            </w:tcMar>
            <w:vAlign w:val="center"/>
          </w:tcPr>
          <w:p>
            <w:pPr>
              <w:pStyle w:val="42"/>
              <w:spacing w:beforeLines="0" w:afterLines="0" w:line="240" w:lineRule="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现有工程</w:t>
            </w:r>
          </w:p>
          <w:p>
            <w:pPr>
              <w:pStyle w:val="42"/>
              <w:spacing w:beforeLines="0" w:afterLines="0" w:line="240" w:lineRule="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许可排放量</w:t>
            </w:r>
          </w:p>
          <w:p>
            <w:pPr>
              <w:pStyle w:val="42"/>
              <w:spacing w:beforeLines="0" w:afterLines="0"/>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fldChar w:fldCharType="begin"/>
            </w:r>
            <w:r>
              <w:rPr>
                <w:rFonts w:ascii="Times New Roman" w:eastAsia="黑体"/>
                <w:snapToGrid w:val="0"/>
                <w:color w:val="auto"/>
                <w:spacing w:val="-6"/>
                <w:kern w:val="21"/>
                <w:sz w:val="21"/>
                <w:szCs w:val="21"/>
              </w:rPr>
              <w:instrText xml:space="preserve"> = 2 \* GB3 \* MERGEFORMAT </w:instrText>
            </w:r>
            <w:r>
              <w:rPr>
                <w:rFonts w:ascii="Times New Roman" w:eastAsia="黑体"/>
                <w:snapToGrid w:val="0"/>
                <w:color w:val="auto"/>
                <w:spacing w:val="-6"/>
                <w:kern w:val="21"/>
                <w:sz w:val="21"/>
                <w:szCs w:val="21"/>
              </w:rPr>
              <w:fldChar w:fldCharType="separate"/>
            </w:r>
            <w:r>
              <w:rPr>
                <w:rFonts w:ascii="Times New Roman" w:eastAsia="黑体"/>
                <w:snapToGrid w:val="0"/>
                <w:color w:val="auto"/>
                <w:spacing w:val="-6"/>
                <w:kern w:val="21"/>
                <w:sz w:val="21"/>
                <w:szCs w:val="21"/>
              </w:rPr>
              <w:t>②</w:t>
            </w:r>
            <w:r>
              <w:rPr>
                <w:rFonts w:ascii="Times New Roman" w:eastAsia="黑体"/>
                <w:snapToGrid w:val="0"/>
                <w:color w:val="auto"/>
                <w:spacing w:val="-6"/>
                <w:kern w:val="21"/>
                <w:sz w:val="21"/>
                <w:szCs w:val="21"/>
              </w:rPr>
              <w:fldChar w:fldCharType="end"/>
            </w:r>
          </w:p>
        </w:tc>
        <w:tc>
          <w:tcPr>
            <w:tcW w:w="1701" w:type="dxa"/>
            <w:tcMar>
              <w:left w:w="28" w:type="dxa"/>
              <w:right w:w="28" w:type="dxa"/>
            </w:tcMar>
            <w:vAlign w:val="center"/>
          </w:tcPr>
          <w:p>
            <w:pPr>
              <w:pStyle w:val="42"/>
              <w:spacing w:beforeLines="0" w:afterLines="0" w:line="240" w:lineRule="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在建工程</w:t>
            </w:r>
          </w:p>
          <w:p>
            <w:pPr>
              <w:pStyle w:val="42"/>
              <w:spacing w:beforeLines="0" w:afterLines="0" w:line="240" w:lineRule="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排放量（固体废物产生量）</w:t>
            </w:r>
            <w:r>
              <w:rPr>
                <w:rFonts w:ascii="Times New Roman" w:eastAsia="黑体"/>
                <w:snapToGrid w:val="0"/>
                <w:color w:val="auto"/>
                <w:spacing w:val="-6"/>
                <w:kern w:val="21"/>
                <w:sz w:val="21"/>
                <w:szCs w:val="21"/>
              </w:rPr>
              <w:fldChar w:fldCharType="begin"/>
            </w:r>
            <w:r>
              <w:rPr>
                <w:rFonts w:ascii="Times New Roman" w:eastAsia="黑体"/>
                <w:snapToGrid w:val="0"/>
                <w:color w:val="auto"/>
                <w:spacing w:val="-6"/>
                <w:kern w:val="21"/>
                <w:sz w:val="21"/>
                <w:szCs w:val="21"/>
              </w:rPr>
              <w:instrText xml:space="preserve"> = 3 \* GB3 \* MERGEFORMAT </w:instrText>
            </w:r>
            <w:r>
              <w:rPr>
                <w:rFonts w:ascii="Times New Roman" w:eastAsia="黑体"/>
                <w:snapToGrid w:val="0"/>
                <w:color w:val="auto"/>
                <w:spacing w:val="-6"/>
                <w:kern w:val="21"/>
                <w:sz w:val="21"/>
                <w:szCs w:val="21"/>
              </w:rPr>
              <w:fldChar w:fldCharType="separate"/>
            </w:r>
            <w:r>
              <w:rPr>
                <w:rFonts w:ascii="Times New Roman" w:eastAsia="黑体"/>
                <w:color w:val="auto"/>
                <w:kern w:val="2"/>
                <w:sz w:val="21"/>
                <w:szCs w:val="21"/>
              </w:rPr>
              <w:t>③</w:t>
            </w:r>
            <w:r>
              <w:rPr>
                <w:rFonts w:ascii="Times New Roman" w:eastAsia="黑体"/>
                <w:snapToGrid w:val="0"/>
                <w:color w:val="auto"/>
                <w:spacing w:val="-6"/>
                <w:kern w:val="21"/>
                <w:sz w:val="21"/>
                <w:szCs w:val="21"/>
              </w:rPr>
              <w:fldChar w:fldCharType="end"/>
            </w:r>
          </w:p>
        </w:tc>
        <w:tc>
          <w:tcPr>
            <w:tcW w:w="1559" w:type="dxa"/>
            <w:tcMar>
              <w:left w:w="28" w:type="dxa"/>
              <w:right w:w="28" w:type="dxa"/>
            </w:tcMar>
            <w:vAlign w:val="center"/>
          </w:tcPr>
          <w:p>
            <w:pPr>
              <w:pStyle w:val="42"/>
              <w:spacing w:beforeLines="0" w:afterLines="0" w:line="240" w:lineRule="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本项目</w:t>
            </w:r>
          </w:p>
          <w:p>
            <w:pPr>
              <w:pStyle w:val="42"/>
              <w:spacing w:beforeLines="0" w:afterLines="0" w:line="240" w:lineRule="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排放量（固体废物产生量）</w:t>
            </w:r>
            <w:r>
              <w:rPr>
                <w:rFonts w:ascii="Times New Roman" w:eastAsia="黑体"/>
                <w:snapToGrid w:val="0"/>
                <w:color w:val="auto"/>
                <w:spacing w:val="-6"/>
                <w:kern w:val="21"/>
                <w:sz w:val="21"/>
                <w:szCs w:val="21"/>
              </w:rPr>
              <w:fldChar w:fldCharType="begin"/>
            </w:r>
            <w:r>
              <w:rPr>
                <w:rFonts w:ascii="Times New Roman" w:eastAsia="黑体"/>
                <w:snapToGrid w:val="0"/>
                <w:color w:val="auto"/>
                <w:spacing w:val="-6"/>
                <w:kern w:val="21"/>
                <w:sz w:val="21"/>
                <w:szCs w:val="21"/>
              </w:rPr>
              <w:instrText xml:space="preserve"> = 4 \* GB3 \* MERGEFORMAT </w:instrText>
            </w:r>
            <w:r>
              <w:rPr>
                <w:rFonts w:ascii="Times New Roman" w:eastAsia="黑体"/>
                <w:snapToGrid w:val="0"/>
                <w:color w:val="auto"/>
                <w:spacing w:val="-6"/>
                <w:kern w:val="21"/>
                <w:sz w:val="21"/>
                <w:szCs w:val="21"/>
              </w:rPr>
              <w:fldChar w:fldCharType="separate"/>
            </w:r>
            <w:r>
              <w:rPr>
                <w:rFonts w:ascii="Times New Roman" w:eastAsia="黑体"/>
                <w:color w:val="auto"/>
                <w:kern w:val="2"/>
                <w:sz w:val="21"/>
                <w:szCs w:val="21"/>
              </w:rPr>
              <w:t>④</w:t>
            </w:r>
            <w:r>
              <w:rPr>
                <w:rFonts w:ascii="Times New Roman" w:eastAsia="黑体"/>
                <w:snapToGrid w:val="0"/>
                <w:color w:val="auto"/>
                <w:spacing w:val="-6"/>
                <w:kern w:val="21"/>
                <w:sz w:val="21"/>
                <w:szCs w:val="21"/>
              </w:rPr>
              <w:fldChar w:fldCharType="end"/>
            </w:r>
          </w:p>
        </w:tc>
        <w:tc>
          <w:tcPr>
            <w:tcW w:w="1497" w:type="dxa"/>
            <w:tcMar>
              <w:left w:w="28" w:type="dxa"/>
              <w:right w:w="28" w:type="dxa"/>
            </w:tcMar>
            <w:vAlign w:val="center"/>
          </w:tcPr>
          <w:p>
            <w:pPr>
              <w:pStyle w:val="42"/>
              <w:spacing w:beforeLines="0" w:afterLines="0" w:line="240" w:lineRule="auto"/>
              <w:rPr>
                <w:rFonts w:ascii="Times New Roman" w:eastAsia="黑体"/>
                <w:snapToGrid w:val="0"/>
                <w:color w:val="auto"/>
                <w:spacing w:val="-16"/>
                <w:kern w:val="21"/>
                <w:sz w:val="21"/>
                <w:szCs w:val="21"/>
              </w:rPr>
            </w:pPr>
            <w:r>
              <w:rPr>
                <w:rFonts w:ascii="Times New Roman" w:eastAsia="黑体"/>
                <w:snapToGrid w:val="0"/>
                <w:color w:val="auto"/>
                <w:spacing w:val="-16"/>
                <w:kern w:val="21"/>
                <w:sz w:val="21"/>
                <w:szCs w:val="21"/>
              </w:rPr>
              <w:t>以新带老削减量（新建项目不填）</w:t>
            </w:r>
            <w:r>
              <w:rPr>
                <w:rFonts w:ascii="Times New Roman" w:eastAsia="黑体"/>
                <w:snapToGrid w:val="0"/>
                <w:color w:val="auto"/>
                <w:spacing w:val="-16"/>
                <w:kern w:val="21"/>
                <w:sz w:val="21"/>
                <w:szCs w:val="21"/>
              </w:rPr>
              <w:fldChar w:fldCharType="begin"/>
            </w:r>
            <w:r>
              <w:rPr>
                <w:rFonts w:ascii="Times New Roman" w:eastAsia="黑体"/>
                <w:snapToGrid w:val="0"/>
                <w:color w:val="auto"/>
                <w:spacing w:val="-16"/>
                <w:kern w:val="21"/>
                <w:sz w:val="21"/>
                <w:szCs w:val="21"/>
              </w:rPr>
              <w:instrText xml:space="preserve"> = 5 \* GB3 \* MERGEFORMAT </w:instrText>
            </w:r>
            <w:r>
              <w:rPr>
                <w:rFonts w:ascii="Times New Roman" w:eastAsia="黑体"/>
                <w:snapToGrid w:val="0"/>
                <w:color w:val="auto"/>
                <w:spacing w:val="-16"/>
                <w:kern w:val="21"/>
                <w:sz w:val="21"/>
                <w:szCs w:val="21"/>
              </w:rPr>
              <w:fldChar w:fldCharType="separate"/>
            </w:r>
            <w:r>
              <w:rPr>
                <w:rFonts w:ascii="Times New Roman" w:eastAsia="黑体"/>
                <w:color w:val="auto"/>
                <w:kern w:val="2"/>
                <w:sz w:val="21"/>
                <w:szCs w:val="21"/>
              </w:rPr>
              <w:t>⑤</w:t>
            </w:r>
            <w:r>
              <w:rPr>
                <w:rFonts w:ascii="Times New Roman" w:eastAsia="黑体"/>
                <w:snapToGrid w:val="0"/>
                <w:color w:val="auto"/>
                <w:spacing w:val="-16"/>
                <w:kern w:val="21"/>
                <w:sz w:val="21"/>
                <w:szCs w:val="21"/>
              </w:rPr>
              <w:fldChar w:fldCharType="end"/>
            </w:r>
          </w:p>
        </w:tc>
        <w:tc>
          <w:tcPr>
            <w:tcW w:w="1792" w:type="dxa"/>
            <w:tcMar>
              <w:left w:w="28" w:type="dxa"/>
              <w:right w:w="28" w:type="dxa"/>
            </w:tcMar>
            <w:vAlign w:val="center"/>
          </w:tcPr>
          <w:p>
            <w:pPr>
              <w:pStyle w:val="42"/>
              <w:spacing w:beforeLines="0" w:afterLines="0" w:line="240" w:lineRule="auto"/>
              <w:rPr>
                <w:rFonts w:ascii="Times New Roman" w:eastAsia="黑体"/>
                <w:snapToGrid w:val="0"/>
                <w:color w:val="auto"/>
                <w:spacing w:val="-16"/>
                <w:kern w:val="21"/>
                <w:sz w:val="21"/>
                <w:szCs w:val="21"/>
              </w:rPr>
            </w:pPr>
            <w:r>
              <w:rPr>
                <w:rFonts w:ascii="Times New Roman" w:eastAsia="黑体"/>
                <w:snapToGrid w:val="0"/>
                <w:color w:val="auto"/>
                <w:spacing w:val="-16"/>
                <w:kern w:val="21"/>
                <w:sz w:val="21"/>
                <w:szCs w:val="21"/>
              </w:rPr>
              <w:t>本项目建成后</w:t>
            </w:r>
          </w:p>
          <w:p>
            <w:pPr>
              <w:pStyle w:val="42"/>
              <w:spacing w:beforeLines="0" w:afterLines="0" w:line="240" w:lineRule="auto"/>
              <w:rPr>
                <w:rFonts w:ascii="Times New Roman" w:eastAsia="黑体"/>
                <w:snapToGrid w:val="0"/>
                <w:color w:val="auto"/>
                <w:spacing w:val="-16"/>
                <w:kern w:val="21"/>
                <w:sz w:val="21"/>
                <w:szCs w:val="21"/>
              </w:rPr>
            </w:pPr>
            <w:r>
              <w:rPr>
                <w:rFonts w:ascii="Times New Roman" w:eastAsia="黑体"/>
                <w:snapToGrid w:val="0"/>
                <w:color w:val="auto"/>
                <w:spacing w:val="-16"/>
                <w:kern w:val="21"/>
                <w:sz w:val="21"/>
                <w:szCs w:val="21"/>
              </w:rPr>
              <w:t>全厂排放量（固体废物产生量）</w:t>
            </w:r>
            <w:r>
              <w:rPr>
                <w:rFonts w:ascii="Times New Roman" w:eastAsia="黑体"/>
                <w:snapToGrid w:val="0"/>
                <w:color w:val="auto"/>
                <w:spacing w:val="-16"/>
                <w:kern w:val="21"/>
                <w:sz w:val="21"/>
                <w:szCs w:val="21"/>
              </w:rPr>
              <w:fldChar w:fldCharType="begin"/>
            </w:r>
            <w:r>
              <w:rPr>
                <w:rFonts w:ascii="Times New Roman" w:eastAsia="黑体"/>
                <w:snapToGrid w:val="0"/>
                <w:color w:val="auto"/>
                <w:spacing w:val="-16"/>
                <w:kern w:val="21"/>
                <w:sz w:val="21"/>
                <w:szCs w:val="21"/>
              </w:rPr>
              <w:instrText xml:space="preserve"> = 6 \* GB3 \* MERGEFORMAT </w:instrText>
            </w:r>
            <w:r>
              <w:rPr>
                <w:rFonts w:ascii="Times New Roman" w:eastAsia="黑体"/>
                <w:snapToGrid w:val="0"/>
                <w:color w:val="auto"/>
                <w:spacing w:val="-16"/>
                <w:kern w:val="21"/>
                <w:sz w:val="21"/>
                <w:szCs w:val="21"/>
              </w:rPr>
              <w:fldChar w:fldCharType="separate"/>
            </w:r>
            <w:r>
              <w:rPr>
                <w:rFonts w:ascii="Times New Roman" w:eastAsia="黑体"/>
                <w:color w:val="auto"/>
                <w:kern w:val="2"/>
                <w:sz w:val="21"/>
                <w:szCs w:val="21"/>
              </w:rPr>
              <w:t>⑥</w:t>
            </w:r>
            <w:r>
              <w:rPr>
                <w:rFonts w:ascii="Times New Roman" w:eastAsia="黑体"/>
                <w:snapToGrid w:val="0"/>
                <w:color w:val="auto"/>
                <w:spacing w:val="-16"/>
                <w:kern w:val="21"/>
                <w:sz w:val="21"/>
                <w:szCs w:val="21"/>
              </w:rPr>
              <w:fldChar w:fldCharType="end"/>
            </w:r>
          </w:p>
        </w:tc>
        <w:tc>
          <w:tcPr>
            <w:tcW w:w="1257" w:type="dxa"/>
            <w:tcMar>
              <w:left w:w="28" w:type="dxa"/>
              <w:right w:w="28" w:type="dxa"/>
            </w:tcMar>
            <w:vAlign w:val="center"/>
          </w:tcPr>
          <w:p>
            <w:pPr>
              <w:pStyle w:val="42"/>
              <w:spacing w:beforeLines="0" w:afterLines="0" w:line="240" w:lineRule="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变化量</w:t>
            </w:r>
          </w:p>
          <w:p>
            <w:pPr>
              <w:pStyle w:val="42"/>
              <w:spacing w:beforeLines="0" w:afterLines="0" w:line="240" w:lineRule="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fldChar w:fldCharType="begin"/>
            </w:r>
            <w:r>
              <w:rPr>
                <w:rFonts w:ascii="Times New Roman" w:eastAsia="黑体"/>
                <w:snapToGrid w:val="0"/>
                <w:color w:val="auto"/>
                <w:spacing w:val="-6"/>
                <w:kern w:val="21"/>
                <w:sz w:val="21"/>
                <w:szCs w:val="21"/>
              </w:rPr>
              <w:instrText xml:space="preserve"> = 7 \* GB3 \* MERGEFORMAT </w:instrText>
            </w:r>
            <w:r>
              <w:rPr>
                <w:rFonts w:ascii="Times New Roman" w:eastAsia="黑体"/>
                <w:snapToGrid w:val="0"/>
                <w:color w:val="auto"/>
                <w:spacing w:val="-6"/>
                <w:kern w:val="21"/>
                <w:sz w:val="21"/>
                <w:szCs w:val="21"/>
              </w:rPr>
              <w:fldChar w:fldCharType="separate"/>
            </w:r>
            <w:r>
              <w:rPr>
                <w:rFonts w:ascii="Times New Roman" w:eastAsia="黑体"/>
                <w:color w:val="auto"/>
                <w:kern w:val="2"/>
                <w:sz w:val="21"/>
                <w:szCs w:val="21"/>
              </w:rPr>
              <w:t>⑦</w:t>
            </w:r>
            <w:r>
              <w:rPr>
                <w:rFonts w:ascii="Times New Roman" w:eastAsia="黑体"/>
                <w:snapToGrid w:val="0"/>
                <w:color w:val="auto"/>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1009" w:type="dxa"/>
            <w:vMerge w:val="restart"/>
            <w:vAlign w:val="center"/>
          </w:tcPr>
          <w:p>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eastAsia" w:ascii="Times New Roman" w:eastAsia="宋体"/>
                <w:snapToGrid w:val="0"/>
                <w:color w:val="auto"/>
                <w:kern w:val="21"/>
                <w:sz w:val="21"/>
                <w:szCs w:val="21"/>
                <w:lang w:eastAsia="zh-CN"/>
              </w:rPr>
            </w:pPr>
            <w:r>
              <w:rPr>
                <w:rFonts w:hint="eastAsia" w:ascii="Times New Roman"/>
                <w:snapToGrid w:val="0"/>
                <w:color w:val="auto"/>
                <w:kern w:val="21"/>
                <w:sz w:val="21"/>
                <w:szCs w:val="21"/>
                <w:lang w:eastAsia="zh-CN"/>
              </w:rPr>
              <w:t>废气</w:t>
            </w:r>
          </w:p>
        </w:tc>
        <w:tc>
          <w:tcPr>
            <w:tcW w:w="1996"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pacing w:val="-8"/>
                <w:sz w:val="21"/>
                <w:szCs w:val="21"/>
                <w:highlight w:val="none"/>
              </w:rPr>
              <w:t>氨</w:t>
            </w:r>
          </w:p>
        </w:tc>
        <w:tc>
          <w:tcPr>
            <w:tcW w:w="1701" w:type="dxa"/>
            <w:vAlign w:val="center"/>
          </w:tcPr>
          <w:p>
            <w:pPr>
              <w:keepNext w:val="0"/>
              <w:keepLines w:val="0"/>
              <w:pageBreakBefore w:val="0"/>
              <w:widowControl w:val="0"/>
              <w:kinsoku/>
              <w:wordWrap/>
              <w:overflowPunct/>
              <w:topLinePunct w:val="0"/>
              <w:autoSpaceDE/>
              <w:autoSpaceDN/>
              <w:bidi w:val="0"/>
              <w:jc w:val="center"/>
              <w:textAlignment w:val="auto"/>
              <w:rPr>
                <w:rFonts w:ascii="Times New Roman" w:hAnsi="Times New Roman" w:eastAsia="宋体" w:cs="Times New Roman"/>
                <w:snapToGrid w:val="0"/>
                <w:color w:val="auto"/>
                <w:kern w:val="21"/>
                <w:sz w:val="21"/>
                <w:szCs w:val="21"/>
                <w:lang w:val="en-US" w:eastAsia="zh-CN" w:bidi="ar-SA"/>
              </w:rPr>
            </w:pPr>
          </w:p>
        </w:tc>
        <w:tc>
          <w:tcPr>
            <w:tcW w:w="1276" w:type="dxa"/>
            <w:vAlign w:val="center"/>
          </w:tcPr>
          <w:p>
            <w:pPr>
              <w:keepNext w:val="0"/>
              <w:keepLines w:val="0"/>
              <w:pageBreakBefore w:val="0"/>
              <w:widowControl w:val="0"/>
              <w:kinsoku/>
              <w:wordWrap/>
              <w:overflowPunct/>
              <w:topLinePunct w:val="0"/>
              <w:autoSpaceDE/>
              <w:autoSpaceDN/>
              <w:bidi w:val="0"/>
              <w:jc w:val="center"/>
              <w:textAlignment w:val="auto"/>
              <w:rPr>
                <w:rFonts w:ascii="Times New Roman" w:hAnsi="Times New Roman" w:eastAsia="宋体" w:cs="Times New Roman"/>
                <w:snapToGrid w:val="0"/>
                <w:color w:val="auto"/>
                <w:kern w:val="21"/>
                <w:sz w:val="21"/>
                <w:szCs w:val="21"/>
                <w:lang w:val="en-US" w:eastAsia="zh-CN" w:bidi="ar-SA"/>
              </w:rPr>
            </w:pPr>
          </w:p>
        </w:tc>
        <w:tc>
          <w:tcPr>
            <w:tcW w:w="1701" w:type="dxa"/>
            <w:vAlign w:val="center"/>
          </w:tcPr>
          <w:p>
            <w:pPr>
              <w:keepNext w:val="0"/>
              <w:keepLines w:val="0"/>
              <w:pageBreakBefore w:val="0"/>
              <w:widowControl w:val="0"/>
              <w:kinsoku/>
              <w:wordWrap/>
              <w:overflowPunct/>
              <w:topLinePunct w:val="0"/>
              <w:autoSpaceDE/>
              <w:autoSpaceDN/>
              <w:bidi w:val="0"/>
              <w:jc w:val="center"/>
              <w:textAlignment w:val="auto"/>
              <w:rPr>
                <w:rFonts w:ascii="Times New Roman" w:hAnsi="Times New Roman" w:eastAsia="宋体" w:cs="Times New Roman"/>
                <w:snapToGrid w:val="0"/>
                <w:color w:val="auto"/>
                <w:kern w:val="21"/>
                <w:sz w:val="21"/>
                <w:szCs w:val="21"/>
                <w:lang w:val="en-US" w:eastAsia="zh-CN" w:bidi="ar-SA"/>
              </w:rPr>
            </w:pPr>
          </w:p>
        </w:tc>
        <w:tc>
          <w:tcPr>
            <w:tcW w:w="1559" w:type="dxa"/>
            <w:vAlign w:val="center"/>
          </w:tcPr>
          <w:p>
            <w:pPr>
              <w:keepNext w:val="0"/>
              <w:keepLines w:val="0"/>
              <w:pageBreakBefore w:val="0"/>
              <w:widowControl w:val="0"/>
              <w:kinsoku/>
              <w:wordWrap/>
              <w:overflowPunct/>
              <w:topLinePunct w:val="0"/>
              <w:autoSpaceDE/>
              <w:autoSpaceDN/>
              <w:bidi w:val="0"/>
              <w:jc w:val="center"/>
              <w:textAlignment w:val="auto"/>
              <w:rPr>
                <w:rFonts w:hint="default"/>
                <w:color w:val="auto"/>
                <w:sz w:val="21"/>
                <w:szCs w:val="21"/>
                <w:lang w:val="en-US" w:eastAsia="zh-CN"/>
              </w:rPr>
            </w:pPr>
            <w:r>
              <w:rPr>
                <w:rFonts w:hint="eastAsia"/>
                <w:color w:val="auto"/>
                <w:sz w:val="21"/>
                <w:szCs w:val="21"/>
                <w:lang w:val="en-US" w:eastAsia="zh-CN"/>
              </w:rPr>
              <w:t>2.622×10</w:t>
            </w:r>
            <w:r>
              <w:rPr>
                <w:rFonts w:hint="eastAsia"/>
                <w:color w:val="auto"/>
                <w:sz w:val="21"/>
                <w:szCs w:val="21"/>
                <w:vertAlign w:val="superscript"/>
                <w:lang w:val="en-US" w:eastAsia="zh-CN"/>
              </w:rPr>
              <w:t>-5</w:t>
            </w:r>
          </w:p>
        </w:tc>
        <w:tc>
          <w:tcPr>
            <w:tcW w:w="1497" w:type="dxa"/>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p>
        </w:tc>
        <w:tc>
          <w:tcPr>
            <w:tcW w:w="1792"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2.622×10</w:t>
            </w:r>
            <w:r>
              <w:rPr>
                <w:rFonts w:hint="eastAsia"/>
                <w:color w:val="auto"/>
                <w:sz w:val="21"/>
                <w:szCs w:val="21"/>
                <w:vertAlign w:val="superscript"/>
                <w:lang w:val="en-US" w:eastAsia="zh-CN"/>
              </w:rPr>
              <w:t>-5</w:t>
            </w:r>
          </w:p>
        </w:tc>
        <w:tc>
          <w:tcPr>
            <w:tcW w:w="1257"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2.622×10</w:t>
            </w:r>
            <w:r>
              <w:rPr>
                <w:rFonts w:hint="eastAsia"/>
                <w:color w:val="auto"/>
                <w:sz w:val="21"/>
                <w:szCs w:val="21"/>
                <w:vertAlign w:val="superscript"/>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09" w:type="dxa"/>
            <w:vMerge w:val="continue"/>
            <w:vAlign w:val="center"/>
          </w:tcPr>
          <w:p>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snapToGrid w:val="0"/>
                <w:color w:val="auto"/>
                <w:kern w:val="21"/>
                <w:sz w:val="21"/>
                <w:szCs w:val="21"/>
              </w:rPr>
            </w:pPr>
          </w:p>
        </w:tc>
        <w:tc>
          <w:tcPr>
            <w:tcW w:w="1996"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pacing w:val="-8"/>
                <w:sz w:val="21"/>
                <w:szCs w:val="21"/>
                <w:highlight w:val="none"/>
              </w:rPr>
              <w:t>硫化氢</w:t>
            </w:r>
          </w:p>
        </w:tc>
        <w:tc>
          <w:tcPr>
            <w:tcW w:w="1701" w:type="dxa"/>
            <w:vAlign w:val="center"/>
          </w:tcPr>
          <w:p>
            <w:pPr>
              <w:keepNext w:val="0"/>
              <w:keepLines w:val="0"/>
              <w:pageBreakBefore w:val="0"/>
              <w:widowControl w:val="0"/>
              <w:kinsoku/>
              <w:wordWrap/>
              <w:overflowPunct/>
              <w:topLinePunct w:val="0"/>
              <w:autoSpaceDE/>
              <w:autoSpaceDN/>
              <w:bidi w:val="0"/>
              <w:jc w:val="center"/>
              <w:textAlignment w:val="auto"/>
              <w:rPr>
                <w:rFonts w:ascii="Times New Roman" w:hAnsi="Times New Roman" w:eastAsia="宋体" w:cs="Times New Roman"/>
                <w:snapToGrid w:val="0"/>
                <w:color w:val="auto"/>
                <w:kern w:val="21"/>
                <w:sz w:val="21"/>
                <w:szCs w:val="21"/>
                <w:lang w:val="en-US" w:eastAsia="zh-CN" w:bidi="ar-SA"/>
              </w:rPr>
            </w:pPr>
          </w:p>
        </w:tc>
        <w:tc>
          <w:tcPr>
            <w:tcW w:w="1276" w:type="dxa"/>
            <w:vAlign w:val="center"/>
          </w:tcPr>
          <w:p>
            <w:pPr>
              <w:keepNext w:val="0"/>
              <w:keepLines w:val="0"/>
              <w:pageBreakBefore w:val="0"/>
              <w:widowControl w:val="0"/>
              <w:kinsoku/>
              <w:wordWrap/>
              <w:overflowPunct/>
              <w:topLinePunct w:val="0"/>
              <w:autoSpaceDE/>
              <w:autoSpaceDN/>
              <w:bidi w:val="0"/>
              <w:jc w:val="center"/>
              <w:textAlignment w:val="auto"/>
              <w:rPr>
                <w:rFonts w:ascii="Times New Roman" w:hAnsi="Times New Roman" w:eastAsia="宋体" w:cs="Times New Roman"/>
                <w:snapToGrid w:val="0"/>
                <w:color w:val="auto"/>
                <w:kern w:val="21"/>
                <w:sz w:val="21"/>
                <w:szCs w:val="21"/>
                <w:lang w:val="en-US" w:eastAsia="zh-CN" w:bidi="ar-SA"/>
              </w:rPr>
            </w:pPr>
          </w:p>
        </w:tc>
        <w:tc>
          <w:tcPr>
            <w:tcW w:w="1701" w:type="dxa"/>
            <w:vAlign w:val="center"/>
          </w:tcPr>
          <w:p>
            <w:pPr>
              <w:keepNext w:val="0"/>
              <w:keepLines w:val="0"/>
              <w:pageBreakBefore w:val="0"/>
              <w:widowControl w:val="0"/>
              <w:kinsoku/>
              <w:wordWrap/>
              <w:overflowPunct/>
              <w:topLinePunct w:val="0"/>
              <w:autoSpaceDE/>
              <w:autoSpaceDN/>
              <w:bidi w:val="0"/>
              <w:jc w:val="center"/>
              <w:textAlignment w:val="auto"/>
              <w:rPr>
                <w:rFonts w:ascii="Times New Roman" w:hAnsi="Times New Roman" w:eastAsia="宋体" w:cs="Times New Roman"/>
                <w:snapToGrid w:val="0"/>
                <w:color w:val="auto"/>
                <w:kern w:val="21"/>
                <w:sz w:val="21"/>
                <w:szCs w:val="21"/>
                <w:lang w:val="en-US" w:eastAsia="zh-CN" w:bidi="ar-SA"/>
              </w:rPr>
            </w:pPr>
          </w:p>
        </w:tc>
        <w:tc>
          <w:tcPr>
            <w:tcW w:w="1559" w:type="dxa"/>
            <w:vAlign w:val="center"/>
          </w:tcPr>
          <w:p>
            <w:pPr>
              <w:keepNext w:val="0"/>
              <w:keepLines w:val="0"/>
              <w:pageBreakBefore w:val="0"/>
              <w:widowControl w:val="0"/>
              <w:kinsoku/>
              <w:wordWrap/>
              <w:overflowPunct/>
              <w:topLinePunct w:val="0"/>
              <w:autoSpaceDE/>
              <w:autoSpaceDN/>
              <w:bidi w:val="0"/>
              <w:jc w:val="center"/>
              <w:textAlignment w:val="auto"/>
              <w:rPr>
                <w:rFonts w:hint="default"/>
                <w:snapToGrid w:val="0"/>
                <w:color w:val="auto"/>
                <w:kern w:val="21"/>
                <w:sz w:val="21"/>
                <w:szCs w:val="21"/>
                <w:lang w:val="en-US" w:eastAsia="zh-CN"/>
              </w:rPr>
            </w:pPr>
            <w:r>
              <w:rPr>
                <w:rFonts w:hint="eastAsia"/>
                <w:color w:val="auto"/>
                <w:sz w:val="21"/>
                <w:szCs w:val="21"/>
                <w:lang w:val="en-US" w:eastAsia="zh-CN"/>
              </w:rPr>
              <w:t>1.015×10</w:t>
            </w:r>
            <w:r>
              <w:rPr>
                <w:rFonts w:hint="eastAsia"/>
                <w:color w:val="auto"/>
                <w:sz w:val="21"/>
                <w:szCs w:val="21"/>
                <w:vertAlign w:val="superscript"/>
                <w:lang w:val="en-US" w:eastAsia="zh-CN"/>
              </w:rPr>
              <w:t>-6</w:t>
            </w:r>
          </w:p>
        </w:tc>
        <w:tc>
          <w:tcPr>
            <w:tcW w:w="1497" w:type="dxa"/>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p>
        </w:tc>
        <w:tc>
          <w:tcPr>
            <w:tcW w:w="1792"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color w:val="auto"/>
                <w:sz w:val="21"/>
                <w:szCs w:val="21"/>
                <w:lang w:val="en-US" w:eastAsia="zh-CN"/>
              </w:rPr>
              <w:t>1.015×10</w:t>
            </w:r>
            <w:r>
              <w:rPr>
                <w:rFonts w:hint="eastAsia"/>
                <w:color w:val="auto"/>
                <w:sz w:val="21"/>
                <w:szCs w:val="21"/>
                <w:vertAlign w:val="superscript"/>
                <w:lang w:val="en-US" w:eastAsia="zh-CN"/>
              </w:rPr>
              <w:t>-6</w:t>
            </w:r>
          </w:p>
        </w:tc>
        <w:tc>
          <w:tcPr>
            <w:tcW w:w="1257"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color w:val="auto"/>
                <w:sz w:val="21"/>
                <w:szCs w:val="21"/>
                <w:lang w:val="en-US" w:eastAsia="zh-CN"/>
              </w:rPr>
              <w:t>1.015×10</w:t>
            </w:r>
            <w:r>
              <w:rPr>
                <w:rFonts w:hint="eastAsia"/>
                <w:color w:val="auto"/>
                <w:sz w:val="21"/>
                <w:szCs w:val="21"/>
                <w:vertAlign w:val="superscript"/>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1009" w:type="dxa"/>
            <w:vMerge w:val="restart"/>
            <w:vAlign w:val="center"/>
          </w:tcPr>
          <w:p>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snapToGrid w:val="0"/>
                <w:color w:val="auto"/>
                <w:kern w:val="21"/>
                <w:sz w:val="21"/>
                <w:szCs w:val="21"/>
              </w:rPr>
            </w:pPr>
            <w:r>
              <w:rPr>
                <w:rFonts w:ascii="Times New Roman"/>
                <w:snapToGrid w:val="0"/>
                <w:color w:val="auto"/>
                <w:kern w:val="21"/>
                <w:sz w:val="21"/>
                <w:szCs w:val="21"/>
              </w:rPr>
              <w:t>废水</w:t>
            </w:r>
          </w:p>
        </w:tc>
        <w:tc>
          <w:tcPr>
            <w:tcW w:w="1996" w:type="dxa"/>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r>
              <w:rPr>
                <w:rFonts w:hint="eastAsia"/>
                <w:snapToGrid w:val="0"/>
                <w:color w:val="auto"/>
                <w:kern w:val="21"/>
                <w:sz w:val="21"/>
                <w:szCs w:val="21"/>
              </w:rPr>
              <w:t>C</w:t>
            </w:r>
            <w:r>
              <w:rPr>
                <w:snapToGrid w:val="0"/>
                <w:color w:val="auto"/>
                <w:kern w:val="21"/>
                <w:sz w:val="21"/>
                <w:szCs w:val="21"/>
              </w:rPr>
              <w:t>OD</w:t>
            </w:r>
          </w:p>
        </w:tc>
        <w:tc>
          <w:tcPr>
            <w:tcW w:w="1701" w:type="dxa"/>
            <w:vAlign w:val="center"/>
          </w:tcPr>
          <w:p>
            <w:pPr>
              <w:keepNext w:val="0"/>
              <w:keepLines w:val="0"/>
              <w:pageBreakBefore w:val="0"/>
              <w:widowControl w:val="0"/>
              <w:kinsoku/>
              <w:wordWrap/>
              <w:overflowPunct/>
              <w:topLinePunct w:val="0"/>
              <w:autoSpaceDE/>
              <w:autoSpaceDN/>
              <w:bidi w:val="0"/>
              <w:jc w:val="center"/>
              <w:textAlignment w:val="auto"/>
              <w:rPr>
                <w:rFonts w:ascii="Times New Roman" w:hAnsi="Times New Roman" w:eastAsia="宋体" w:cs="Times New Roman"/>
                <w:snapToGrid w:val="0"/>
                <w:color w:val="auto"/>
                <w:kern w:val="21"/>
                <w:sz w:val="21"/>
                <w:szCs w:val="21"/>
                <w:lang w:val="en-US" w:eastAsia="zh-CN" w:bidi="ar-SA"/>
              </w:rPr>
            </w:pPr>
          </w:p>
        </w:tc>
        <w:tc>
          <w:tcPr>
            <w:tcW w:w="1276" w:type="dxa"/>
            <w:vAlign w:val="center"/>
          </w:tcPr>
          <w:p>
            <w:pPr>
              <w:keepNext w:val="0"/>
              <w:keepLines w:val="0"/>
              <w:pageBreakBefore w:val="0"/>
              <w:widowControl w:val="0"/>
              <w:kinsoku/>
              <w:wordWrap/>
              <w:overflowPunct/>
              <w:topLinePunct w:val="0"/>
              <w:autoSpaceDE/>
              <w:autoSpaceDN/>
              <w:bidi w:val="0"/>
              <w:jc w:val="center"/>
              <w:textAlignment w:val="auto"/>
              <w:rPr>
                <w:rFonts w:ascii="Times New Roman" w:hAnsi="Times New Roman" w:eastAsia="宋体" w:cs="Times New Roman"/>
                <w:snapToGrid w:val="0"/>
                <w:color w:val="auto"/>
                <w:kern w:val="21"/>
                <w:sz w:val="21"/>
                <w:szCs w:val="21"/>
                <w:lang w:val="en-US" w:eastAsia="zh-CN" w:bidi="ar-SA"/>
              </w:rPr>
            </w:pPr>
          </w:p>
        </w:tc>
        <w:tc>
          <w:tcPr>
            <w:tcW w:w="1701" w:type="dxa"/>
            <w:vAlign w:val="center"/>
          </w:tcPr>
          <w:p>
            <w:pPr>
              <w:keepNext w:val="0"/>
              <w:keepLines w:val="0"/>
              <w:pageBreakBefore w:val="0"/>
              <w:widowControl w:val="0"/>
              <w:kinsoku/>
              <w:wordWrap/>
              <w:overflowPunct/>
              <w:topLinePunct w:val="0"/>
              <w:autoSpaceDE/>
              <w:autoSpaceDN/>
              <w:bidi w:val="0"/>
              <w:jc w:val="center"/>
              <w:textAlignment w:val="auto"/>
              <w:rPr>
                <w:rFonts w:ascii="Times New Roman" w:hAnsi="Times New Roman" w:eastAsia="宋体" w:cs="Times New Roman"/>
                <w:snapToGrid w:val="0"/>
                <w:color w:val="auto"/>
                <w:kern w:val="21"/>
                <w:sz w:val="21"/>
                <w:szCs w:val="21"/>
                <w:lang w:val="en-US" w:eastAsia="zh-CN" w:bidi="ar-SA"/>
              </w:rPr>
            </w:pPr>
          </w:p>
        </w:tc>
        <w:tc>
          <w:tcPr>
            <w:tcW w:w="155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0.0529</w:t>
            </w:r>
          </w:p>
        </w:tc>
        <w:tc>
          <w:tcPr>
            <w:tcW w:w="1497" w:type="dxa"/>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p>
        </w:tc>
        <w:tc>
          <w:tcPr>
            <w:tcW w:w="1792"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0.0529</w:t>
            </w:r>
          </w:p>
        </w:tc>
        <w:tc>
          <w:tcPr>
            <w:tcW w:w="1257"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trPr>
        <w:tc>
          <w:tcPr>
            <w:tcW w:w="1009" w:type="dxa"/>
            <w:vMerge w:val="continue"/>
            <w:vAlign w:val="center"/>
          </w:tcPr>
          <w:p>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snapToGrid w:val="0"/>
                <w:color w:val="auto"/>
                <w:kern w:val="21"/>
                <w:sz w:val="21"/>
                <w:szCs w:val="21"/>
              </w:rPr>
            </w:pPr>
          </w:p>
        </w:tc>
        <w:tc>
          <w:tcPr>
            <w:tcW w:w="1996" w:type="dxa"/>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r>
              <w:rPr>
                <w:color w:val="auto"/>
                <w:sz w:val="21"/>
                <w:szCs w:val="21"/>
              </w:rPr>
              <w:t>NH</w:t>
            </w:r>
            <w:r>
              <w:rPr>
                <w:color w:val="auto"/>
                <w:sz w:val="21"/>
                <w:szCs w:val="21"/>
                <w:vertAlign w:val="subscript"/>
              </w:rPr>
              <w:t>3</w:t>
            </w:r>
            <w:r>
              <w:rPr>
                <w:color w:val="auto"/>
                <w:sz w:val="21"/>
                <w:szCs w:val="21"/>
              </w:rPr>
              <w:t>-N</w:t>
            </w:r>
          </w:p>
        </w:tc>
        <w:tc>
          <w:tcPr>
            <w:tcW w:w="1701" w:type="dxa"/>
            <w:vAlign w:val="center"/>
          </w:tcPr>
          <w:p>
            <w:pPr>
              <w:keepNext w:val="0"/>
              <w:keepLines w:val="0"/>
              <w:pageBreakBefore w:val="0"/>
              <w:widowControl w:val="0"/>
              <w:kinsoku/>
              <w:wordWrap/>
              <w:overflowPunct/>
              <w:topLinePunct w:val="0"/>
              <w:autoSpaceDE/>
              <w:autoSpaceDN/>
              <w:bidi w:val="0"/>
              <w:jc w:val="center"/>
              <w:textAlignment w:val="auto"/>
              <w:rPr>
                <w:rFonts w:ascii="Times New Roman" w:hAnsi="Times New Roman" w:eastAsia="宋体" w:cs="Times New Roman"/>
                <w:snapToGrid w:val="0"/>
                <w:color w:val="auto"/>
                <w:kern w:val="21"/>
                <w:sz w:val="21"/>
                <w:szCs w:val="21"/>
                <w:lang w:val="en-US" w:eastAsia="zh-CN" w:bidi="ar-SA"/>
              </w:rPr>
            </w:pPr>
          </w:p>
        </w:tc>
        <w:tc>
          <w:tcPr>
            <w:tcW w:w="1276" w:type="dxa"/>
            <w:vAlign w:val="center"/>
          </w:tcPr>
          <w:p>
            <w:pPr>
              <w:keepNext w:val="0"/>
              <w:keepLines w:val="0"/>
              <w:pageBreakBefore w:val="0"/>
              <w:widowControl w:val="0"/>
              <w:kinsoku/>
              <w:wordWrap/>
              <w:overflowPunct/>
              <w:topLinePunct w:val="0"/>
              <w:autoSpaceDE/>
              <w:autoSpaceDN/>
              <w:bidi w:val="0"/>
              <w:jc w:val="center"/>
              <w:textAlignment w:val="auto"/>
              <w:rPr>
                <w:rFonts w:ascii="Times New Roman" w:hAnsi="Times New Roman" w:eastAsia="宋体" w:cs="Times New Roman"/>
                <w:snapToGrid w:val="0"/>
                <w:color w:val="auto"/>
                <w:kern w:val="21"/>
                <w:sz w:val="21"/>
                <w:szCs w:val="21"/>
                <w:lang w:val="en-US" w:eastAsia="zh-CN" w:bidi="ar-SA"/>
              </w:rPr>
            </w:pPr>
          </w:p>
        </w:tc>
        <w:tc>
          <w:tcPr>
            <w:tcW w:w="1701" w:type="dxa"/>
            <w:vAlign w:val="center"/>
          </w:tcPr>
          <w:p>
            <w:pPr>
              <w:keepNext w:val="0"/>
              <w:keepLines w:val="0"/>
              <w:pageBreakBefore w:val="0"/>
              <w:widowControl w:val="0"/>
              <w:kinsoku/>
              <w:wordWrap/>
              <w:overflowPunct/>
              <w:topLinePunct w:val="0"/>
              <w:autoSpaceDE/>
              <w:autoSpaceDN/>
              <w:bidi w:val="0"/>
              <w:jc w:val="center"/>
              <w:textAlignment w:val="auto"/>
              <w:rPr>
                <w:rFonts w:ascii="Times New Roman" w:hAnsi="Times New Roman" w:eastAsia="宋体" w:cs="Times New Roman"/>
                <w:snapToGrid w:val="0"/>
                <w:color w:val="auto"/>
                <w:kern w:val="21"/>
                <w:sz w:val="21"/>
                <w:szCs w:val="21"/>
                <w:lang w:val="en-US" w:eastAsia="zh-CN" w:bidi="ar-SA"/>
              </w:rPr>
            </w:pPr>
          </w:p>
        </w:tc>
        <w:tc>
          <w:tcPr>
            <w:tcW w:w="155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0.0032</w:t>
            </w:r>
          </w:p>
        </w:tc>
        <w:tc>
          <w:tcPr>
            <w:tcW w:w="1497" w:type="dxa"/>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p>
        </w:tc>
        <w:tc>
          <w:tcPr>
            <w:tcW w:w="1792"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0.0032</w:t>
            </w:r>
          </w:p>
        </w:tc>
        <w:tc>
          <w:tcPr>
            <w:tcW w:w="1257"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1009" w:type="dxa"/>
            <w:vMerge w:val="restart"/>
            <w:vAlign w:val="center"/>
          </w:tcPr>
          <w:p>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snapToGrid w:val="0"/>
                <w:color w:val="auto"/>
                <w:kern w:val="21"/>
                <w:sz w:val="21"/>
                <w:szCs w:val="21"/>
              </w:rPr>
            </w:pPr>
            <w:r>
              <w:rPr>
                <w:rFonts w:hint="eastAsia" w:ascii="Times New Roman"/>
                <w:snapToGrid w:val="0"/>
                <w:color w:val="auto"/>
                <w:kern w:val="21"/>
                <w:sz w:val="21"/>
                <w:szCs w:val="21"/>
                <w:lang w:eastAsia="zh-CN"/>
              </w:rPr>
              <w:t>一</w:t>
            </w:r>
            <w:r>
              <w:rPr>
                <w:rFonts w:ascii="Times New Roman"/>
                <w:snapToGrid w:val="0"/>
                <w:color w:val="auto"/>
                <w:kern w:val="21"/>
                <w:sz w:val="21"/>
                <w:szCs w:val="21"/>
              </w:rPr>
              <w:t>般工业固体废物</w:t>
            </w:r>
          </w:p>
        </w:tc>
        <w:tc>
          <w:tcPr>
            <w:tcW w:w="1996" w:type="dxa"/>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textAlignment w:val="auto"/>
              <w:rPr>
                <w:rFonts w:hint="default"/>
                <w:snapToGrid w:val="0"/>
                <w:color w:val="auto"/>
                <w:kern w:val="21"/>
                <w:sz w:val="21"/>
                <w:szCs w:val="21"/>
                <w:lang w:val="en-US"/>
              </w:rPr>
            </w:pPr>
            <w:bookmarkStart w:id="328" w:name="_Toc19841"/>
            <w:bookmarkStart w:id="329" w:name="_Toc3330"/>
            <w:r>
              <w:rPr>
                <w:rFonts w:hint="default" w:ascii="Times New Roman" w:hAnsi="Times New Roman" w:eastAsia="宋体" w:cs="Times New Roman"/>
                <w:b w:val="0"/>
                <w:bCs w:val="0"/>
                <w:color w:val="auto"/>
                <w:sz w:val="21"/>
                <w:szCs w:val="21"/>
              </w:rPr>
              <w:t>废弃包装</w:t>
            </w:r>
            <w:bookmarkEnd w:id="328"/>
            <w:bookmarkEnd w:id="329"/>
          </w:p>
        </w:tc>
        <w:tc>
          <w:tcPr>
            <w:tcW w:w="1701" w:type="dxa"/>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p>
        </w:tc>
        <w:tc>
          <w:tcPr>
            <w:tcW w:w="1276" w:type="dxa"/>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p>
        </w:tc>
        <w:tc>
          <w:tcPr>
            <w:tcW w:w="1701" w:type="dxa"/>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p>
        </w:tc>
        <w:tc>
          <w:tcPr>
            <w:tcW w:w="1559" w:type="dxa"/>
            <w:shd w:val="clear" w:color="auto" w:fill="auto"/>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10</w:t>
            </w:r>
          </w:p>
        </w:tc>
        <w:tc>
          <w:tcPr>
            <w:tcW w:w="1497" w:type="dxa"/>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p>
        </w:tc>
        <w:tc>
          <w:tcPr>
            <w:tcW w:w="1792" w:type="dxa"/>
            <w:shd w:val="clear" w:color="auto" w:fill="auto"/>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10</w:t>
            </w:r>
          </w:p>
        </w:tc>
        <w:tc>
          <w:tcPr>
            <w:tcW w:w="1257" w:type="dxa"/>
            <w:shd w:val="clear" w:color="auto" w:fill="auto"/>
            <w:vAlign w:val="center"/>
          </w:tcPr>
          <w:p>
            <w:pPr>
              <w:pStyle w:val="74"/>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1009" w:type="dxa"/>
            <w:vMerge w:val="continue"/>
            <w:vAlign w:val="center"/>
          </w:tcPr>
          <w:p>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snapToGrid w:val="0"/>
                <w:color w:val="auto"/>
                <w:kern w:val="21"/>
                <w:sz w:val="21"/>
                <w:szCs w:val="21"/>
              </w:rPr>
            </w:pPr>
          </w:p>
        </w:tc>
        <w:tc>
          <w:tcPr>
            <w:tcW w:w="1996" w:type="dxa"/>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textAlignment w:val="auto"/>
              <w:rPr>
                <w:snapToGrid w:val="0"/>
                <w:color w:val="auto"/>
                <w:kern w:val="21"/>
                <w:sz w:val="21"/>
                <w:szCs w:val="21"/>
              </w:rPr>
            </w:pPr>
            <w:bookmarkStart w:id="330" w:name="_Toc9031"/>
            <w:bookmarkStart w:id="331" w:name="_Toc4740"/>
            <w:r>
              <w:rPr>
                <w:rFonts w:hint="default" w:ascii="Times New Roman" w:hAnsi="Times New Roman" w:eastAsia="宋体" w:cs="Times New Roman"/>
                <w:b w:val="0"/>
                <w:bCs w:val="0"/>
                <w:color w:val="auto"/>
                <w:sz w:val="21"/>
                <w:szCs w:val="21"/>
              </w:rPr>
              <w:t>污泥</w:t>
            </w:r>
            <w:bookmarkEnd w:id="330"/>
            <w:bookmarkEnd w:id="331"/>
          </w:p>
        </w:tc>
        <w:tc>
          <w:tcPr>
            <w:tcW w:w="1701" w:type="dxa"/>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p>
        </w:tc>
        <w:tc>
          <w:tcPr>
            <w:tcW w:w="1276" w:type="dxa"/>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p>
        </w:tc>
        <w:tc>
          <w:tcPr>
            <w:tcW w:w="1701" w:type="dxa"/>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p>
        </w:tc>
        <w:tc>
          <w:tcPr>
            <w:tcW w:w="1559" w:type="dxa"/>
            <w:shd w:val="clear" w:color="auto" w:fill="auto"/>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textAlignment w:val="auto"/>
              <w:rPr>
                <w:rFonts w:hint="default" w:ascii="Times New Roman" w:hAnsi="Times New Roman" w:eastAsia="宋体" w:cs="Times New Roman"/>
                <w:b w:val="0"/>
                <w:bCs w:val="0"/>
                <w:color w:val="auto"/>
                <w:kern w:val="0"/>
                <w:sz w:val="21"/>
                <w:szCs w:val="21"/>
                <w:lang w:val="en-US" w:eastAsia="zh-CN" w:bidi="ar-SA"/>
              </w:rPr>
            </w:pPr>
            <w:bookmarkStart w:id="332" w:name="_Toc20698"/>
            <w:bookmarkStart w:id="333" w:name="_Toc27871"/>
            <w:r>
              <w:rPr>
                <w:rFonts w:hint="eastAsia" w:ascii="Times New Roman" w:hAnsi="Times New Roman" w:eastAsia="宋体" w:cs="Times New Roman"/>
                <w:b w:val="0"/>
                <w:bCs w:val="0"/>
                <w:color w:val="auto"/>
                <w:sz w:val="21"/>
                <w:szCs w:val="21"/>
                <w:lang w:val="en-US" w:eastAsia="zh-CN"/>
              </w:rPr>
              <w:t>0.</w:t>
            </w:r>
            <w:bookmarkEnd w:id="332"/>
            <w:r>
              <w:rPr>
                <w:rFonts w:hint="eastAsia" w:ascii="Times New Roman" w:hAnsi="Times New Roman" w:eastAsia="宋体" w:cs="Times New Roman"/>
                <w:b w:val="0"/>
                <w:bCs w:val="0"/>
                <w:color w:val="auto"/>
                <w:sz w:val="21"/>
                <w:szCs w:val="21"/>
                <w:lang w:val="en-US" w:eastAsia="zh-CN"/>
              </w:rPr>
              <w:t>044</w:t>
            </w:r>
            <w:bookmarkEnd w:id="333"/>
          </w:p>
        </w:tc>
        <w:tc>
          <w:tcPr>
            <w:tcW w:w="1497" w:type="dxa"/>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p>
        </w:tc>
        <w:tc>
          <w:tcPr>
            <w:tcW w:w="179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sz w:val="21"/>
                <w:szCs w:val="21"/>
                <w:lang w:val="en-US" w:eastAsia="zh-CN"/>
              </w:rPr>
              <w:t>0.044</w:t>
            </w:r>
          </w:p>
        </w:tc>
        <w:tc>
          <w:tcPr>
            <w:tcW w:w="125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sz w:val="21"/>
                <w:szCs w:val="21"/>
                <w:lang w:val="en-US" w:eastAsia="zh-CN"/>
              </w:rPr>
              <w:t>0.044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1009" w:type="dxa"/>
            <w:vMerge w:val="continue"/>
            <w:vAlign w:val="center"/>
          </w:tcPr>
          <w:p>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snapToGrid w:val="0"/>
                <w:color w:val="auto"/>
                <w:kern w:val="21"/>
                <w:sz w:val="21"/>
                <w:szCs w:val="21"/>
              </w:rPr>
            </w:pPr>
          </w:p>
        </w:tc>
        <w:tc>
          <w:tcPr>
            <w:tcW w:w="1996" w:type="dxa"/>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textAlignment w:val="auto"/>
              <w:rPr>
                <w:rFonts w:hint="eastAsia" w:ascii="Times New Roman" w:hAnsi="Times New Roman" w:eastAsia="宋体" w:cs="Times New Roman"/>
                <w:b w:val="0"/>
                <w:bCs w:val="0"/>
                <w:color w:val="auto"/>
                <w:sz w:val="21"/>
                <w:szCs w:val="21"/>
                <w:lang w:val="en-US" w:eastAsia="zh-CN"/>
              </w:rPr>
            </w:pPr>
            <w:bookmarkStart w:id="334" w:name="_Toc16216"/>
            <w:r>
              <w:rPr>
                <w:rFonts w:hint="eastAsia" w:ascii="Times New Roman" w:hAnsi="Times New Roman" w:eastAsia="宋体" w:cs="Times New Roman"/>
                <w:b w:val="0"/>
                <w:bCs w:val="0"/>
                <w:color w:val="auto"/>
                <w:sz w:val="21"/>
                <w:szCs w:val="21"/>
                <w:lang w:val="en-US" w:eastAsia="zh-CN"/>
              </w:rPr>
              <w:t>滤渣</w:t>
            </w:r>
            <w:bookmarkEnd w:id="334"/>
          </w:p>
        </w:tc>
        <w:tc>
          <w:tcPr>
            <w:tcW w:w="1701" w:type="dxa"/>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p>
        </w:tc>
        <w:tc>
          <w:tcPr>
            <w:tcW w:w="1276" w:type="dxa"/>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p>
        </w:tc>
        <w:tc>
          <w:tcPr>
            <w:tcW w:w="1701" w:type="dxa"/>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p>
        </w:tc>
        <w:tc>
          <w:tcPr>
            <w:tcW w:w="1559" w:type="dxa"/>
            <w:shd w:val="clear" w:color="auto" w:fill="auto"/>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textAlignment w:val="auto"/>
              <w:rPr>
                <w:rFonts w:hint="default" w:ascii="Times New Roman" w:hAnsi="Times New Roman" w:eastAsia="宋体" w:cs="Times New Roman"/>
                <w:b w:val="0"/>
                <w:bCs w:val="0"/>
                <w:color w:val="auto"/>
                <w:sz w:val="21"/>
                <w:szCs w:val="21"/>
                <w:lang w:val="en-US" w:eastAsia="zh-CN"/>
              </w:rPr>
            </w:pPr>
            <w:bookmarkStart w:id="335" w:name="_Toc31941"/>
            <w:r>
              <w:rPr>
                <w:rFonts w:hint="eastAsia" w:ascii="Times New Roman" w:hAnsi="Times New Roman" w:eastAsia="宋体" w:cs="Times New Roman"/>
                <w:b w:val="0"/>
                <w:bCs w:val="0"/>
                <w:color w:val="auto"/>
                <w:sz w:val="21"/>
                <w:szCs w:val="21"/>
                <w:lang w:val="en-US" w:eastAsia="zh-CN"/>
              </w:rPr>
              <w:t>10</w:t>
            </w:r>
            <w:bookmarkEnd w:id="335"/>
          </w:p>
        </w:tc>
        <w:tc>
          <w:tcPr>
            <w:tcW w:w="1497" w:type="dxa"/>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p>
        </w:tc>
        <w:tc>
          <w:tcPr>
            <w:tcW w:w="1792" w:type="dxa"/>
            <w:shd w:val="clear" w:color="auto" w:fill="auto"/>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textAlignment w:val="auto"/>
              <w:rPr>
                <w:rFonts w:hint="default" w:ascii="Times New Roman" w:hAnsi="Times New Roman" w:eastAsia="宋体" w:cs="Times New Roman"/>
                <w:b w:val="0"/>
                <w:bCs w:val="0"/>
                <w:color w:val="auto"/>
                <w:sz w:val="21"/>
                <w:szCs w:val="21"/>
                <w:lang w:val="en-US" w:eastAsia="zh-CN"/>
              </w:rPr>
            </w:pPr>
            <w:bookmarkStart w:id="336" w:name="_Toc22945"/>
            <w:r>
              <w:rPr>
                <w:rFonts w:hint="eastAsia" w:ascii="Times New Roman" w:hAnsi="Times New Roman" w:eastAsia="宋体" w:cs="Times New Roman"/>
                <w:b w:val="0"/>
                <w:bCs w:val="0"/>
                <w:color w:val="auto"/>
                <w:sz w:val="21"/>
                <w:szCs w:val="21"/>
                <w:lang w:val="en-US" w:eastAsia="zh-CN"/>
              </w:rPr>
              <w:t>10</w:t>
            </w:r>
            <w:bookmarkEnd w:id="336"/>
          </w:p>
        </w:tc>
        <w:tc>
          <w:tcPr>
            <w:tcW w:w="1257" w:type="dxa"/>
            <w:shd w:val="clear" w:color="auto" w:fill="auto"/>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textAlignment w:val="auto"/>
              <w:rPr>
                <w:rFonts w:hint="default" w:ascii="Times New Roman" w:hAnsi="Times New Roman" w:eastAsia="宋体" w:cs="Times New Roman"/>
                <w:b w:val="0"/>
                <w:bCs w:val="0"/>
                <w:color w:val="auto"/>
                <w:sz w:val="21"/>
                <w:szCs w:val="21"/>
                <w:lang w:val="en-US" w:eastAsia="zh-CN"/>
              </w:rPr>
            </w:pPr>
            <w:bookmarkStart w:id="337" w:name="_Toc10385"/>
            <w:r>
              <w:rPr>
                <w:rFonts w:hint="eastAsia" w:ascii="Times New Roman" w:hAnsi="Times New Roman" w:eastAsia="宋体" w:cs="Times New Roman"/>
                <w:b w:val="0"/>
                <w:bCs w:val="0"/>
                <w:color w:val="auto"/>
                <w:sz w:val="21"/>
                <w:szCs w:val="21"/>
                <w:lang w:val="en-US" w:eastAsia="zh-CN"/>
              </w:rPr>
              <w:t>10</w:t>
            </w:r>
            <w:bookmarkEnd w:id="33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1009" w:type="dxa"/>
            <w:vMerge w:val="continue"/>
            <w:vAlign w:val="center"/>
          </w:tcPr>
          <w:p>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ascii="Times New Roman"/>
                <w:snapToGrid w:val="0"/>
                <w:color w:val="auto"/>
                <w:kern w:val="21"/>
                <w:sz w:val="21"/>
                <w:szCs w:val="21"/>
              </w:rPr>
            </w:pPr>
          </w:p>
        </w:tc>
        <w:tc>
          <w:tcPr>
            <w:tcW w:w="1996" w:type="dxa"/>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textAlignment w:val="auto"/>
              <w:rPr>
                <w:snapToGrid w:val="0"/>
                <w:color w:val="auto"/>
                <w:kern w:val="21"/>
                <w:sz w:val="21"/>
                <w:szCs w:val="21"/>
              </w:rPr>
            </w:pPr>
            <w:bookmarkStart w:id="338" w:name="_Toc2334"/>
            <w:bookmarkStart w:id="339" w:name="_Toc23657"/>
            <w:r>
              <w:rPr>
                <w:rFonts w:hint="default" w:ascii="Times New Roman" w:hAnsi="Times New Roman" w:eastAsia="宋体" w:cs="Times New Roman"/>
                <w:b w:val="0"/>
                <w:bCs w:val="0"/>
                <w:color w:val="auto"/>
                <w:sz w:val="21"/>
                <w:szCs w:val="21"/>
              </w:rPr>
              <w:t>废活性炭</w:t>
            </w:r>
            <w:bookmarkEnd w:id="338"/>
            <w:bookmarkEnd w:id="339"/>
          </w:p>
        </w:tc>
        <w:tc>
          <w:tcPr>
            <w:tcW w:w="1701" w:type="dxa"/>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p>
        </w:tc>
        <w:tc>
          <w:tcPr>
            <w:tcW w:w="1276" w:type="dxa"/>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p>
        </w:tc>
        <w:tc>
          <w:tcPr>
            <w:tcW w:w="1701" w:type="dxa"/>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p>
        </w:tc>
        <w:tc>
          <w:tcPr>
            <w:tcW w:w="1559" w:type="dxa"/>
            <w:shd w:val="clear" w:color="auto" w:fill="auto"/>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textAlignment w:val="auto"/>
              <w:rPr>
                <w:rFonts w:hint="default" w:ascii="Times New Roman" w:hAnsi="Times New Roman" w:eastAsia="宋体" w:cs="Times New Roman"/>
                <w:b w:val="0"/>
                <w:bCs w:val="0"/>
                <w:color w:val="auto"/>
                <w:kern w:val="0"/>
                <w:sz w:val="21"/>
                <w:szCs w:val="21"/>
                <w:lang w:val="en-US" w:eastAsia="zh-CN" w:bidi="ar-SA"/>
              </w:rPr>
            </w:pPr>
            <w:bookmarkStart w:id="340" w:name="_Toc14087"/>
            <w:bookmarkStart w:id="341" w:name="_Toc11095"/>
            <w:r>
              <w:rPr>
                <w:rFonts w:hint="eastAsia" w:ascii="Times New Roman" w:hAnsi="Times New Roman" w:eastAsia="宋体" w:cs="Times New Roman"/>
                <w:b w:val="0"/>
                <w:bCs w:val="0"/>
                <w:color w:val="auto"/>
                <w:sz w:val="21"/>
                <w:szCs w:val="21"/>
                <w:lang w:val="en-US" w:eastAsia="zh-CN"/>
              </w:rPr>
              <w:t>0.2</w:t>
            </w:r>
            <w:bookmarkEnd w:id="340"/>
            <w:bookmarkEnd w:id="341"/>
          </w:p>
        </w:tc>
        <w:tc>
          <w:tcPr>
            <w:tcW w:w="1497" w:type="dxa"/>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p>
        </w:tc>
        <w:tc>
          <w:tcPr>
            <w:tcW w:w="1792" w:type="dxa"/>
            <w:shd w:val="clear" w:color="auto" w:fill="auto"/>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textAlignment w:val="auto"/>
              <w:rPr>
                <w:rFonts w:hint="default" w:ascii="Times New Roman" w:hAnsi="Times New Roman" w:eastAsia="宋体" w:cs="Times New Roman"/>
                <w:b w:val="0"/>
                <w:bCs w:val="0"/>
                <w:color w:val="auto"/>
                <w:kern w:val="0"/>
                <w:sz w:val="21"/>
                <w:szCs w:val="21"/>
                <w:lang w:val="en-US" w:eastAsia="zh-CN" w:bidi="ar-SA"/>
              </w:rPr>
            </w:pPr>
            <w:bookmarkStart w:id="342" w:name="_Toc23002"/>
            <w:bookmarkStart w:id="343" w:name="_Toc7206"/>
            <w:r>
              <w:rPr>
                <w:rFonts w:hint="eastAsia" w:ascii="Times New Roman" w:hAnsi="Times New Roman" w:eastAsia="宋体" w:cs="Times New Roman"/>
                <w:b w:val="0"/>
                <w:bCs w:val="0"/>
                <w:color w:val="auto"/>
                <w:sz w:val="21"/>
                <w:szCs w:val="21"/>
                <w:lang w:val="en-US" w:eastAsia="zh-CN"/>
              </w:rPr>
              <w:t>0.2</w:t>
            </w:r>
            <w:bookmarkEnd w:id="342"/>
            <w:bookmarkEnd w:id="343"/>
          </w:p>
        </w:tc>
        <w:tc>
          <w:tcPr>
            <w:tcW w:w="1257" w:type="dxa"/>
            <w:shd w:val="clear" w:color="auto" w:fill="auto"/>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textAlignment w:val="auto"/>
              <w:rPr>
                <w:rFonts w:hint="default" w:ascii="Times New Roman" w:hAnsi="Times New Roman" w:eastAsia="宋体" w:cs="Times New Roman"/>
                <w:b w:val="0"/>
                <w:bCs w:val="0"/>
                <w:color w:val="auto"/>
                <w:kern w:val="0"/>
                <w:sz w:val="21"/>
                <w:szCs w:val="21"/>
                <w:lang w:val="en-US" w:eastAsia="zh-CN" w:bidi="ar-SA"/>
              </w:rPr>
            </w:pPr>
            <w:bookmarkStart w:id="344" w:name="_Toc30322"/>
            <w:bookmarkStart w:id="345" w:name="_Toc11360"/>
            <w:r>
              <w:rPr>
                <w:rFonts w:hint="eastAsia" w:ascii="Times New Roman" w:hAnsi="Times New Roman" w:eastAsia="宋体" w:cs="Times New Roman"/>
                <w:b w:val="0"/>
                <w:bCs w:val="0"/>
                <w:color w:val="auto"/>
                <w:sz w:val="21"/>
                <w:szCs w:val="21"/>
                <w:lang w:val="en-US" w:eastAsia="zh-CN"/>
              </w:rPr>
              <w:t>0.2</w:t>
            </w:r>
            <w:bookmarkEnd w:id="344"/>
            <w:bookmarkEnd w:id="34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09" w:type="dxa"/>
            <w:vAlign w:val="center"/>
          </w:tcPr>
          <w:p>
            <w:pPr>
              <w:pStyle w:val="42"/>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w:t>
            </w:r>
          </w:p>
        </w:tc>
        <w:tc>
          <w:tcPr>
            <w:tcW w:w="1996" w:type="dxa"/>
            <w:tcBorders>
              <w:top w:val="single" w:color="000000" w:sz="4" w:space="0"/>
            </w:tcBorders>
            <w:vAlign w:val="center"/>
          </w:tcPr>
          <w:p>
            <w:pPr>
              <w:pStyle w:val="8"/>
              <w:keepNext w:val="0"/>
              <w:keepLines w:val="0"/>
              <w:pageBreakBefore w:val="0"/>
              <w:widowControl w:val="0"/>
              <w:kinsoku/>
              <w:wordWrap/>
              <w:overflowPunct/>
              <w:topLinePunct w:val="0"/>
              <w:autoSpaceDE/>
              <w:autoSpaceDN/>
              <w:bidi w:val="0"/>
              <w:spacing w:before="0" w:after="0" w:line="240" w:lineRule="auto"/>
              <w:ind w:right="113" w:rightChars="0"/>
              <w:jc w:val="center"/>
              <w:textAlignment w:val="auto"/>
              <w:rPr>
                <w:rFonts w:hint="default" w:eastAsia="宋体"/>
                <w:color w:val="auto"/>
                <w:sz w:val="21"/>
                <w:szCs w:val="21"/>
                <w:lang w:val="en-US" w:eastAsia="zh-CN"/>
              </w:rPr>
            </w:pPr>
            <w:r>
              <w:rPr>
                <w:rFonts w:hint="eastAsia"/>
                <w:color w:val="auto"/>
                <w:sz w:val="21"/>
                <w:szCs w:val="21"/>
                <w:lang w:val="en-US" w:eastAsia="zh-CN"/>
              </w:rPr>
              <w:t>生活垃圾</w:t>
            </w:r>
          </w:p>
        </w:tc>
        <w:tc>
          <w:tcPr>
            <w:tcW w:w="1701" w:type="dxa"/>
            <w:tcBorders>
              <w:top w:val="single" w:color="000000" w:sz="4" w:space="0"/>
            </w:tcBorders>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snapToGrid w:val="0"/>
                <w:color w:val="auto"/>
                <w:kern w:val="21"/>
                <w:sz w:val="21"/>
                <w:szCs w:val="21"/>
                <w:lang w:val="en-US" w:eastAsia="zh-CN" w:bidi="ar-SA"/>
              </w:rPr>
            </w:pPr>
          </w:p>
        </w:tc>
        <w:tc>
          <w:tcPr>
            <w:tcW w:w="1276" w:type="dxa"/>
            <w:tcBorders>
              <w:top w:val="single" w:color="000000" w:sz="4" w:space="0"/>
            </w:tcBorders>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snapToGrid w:val="0"/>
                <w:color w:val="auto"/>
                <w:kern w:val="21"/>
                <w:sz w:val="21"/>
                <w:szCs w:val="21"/>
                <w:lang w:val="en-US" w:eastAsia="zh-CN" w:bidi="ar-SA"/>
              </w:rPr>
            </w:pPr>
          </w:p>
        </w:tc>
        <w:tc>
          <w:tcPr>
            <w:tcW w:w="1701" w:type="dxa"/>
            <w:tcBorders>
              <w:top w:val="single" w:color="000000" w:sz="4" w:space="0"/>
            </w:tcBorders>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snapToGrid w:val="0"/>
                <w:color w:val="auto"/>
                <w:kern w:val="21"/>
                <w:sz w:val="21"/>
                <w:szCs w:val="21"/>
                <w:lang w:val="en-US" w:eastAsia="zh-CN" w:bidi="ar-SA"/>
              </w:rPr>
            </w:pPr>
          </w:p>
        </w:tc>
        <w:tc>
          <w:tcPr>
            <w:tcW w:w="1559" w:type="dxa"/>
            <w:tcBorders>
              <w:top w:val="single" w:color="000000" w:sz="4" w:space="0"/>
            </w:tcBorders>
            <w:shd w:val="clear" w:color="auto" w:fill="auto"/>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textAlignment w:val="auto"/>
              <w:rPr>
                <w:rFonts w:hint="default" w:ascii="Times New Roman" w:hAnsi="Times New Roman" w:eastAsia="宋体" w:cs="Times New Roman"/>
                <w:b w:val="0"/>
                <w:bCs w:val="0"/>
                <w:color w:val="auto"/>
                <w:sz w:val="21"/>
                <w:szCs w:val="21"/>
                <w:lang w:val="en-US" w:eastAsia="zh-CN"/>
              </w:rPr>
            </w:pPr>
            <w:bookmarkStart w:id="346" w:name="_Toc13953"/>
            <w:bookmarkStart w:id="347" w:name="_Toc19154"/>
            <w:r>
              <w:rPr>
                <w:rFonts w:hint="eastAsia" w:ascii="Times New Roman" w:hAnsi="Times New Roman" w:eastAsia="宋体" w:cs="Times New Roman"/>
                <w:b w:val="0"/>
                <w:bCs w:val="0"/>
                <w:color w:val="auto"/>
                <w:sz w:val="21"/>
                <w:szCs w:val="21"/>
                <w:lang w:val="en-US" w:eastAsia="zh-CN"/>
              </w:rPr>
              <w:t>0.15</w:t>
            </w:r>
            <w:bookmarkEnd w:id="346"/>
            <w:bookmarkEnd w:id="347"/>
          </w:p>
        </w:tc>
        <w:tc>
          <w:tcPr>
            <w:tcW w:w="1497" w:type="dxa"/>
            <w:tcBorders>
              <w:top w:val="single" w:color="000000" w:sz="4" w:space="0"/>
            </w:tcBorders>
            <w:vAlign w:val="center"/>
          </w:tcPr>
          <w:p>
            <w:pPr>
              <w:keepNext w:val="0"/>
              <w:keepLines w:val="0"/>
              <w:pageBreakBefore w:val="0"/>
              <w:widowControl w:val="0"/>
              <w:kinsoku/>
              <w:wordWrap/>
              <w:overflowPunct/>
              <w:topLinePunct w:val="0"/>
              <w:autoSpaceDE/>
              <w:autoSpaceDN/>
              <w:bidi w:val="0"/>
              <w:jc w:val="center"/>
              <w:textAlignment w:val="auto"/>
              <w:rPr>
                <w:snapToGrid w:val="0"/>
                <w:color w:val="auto"/>
                <w:kern w:val="21"/>
                <w:sz w:val="21"/>
                <w:szCs w:val="21"/>
              </w:rPr>
            </w:pPr>
          </w:p>
        </w:tc>
        <w:tc>
          <w:tcPr>
            <w:tcW w:w="1792" w:type="dxa"/>
            <w:tcBorders>
              <w:top w:val="single" w:color="000000" w:sz="4" w:space="0"/>
            </w:tcBorders>
            <w:shd w:val="clear" w:color="auto" w:fill="auto"/>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textAlignment w:val="auto"/>
              <w:rPr>
                <w:rFonts w:hint="eastAsia" w:ascii="Times New Roman" w:hAnsi="Times New Roman" w:eastAsia="宋体" w:cs="Times New Roman"/>
                <w:b w:val="0"/>
                <w:bCs w:val="0"/>
                <w:color w:val="auto"/>
                <w:sz w:val="21"/>
                <w:szCs w:val="21"/>
                <w:lang w:val="en-US" w:eastAsia="zh-CN"/>
              </w:rPr>
            </w:pPr>
            <w:bookmarkStart w:id="348" w:name="_Toc1457"/>
            <w:bookmarkStart w:id="349" w:name="_Toc23771"/>
            <w:r>
              <w:rPr>
                <w:rFonts w:hint="eastAsia" w:ascii="Times New Roman" w:hAnsi="Times New Roman" w:eastAsia="宋体" w:cs="Times New Roman"/>
                <w:b w:val="0"/>
                <w:bCs w:val="0"/>
                <w:color w:val="auto"/>
                <w:sz w:val="21"/>
                <w:szCs w:val="21"/>
                <w:lang w:val="en-US" w:eastAsia="zh-CN"/>
              </w:rPr>
              <w:t>0.15</w:t>
            </w:r>
            <w:bookmarkEnd w:id="348"/>
            <w:bookmarkEnd w:id="349"/>
          </w:p>
        </w:tc>
        <w:tc>
          <w:tcPr>
            <w:tcW w:w="1257" w:type="dxa"/>
            <w:tcBorders>
              <w:top w:val="single" w:color="000000" w:sz="4" w:space="0"/>
            </w:tcBorders>
            <w:shd w:val="clear" w:color="auto" w:fill="auto"/>
            <w:vAlign w:val="center"/>
          </w:tcPr>
          <w:p>
            <w:pPr>
              <w:pStyle w:val="89"/>
              <w:keepNext w:val="0"/>
              <w:keepLines w:val="0"/>
              <w:pageBreakBefore w:val="0"/>
              <w:widowControl w:val="0"/>
              <w:kinsoku/>
              <w:wordWrap/>
              <w:overflowPunct/>
              <w:topLinePunct w:val="0"/>
              <w:autoSpaceDE/>
              <w:autoSpaceDN/>
              <w:bidi w:val="0"/>
              <w:adjustRightInd w:val="0"/>
              <w:snapToGrid w:val="0"/>
              <w:spacing w:before="0" w:after="0" w:line="240" w:lineRule="auto"/>
              <w:ind w:left="16" w:leftChars="0" w:hanging="16" w:hangingChars="8"/>
              <w:textAlignment w:val="auto"/>
              <w:rPr>
                <w:rFonts w:hint="eastAsia" w:ascii="Times New Roman" w:hAnsi="Times New Roman" w:eastAsia="宋体" w:cs="Times New Roman"/>
                <w:b w:val="0"/>
                <w:bCs w:val="0"/>
                <w:color w:val="auto"/>
                <w:sz w:val="21"/>
                <w:szCs w:val="21"/>
                <w:lang w:val="en-US" w:eastAsia="zh-CN"/>
              </w:rPr>
            </w:pPr>
            <w:bookmarkStart w:id="350" w:name="_Toc13691"/>
            <w:bookmarkStart w:id="351" w:name="_Toc4175"/>
            <w:r>
              <w:rPr>
                <w:rFonts w:hint="eastAsia" w:ascii="Times New Roman" w:hAnsi="Times New Roman" w:eastAsia="宋体" w:cs="Times New Roman"/>
                <w:b w:val="0"/>
                <w:bCs w:val="0"/>
                <w:color w:val="auto"/>
                <w:sz w:val="21"/>
                <w:szCs w:val="21"/>
                <w:lang w:val="en-US" w:eastAsia="zh-CN"/>
              </w:rPr>
              <w:t>0.15</w:t>
            </w:r>
            <w:bookmarkEnd w:id="350"/>
            <w:bookmarkEnd w:id="351"/>
          </w:p>
        </w:tc>
      </w:tr>
    </w:tbl>
    <w:p>
      <w:pPr>
        <w:pStyle w:val="42"/>
        <w:spacing w:before="192" w:beforeLines="80" w:after="24"/>
        <w:jc w:val="left"/>
        <w:rPr>
          <w:rFonts w:ascii="Times New Roman"/>
          <w:color w:val="auto"/>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ascii="Times New Roman"/>
          <w:snapToGrid w:val="0"/>
          <w:color w:val="auto"/>
          <w:kern w:val="21"/>
          <w:sz w:val="20"/>
          <w:szCs w:val="20"/>
        </w:rPr>
        <w:t>注：</w:t>
      </w:r>
      <w:r>
        <w:rPr>
          <w:rFonts w:ascii="Times New Roman"/>
          <w:snapToGrid w:val="0"/>
          <w:color w:val="auto"/>
          <w:spacing w:val="-16"/>
          <w:kern w:val="21"/>
          <w:sz w:val="20"/>
          <w:szCs w:val="20"/>
        </w:rPr>
        <w:fldChar w:fldCharType="begin"/>
      </w:r>
      <w:r>
        <w:rPr>
          <w:rFonts w:ascii="Times New Roman"/>
          <w:snapToGrid w:val="0"/>
          <w:color w:val="auto"/>
          <w:spacing w:val="-16"/>
          <w:kern w:val="21"/>
          <w:sz w:val="20"/>
          <w:szCs w:val="20"/>
        </w:rPr>
        <w:instrText xml:space="preserve"> = 6 \* GB3 \* MERGEFORMAT </w:instrText>
      </w:r>
      <w:r>
        <w:rPr>
          <w:rFonts w:ascii="Times New Roman"/>
          <w:snapToGrid w:val="0"/>
          <w:color w:val="auto"/>
          <w:spacing w:val="-16"/>
          <w:kern w:val="21"/>
          <w:sz w:val="20"/>
          <w:szCs w:val="20"/>
        </w:rPr>
        <w:fldChar w:fldCharType="separate"/>
      </w:r>
      <w:r>
        <w:rPr>
          <w:rFonts w:ascii="Times New Roman"/>
          <w:color w:val="auto"/>
          <w:sz w:val="20"/>
          <w:szCs w:val="20"/>
        </w:rPr>
        <w:t>⑥</w:t>
      </w:r>
      <w:r>
        <w:rPr>
          <w:rFonts w:ascii="Times New Roman"/>
          <w:snapToGrid w:val="0"/>
          <w:color w:val="auto"/>
          <w:spacing w:val="-16"/>
          <w:kern w:val="21"/>
          <w:sz w:val="20"/>
          <w:szCs w:val="20"/>
        </w:rPr>
        <w:fldChar w:fldCharType="end"/>
      </w:r>
      <w:r>
        <w:rPr>
          <w:rFonts w:ascii="Times New Roman"/>
          <w:snapToGrid w:val="0"/>
          <w:color w:val="auto"/>
          <w:spacing w:val="-16"/>
          <w:kern w:val="21"/>
          <w:sz w:val="20"/>
          <w:szCs w:val="20"/>
        </w:rPr>
        <w:t>=</w:t>
      </w:r>
      <w:r>
        <w:rPr>
          <w:rFonts w:ascii="Times New Roman"/>
          <w:snapToGrid w:val="0"/>
          <w:color w:val="auto"/>
          <w:spacing w:val="-6"/>
          <w:kern w:val="21"/>
          <w:sz w:val="20"/>
          <w:szCs w:val="20"/>
        </w:rPr>
        <w:fldChar w:fldCharType="begin"/>
      </w:r>
      <w:r>
        <w:rPr>
          <w:rFonts w:ascii="Times New Roman"/>
          <w:snapToGrid w:val="0"/>
          <w:color w:val="auto"/>
          <w:spacing w:val="-6"/>
          <w:kern w:val="21"/>
          <w:sz w:val="20"/>
          <w:szCs w:val="20"/>
        </w:rPr>
        <w:instrText xml:space="preserve"> = 1 \* GB3 \* MERGEFORMAT </w:instrText>
      </w:r>
      <w:r>
        <w:rPr>
          <w:rFonts w:ascii="Times New Roman"/>
          <w:snapToGrid w:val="0"/>
          <w:color w:val="auto"/>
          <w:spacing w:val="-6"/>
          <w:kern w:val="21"/>
          <w:sz w:val="20"/>
          <w:szCs w:val="20"/>
        </w:rPr>
        <w:fldChar w:fldCharType="separate"/>
      </w:r>
      <w:r>
        <w:rPr>
          <w:rFonts w:ascii="Times New Roman"/>
          <w:color w:val="auto"/>
          <w:sz w:val="20"/>
          <w:szCs w:val="20"/>
        </w:rPr>
        <w:t>①</w:t>
      </w:r>
      <w:r>
        <w:rPr>
          <w:rFonts w:ascii="Times New Roman"/>
          <w:snapToGrid w:val="0"/>
          <w:color w:val="auto"/>
          <w:spacing w:val="-6"/>
          <w:kern w:val="21"/>
          <w:sz w:val="20"/>
          <w:szCs w:val="20"/>
        </w:rPr>
        <w:fldChar w:fldCharType="end"/>
      </w:r>
      <w:r>
        <w:rPr>
          <w:rFonts w:ascii="Times New Roman"/>
          <w:snapToGrid w:val="0"/>
          <w:color w:val="auto"/>
          <w:spacing w:val="-6"/>
          <w:kern w:val="21"/>
          <w:sz w:val="20"/>
          <w:szCs w:val="20"/>
        </w:rPr>
        <w:t>+</w:t>
      </w:r>
      <w:r>
        <w:rPr>
          <w:rFonts w:ascii="Times New Roman"/>
          <w:snapToGrid w:val="0"/>
          <w:color w:val="auto"/>
          <w:spacing w:val="-6"/>
          <w:kern w:val="21"/>
          <w:sz w:val="20"/>
          <w:szCs w:val="20"/>
        </w:rPr>
        <w:fldChar w:fldCharType="begin"/>
      </w:r>
      <w:r>
        <w:rPr>
          <w:rFonts w:ascii="Times New Roman"/>
          <w:snapToGrid w:val="0"/>
          <w:color w:val="auto"/>
          <w:spacing w:val="-6"/>
          <w:kern w:val="21"/>
          <w:sz w:val="20"/>
          <w:szCs w:val="20"/>
        </w:rPr>
        <w:instrText xml:space="preserve"> = 3 \* GB3 \* MERGEFORMAT </w:instrText>
      </w:r>
      <w:r>
        <w:rPr>
          <w:rFonts w:ascii="Times New Roman"/>
          <w:snapToGrid w:val="0"/>
          <w:color w:val="auto"/>
          <w:spacing w:val="-6"/>
          <w:kern w:val="21"/>
          <w:sz w:val="20"/>
          <w:szCs w:val="20"/>
        </w:rPr>
        <w:fldChar w:fldCharType="separate"/>
      </w:r>
      <w:r>
        <w:rPr>
          <w:rFonts w:ascii="Times New Roman"/>
          <w:color w:val="auto"/>
          <w:sz w:val="20"/>
          <w:szCs w:val="20"/>
        </w:rPr>
        <w:t>③</w:t>
      </w:r>
      <w:r>
        <w:rPr>
          <w:rFonts w:ascii="Times New Roman"/>
          <w:snapToGrid w:val="0"/>
          <w:color w:val="auto"/>
          <w:spacing w:val="-6"/>
          <w:kern w:val="21"/>
          <w:sz w:val="20"/>
          <w:szCs w:val="20"/>
        </w:rPr>
        <w:fldChar w:fldCharType="end"/>
      </w:r>
      <w:r>
        <w:rPr>
          <w:rFonts w:ascii="Times New Roman"/>
          <w:snapToGrid w:val="0"/>
          <w:color w:val="auto"/>
          <w:spacing w:val="-6"/>
          <w:kern w:val="21"/>
          <w:sz w:val="20"/>
          <w:szCs w:val="20"/>
        </w:rPr>
        <w:t>+</w:t>
      </w:r>
      <w:r>
        <w:rPr>
          <w:rFonts w:ascii="Times New Roman"/>
          <w:snapToGrid w:val="0"/>
          <w:color w:val="auto"/>
          <w:spacing w:val="-6"/>
          <w:kern w:val="21"/>
          <w:sz w:val="20"/>
          <w:szCs w:val="20"/>
        </w:rPr>
        <w:fldChar w:fldCharType="begin"/>
      </w:r>
      <w:r>
        <w:rPr>
          <w:rFonts w:ascii="Times New Roman"/>
          <w:snapToGrid w:val="0"/>
          <w:color w:val="auto"/>
          <w:spacing w:val="-6"/>
          <w:kern w:val="21"/>
          <w:sz w:val="20"/>
          <w:szCs w:val="20"/>
        </w:rPr>
        <w:instrText xml:space="preserve"> = 4 \* GB3 \* MERGEFORMAT </w:instrText>
      </w:r>
      <w:r>
        <w:rPr>
          <w:rFonts w:ascii="Times New Roman"/>
          <w:snapToGrid w:val="0"/>
          <w:color w:val="auto"/>
          <w:spacing w:val="-6"/>
          <w:kern w:val="21"/>
          <w:sz w:val="20"/>
          <w:szCs w:val="20"/>
        </w:rPr>
        <w:fldChar w:fldCharType="separate"/>
      </w:r>
      <w:r>
        <w:rPr>
          <w:rFonts w:ascii="Times New Roman"/>
          <w:color w:val="auto"/>
          <w:sz w:val="20"/>
          <w:szCs w:val="20"/>
        </w:rPr>
        <w:t>④</w:t>
      </w:r>
      <w:r>
        <w:rPr>
          <w:rFonts w:ascii="Times New Roman"/>
          <w:snapToGrid w:val="0"/>
          <w:color w:val="auto"/>
          <w:spacing w:val="-6"/>
          <w:kern w:val="21"/>
          <w:sz w:val="20"/>
          <w:szCs w:val="20"/>
        </w:rPr>
        <w:fldChar w:fldCharType="end"/>
      </w:r>
      <w:r>
        <w:rPr>
          <w:rFonts w:ascii="Times New Roman"/>
          <w:snapToGrid w:val="0"/>
          <w:color w:val="auto"/>
          <w:spacing w:val="-6"/>
          <w:kern w:val="21"/>
          <w:sz w:val="20"/>
          <w:szCs w:val="20"/>
        </w:rPr>
        <w:t>-</w:t>
      </w:r>
      <w:r>
        <w:rPr>
          <w:rFonts w:ascii="Times New Roman"/>
          <w:snapToGrid w:val="0"/>
          <w:color w:val="auto"/>
          <w:spacing w:val="-16"/>
          <w:kern w:val="21"/>
          <w:sz w:val="20"/>
          <w:szCs w:val="20"/>
        </w:rPr>
        <w:fldChar w:fldCharType="begin"/>
      </w:r>
      <w:r>
        <w:rPr>
          <w:rFonts w:ascii="Times New Roman"/>
          <w:snapToGrid w:val="0"/>
          <w:color w:val="auto"/>
          <w:spacing w:val="-16"/>
          <w:kern w:val="21"/>
          <w:sz w:val="20"/>
          <w:szCs w:val="20"/>
        </w:rPr>
        <w:instrText xml:space="preserve"> = 5 \* GB3 \* MERGEFORMAT </w:instrText>
      </w:r>
      <w:r>
        <w:rPr>
          <w:rFonts w:ascii="Times New Roman"/>
          <w:snapToGrid w:val="0"/>
          <w:color w:val="auto"/>
          <w:spacing w:val="-16"/>
          <w:kern w:val="21"/>
          <w:sz w:val="20"/>
          <w:szCs w:val="20"/>
        </w:rPr>
        <w:fldChar w:fldCharType="separate"/>
      </w:r>
      <w:r>
        <w:rPr>
          <w:rFonts w:ascii="Times New Roman"/>
          <w:color w:val="auto"/>
          <w:sz w:val="20"/>
          <w:szCs w:val="20"/>
        </w:rPr>
        <w:t>⑤</w:t>
      </w:r>
      <w:r>
        <w:rPr>
          <w:rFonts w:ascii="Times New Roman"/>
          <w:snapToGrid w:val="0"/>
          <w:color w:val="auto"/>
          <w:spacing w:val="-16"/>
          <w:kern w:val="21"/>
          <w:sz w:val="20"/>
          <w:szCs w:val="20"/>
        </w:rPr>
        <w:fldChar w:fldCharType="end"/>
      </w:r>
      <w:r>
        <w:rPr>
          <w:rFonts w:ascii="Times New Roman"/>
          <w:snapToGrid w:val="0"/>
          <w:color w:val="auto"/>
          <w:spacing w:val="-16"/>
          <w:kern w:val="21"/>
          <w:sz w:val="20"/>
          <w:szCs w:val="20"/>
        </w:rPr>
        <w:t>；</w:t>
      </w:r>
      <w:r>
        <w:rPr>
          <w:rFonts w:ascii="Times New Roman"/>
          <w:snapToGrid w:val="0"/>
          <w:color w:val="auto"/>
          <w:spacing w:val="-6"/>
          <w:kern w:val="21"/>
          <w:sz w:val="20"/>
          <w:szCs w:val="20"/>
        </w:rPr>
        <w:fldChar w:fldCharType="begin"/>
      </w:r>
      <w:r>
        <w:rPr>
          <w:rFonts w:ascii="Times New Roman"/>
          <w:snapToGrid w:val="0"/>
          <w:color w:val="auto"/>
          <w:spacing w:val="-6"/>
          <w:kern w:val="21"/>
          <w:sz w:val="20"/>
          <w:szCs w:val="20"/>
        </w:rPr>
        <w:instrText xml:space="preserve"> = 7 \* GB3 \* MERGEFORMAT </w:instrText>
      </w:r>
      <w:r>
        <w:rPr>
          <w:rFonts w:ascii="Times New Roman"/>
          <w:snapToGrid w:val="0"/>
          <w:color w:val="auto"/>
          <w:spacing w:val="-6"/>
          <w:kern w:val="21"/>
          <w:sz w:val="20"/>
          <w:szCs w:val="20"/>
        </w:rPr>
        <w:fldChar w:fldCharType="separate"/>
      </w:r>
      <w:r>
        <w:rPr>
          <w:rFonts w:ascii="Times New Roman"/>
          <w:color w:val="auto"/>
          <w:sz w:val="20"/>
          <w:szCs w:val="20"/>
        </w:rPr>
        <w:t>⑦</w:t>
      </w:r>
      <w:r>
        <w:rPr>
          <w:rFonts w:ascii="Times New Roman"/>
          <w:snapToGrid w:val="0"/>
          <w:color w:val="auto"/>
          <w:spacing w:val="-6"/>
          <w:kern w:val="21"/>
          <w:sz w:val="20"/>
          <w:szCs w:val="20"/>
        </w:rPr>
        <w:fldChar w:fldCharType="end"/>
      </w:r>
      <w:r>
        <w:rPr>
          <w:rFonts w:ascii="Times New Roman"/>
          <w:snapToGrid w:val="0"/>
          <w:color w:val="auto"/>
          <w:spacing w:val="-6"/>
          <w:kern w:val="21"/>
          <w:sz w:val="20"/>
          <w:szCs w:val="20"/>
        </w:rPr>
        <w:t>=</w:t>
      </w:r>
      <w:r>
        <w:rPr>
          <w:rFonts w:ascii="Times New Roman"/>
          <w:snapToGrid w:val="0"/>
          <w:color w:val="auto"/>
          <w:spacing w:val="-16"/>
          <w:kern w:val="21"/>
          <w:sz w:val="20"/>
          <w:szCs w:val="20"/>
        </w:rPr>
        <w:fldChar w:fldCharType="begin"/>
      </w:r>
      <w:r>
        <w:rPr>
          <w:rFonts w:ascii="Times New Roman"/>
          <w:snapToGrid w:val="0"/>
          <w:color w:val="auto"/>
          <w:spacing w:val="-16"/>
          <w:kern w:val="21"/>
          <w:sz w:val="20"/>
          <w:szCs w:val="20"/>
        </w:rPr>
        <w:instrText xml:space="preserve"> = 6 \* GB3 \* MERGEFORMAT </w:instrText>
      </w:r>
      <w:r>
        <w:rPr>
          <w:rFonts w:ascii="Times New Roman"/>
          <w:snapToGrid w:val="0"/>
          <w:color w:val="auto"/>
          <w:spacing w:val="-16"/>
          <w:kern w:val="21"/>
          <w:sz w:val="20"/>
          <w:szCs w:val="20"/>
        </w:rPr>
        <w:fldChar w:fldCharType="separate"/>
      </w:r>
      <w:r>
        <w:rPr>
          <w:rFonts w:ascii="Times New Roman"/>
          <w:color w:val="auto"/>
          <w:sz w:val="20"/>
          <w:szCs w:val="20"/>
        </w:rPr>
        <w:t>⑥</w:t>
      </w:r>
      <w:r>
        <w:rPr>
          <w:rFonts w:ascii="Times New Roman"/>
          <w:snapToGrid w:val="0"/>
          <w:color w:val="auto"/>
          <w:spacing w:val="-16"/>
          <w:kern w:val="21"/>
          <w:sz w:val="20"/>
          <w:szCs w:val="20"/>
        </w:rPr>
        <w:fldChar w:fldCharType="end"/>
      </w:r>
      <w:r>
        <w:rPr>
          <w:rFonts w:ascii="Times New Roman"/>
          <w:snapToGrid w:val="0"/>
          <w:color w:val="auto"/>
          <w:spacing w:val="-16"/>
          <w:kern w:val="21"/>
          <w:sz w:val="20"/>
          <w:szCs w:val="20"/>
        </w:rPr>
        <w:t>-</w:t>
      </w:r>
      <w:r>
        <w:rPr>
          <w:rFonts w:ascii="Times New Roman"/>
          <w:snapToGrid w:val="0"/>
          <w:color w:val="auto"/>
          <w:spacing w:val="-6"/>
          <w:kern w:val="21"/>
          <w:sz w:val="20"/>
          <w:szCs w:val="20"/>
        </w:rPr>
        <w:fldChar w:fldCharType="begin"/>
      </w:r>
      <w:r>
        <w:rPr>
          <w:rFonts w:ascii="Times New Roman"/>
          <w:snapToGrid w:val="0"/>
          <w:color w:val="auto"/>
          <w:spacing w:val="-6"/>
          <w:kern w:val="21"/>
          <w:sz w:val="20"/>
          <w:szCs w:val="20"/>
        </w:rPr>
        <w:instrText xml:space="preserve"> = 1 \* GB3 \* MERGEFORMAT </w:instrText>
      </w:r>
      <w:r>
        <w:rPr>
          <w:rFonts w:ascii="Times New Roman"/>
          <w:snapToGrid w:val="0"/>
          <w:color w:val="auto"/>
          <w:spacing w:val="-6"/>
          <w:kern w:val="21"/>
          <w:sz w:val="20"/>
          <w:szCs w:val="20"/>
        </w:rPr>
        <w:fldChar w:fldCharType="separate"/>
      </w:r>
      <w:r>
        <w:rPr>
          <w:rFonts w:ascii="Times New Roman"/>
          <w:color w:val="auto"/>
          <w:sz w:val="20"/>
          <w:szCs w:val="20"/>
        </w:rPr>
        <w:t>①</w:t>
      </w:r>
      <w:r>
        <w:rPr>
          <w:rFonts w:ascii="Times New Roman"/>
          <w:snapToGrid w:val="0"/>
          <w:color w:val="auto"/>
          <w:spacing w:val="-6"/>
          <w:kern w:val="21"/>
          <w:sz w:val="20"/>
          <w:szCs w:val="20"/>
        </w:rPr>
        <w:fldChar w:fldCharType="end"/>
      </w:r>
    </w:p>
    <w:p>
      <w:pPr>
        <w:pStyle w:val="27"/>
        <w:ind w:firstLine="0" w:firstLineChars="0"/>
        <w:jc w:val="center"/>
        <w:rPr>
          <w:color w:val="auto"/>
        </w:rPr>
      </w:pPr>
      <w:r>
        <w:rPr>
          <w:b/>
          <w:color w:val="auto"/>
          <w:kern w:val="2"/>
          <w:sz w:val="24"/>
          <w:szCs w:val="24"/>
        </w:rPr>
        <mc:AlternateContent>
          <mc:Choice Requires="wpg">
            <w:drawing>
              <wp:anchor distT="0" distB="0" distL="114300" distR="114300" simplePos="0" relativeHeight="251660288" behindDoc="0" locked="0" layoutInCell="1" allowOverlap="1">
                <wp:simplePos x="0" y="0"/>
                <wp:positionH relativeFrom="column">
                  <wp:posOffset>32385</wp:posOffset>
                </wp:positionH>
                <wp:positionV relativeFrom="paragraph">
                  <wp:posOffset>4112895</wp:posOffset>
                </wp:positionV>
                <wp:extent cx="1838325" cy="904875"/>
                <wp:effectExtent l="9525" t="9525" r="9525" b="9525"/>
                <wp:wrapNone/>
                <wp:docPr id="24" name="Group 104"/>
                <wp:cNvGraphicFramePr/>
                <a:graphic xmlns:a="http://schemas.openxmlformats.org/drawingml/2006/main">
                  <a:graphicData uri="http://schemas.microsoft.com/office/word/2010/wordprocessingGroup">
                    <wpg:wgp>
                      <wpg:cNvGrpSpPr/>
                      <wpg:grpSpPr>
                        <a:xfrm>
                          <a:off x="0" y="0"/>
                          <a:ext cx="1838325" cy="904875"/>
                          <a:chOff x="11475" y="8370"/>
                          <a:chExt cx="2895" cy="1425"/>
                        </a:xfrm>
                      </wpg:grpSpPr>
                      <wps:wsp>
                        <wps:cNvPr id="25" name="Rectangle 98"/>
                        <wps:cNvSpPr>
                          <a:spLocks noChangeArrowheads="1"/>
                        </wps:cNvSpPr>
                        <wps:spPr bwMode="auto">
                          <a:xfrm>
                            <a:off x="11475" y="8370"/>
                            <a:ext cx="2895" cy="14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6" name="Text Box 99"/>
                        <wps:cNvSpPr txBox="1">
                          <a:spLocks noChangeArrowheads="1"/>
                        </wps:cNvSpPr>
                        <wps:spPr bwMode="auto">
                          <a:xfrm>
                            <a:off x="12420" y="8520"/>
                            <a:ext cx="1170" cy="435"/>
                          </a:xfrm>
                          <a:prstGeom prst="rect">
                            <a:avLst/>
                          </a:prstGeom>
                          <a:noFill/>
                          <a:ln>
                            <a:noFill/>
                          </a:ln>
                        </wps:spPr>
                        <wps:txbx>
                          <w:txbxContent>
                            <w:p>
                              <w:pPr>
                                <w:rPr>
                                  <w:b/>
                                  <w:bCs/>
                                </w:rPr>
                              </w:pPr>
                              <w:r>
                                <w:rPr>
                                  <w:rFonts w:hint="eastAsia"/>
                                  <w:b/>
                                  <w:bCs/>
                                </w:rPr>
                                <w:t xml:space="preserve">图 </w:t>
                              </w:r>
                              <w:r>
                                <w:rPr>
                                  <w:b/>
                                  <w:bCs/>
                                </w:rPr>
                                <w:t xml:space="preserve"> </w:t>
                              </w:r>
                              <w:r>
                                <w:rPr>
                                  <w:rFonts w:hint="eastAsia"/>
                                  <w:b/>
                                  <w:bCs/>
                                </w:rPr>
                                <w:t>例</w:t>
                              </w:r>
                            </w:p>
                          </w:txbxContent>
                        </wps:txbx>
                        <wps:bodyPr rot="0" vert="horz" wrap="square" lIns="91440" tIns="45720" rIns="91440" bIns="45720" anchor="t" anchorCtr="0" upright="1">
                          <a:noAutofit/>
                        </wps:bodyPr>
                      </wps:wsp>
                      <wps:wsp>
                        <wps:cNvPr id="27" name="Text Box 100"/>
                        <wps:cNvSpPr txBox="1">
                          <a:spLocks noChangeArrowheads="1"/>
                        </wps:cNvSpPr>
                        <wps:spPr bwMode="auto">
                          <a:xfrm>
                            <a:off x="12660" y="9120"/>
                            <a:ext cx="1395" cy="435"/>
                          </a:xfrm>
                          <a:prstGeom prst="rect">
                            <a:avLst/>
                          </a:prstGeom>
                          <a:noFill/>
                          <a:ln>
                            <a:noFill/>
                          </a:ln>
                        </wps:spPr>
                        <wps:txbx>
                          <w:txbxContent>
                            <w:p>
                              <w:pPr>
                                <w:rPr>
                                  <w:b/>
                                  <w:bCs/>
                                </w:rPr>
                              </w:pPr>
                              <w:r>
                                <w:rPr>
                                  <w:rFonts w:hint="eastAsia"/>
                                  <w:b/>
                                  <w:bCs/>
                                </w:rPr>
                                <w:t>本项目位置</w:t>
                              </w:r>
                            </w:p>
                          </w:txbxContent>
                        </wps:txbx>
                        <wps:bodyPr rot="0" vert="horz" wrap="square" lIns="91440" tIns="45720" rIns="91440" bIns="45720" anchor="t" anchorCtr="0" upright="1">
                          <a:noAutofit/>
                        </wps:bodyPr>
                      </wps:wsp>
                      <wps:wsp>
                        <wps:cNvPr id="28" name="AutoShape 102"/>
                        <wps:cNvSpPr>
                          <a:spLocks noChangeArrowheads="1"/>
                        </wps:cNvSpPr>
                        <wps:spPr bwMode="auto">
                          <a:xfrm>
                            <a:off x="11970" y="9120"/>
                            <a:ext cx="360" cy="405"/>
                          </a:xfrm>
                          <a:prstGeom prst="star5">
                            <a:avLst/>
                          </a:prstGeom>
                          <a:solidFill>
                            <a:srgbClr val="FF0000"/>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Group 104" o:spid="_x0000_s1026" o:spt="203" style="position:absolute;left:0pt;margin-left:2.55pt;margin-top:323.85pt;height:71.25pt;width:144.75pt;z-index:251660288;mso-width-relative:page;mso-height-relative:page;" coordorigin="11475,8370" coordsize="2895,1425" o:gfxdata="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no7ZotoAAAAJAQAADwAAAAAAAAABACAAAAAi&#10;AAAAZHJzL2Rvd25yZXYueG1sUEsBAhQAFAAAAAgAh07iQF1YLIklAwAAZgwAAA4AAAAAAAAAAQAg&#10;AAAAKQEAAGRycy9lMm9Eb2MueG1sUEsFBgAAAAAGAAYAWQEAAMAGAAAAAA==&#10;">
                <o:lock v:ext="edit" aspectratio="f"/>
                <v:rect id="Rectangle 98" o:spid="_x0000_s1026" o:spt="1" style="position:absolute;left:11475;top:8370;height:1425;width:2895;" fillcolor="#FFFFFF" filled="t" stroked="t" coordsize="21600,21600" o:gfxdata="UEsDBAoAAAAAAIdO4kAAAAAAAAAAAAAAAAAEAAAAZHJzL1BLAwQUAAAACACHTuJAW4d3tL0AAADb&#10;AAAADwAAAGRycy9kb3ducmV2LnhtbEWPwW7CMBBE75X4B2uReit2UhW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3e0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Text Box 99" o:spid="_x0000_s1026" o:spt="202" type="#_x0000_t202" style="position:absolute;left:12420;top:8520;height:435;width:1170;"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b/>
                            <w:bCs/>
                          </w:rPr>
                        </w:pPr>
                        <w:r>
                          <w:rPr>
                            <w:rFonts w:hint="eastAsia"/>
                            <w:b/>
                            <w:bCs/>
                          </w:rPr>
                          <w:t xml:space="preserve">图 </w:t>
                        </w:r>
                        <w:r>
                          <w:rPr>
                            <w:b/>
                            <w:bCs/>
                          </w:rPr>
                          <w:t xml:space="preserve"> </w:t>
                        </w:r>
                        <w:r>
                          <w:rPr>
                            <w:rFonts w:hint="eastAsia"/>
                            <w:b/>
                            <w:bCs/>
                          </w:rPr>
                          <w:t>例</w:t>
                        </w:r>
                      </w:p>
                    </w:txbxContent>
                  </v:textbox>
                </v:shape>
                <v:shape id="Text Box 100" o:spid="_x0000_s1026" o:spt="202" type="#_x0000_t202" style="position:absolute;left:12660;top:9120;height:435;width:1395;"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b/>
                            <w:bCs/>
                          </w:rPr>
                        </w:pPr>
                        <w:r>
                          <w:rPr>
                            <w:rFonts w:hint="eastAsia"/>
                            <w:b/>
                            <w:bCs/>
                          </w:rPr>
                          <w:t>本项目位置</w:t>
                        </w:r>
                      </w:p>
                    </w:txbxContent>
                  </v:textbox>
                </v:shape>
                <v:shape id="AutoShape 102" o:spid="_x0000_s1026" style="position:absolute;left:11970;top:9120;height:405;width:360;" fillcolor="#FF0000" filled="t" stroked="t" coordsize="360,405" o:gfxdata="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z0PjLtwAAANsAAAAP&#10;AAAAAAAAAAEAIAAAACIAAABkcnMvZG93bnJldi54bWxQSwECFAAUAAAACACHTuJAMy8FnjsAAAA5&#10;AAAAEAAAAAAAAAABACAAAAAGAQAAZHJzL3NoYXBleG1sLnhtbFBLBQYAAAAABgAGAFsBAACwAwAA&#10;AAA=&#10;" path="m0,154l137,154,180,0,222,154,359,154,248,250,291,404,180,309,68,404,111,250xe">
                  <v:path o:connectlocs="180,0;0,154;68,404;291,404;359,154" o:connectangles="247,164,82,82,0"/>
                  <v:fill on="t" focussize="0,0"/>
                  <v:stroke color="#000000" miterlimit="8" joinstyle="miter"/>
                  <v:imagedata o:title=""/>
                  <o:lock v:ext="edit" aspectratio="f"/>
                </v:shape>
              </v:group>
            </w:pict>
          </mc:Fallback>
        </mc:AlternateContent>
      </w:r>
    </w:p>
    <w:p>
      <w:pPr>
        <w:pStyle w:val="27"/>
        <w:spacing w:line="240" w:lineRule="auto"/>
        <w:ind w:firstLine="0" w:firstLineChars="0"/>
        <w:jc w:val="center"/>
        <w:outlineLvl w:val="0"/>
      </w:pPr>
      <w:bookmarkStart w:id="352" w:name="_Toc1025"/>
      <w:bookmarkStart w:id="353" w:name="_Toc11193"/>
      <w:bookmarkStart w:id="354" w:name="_Toc25657"/>
      <w:r>
        <w:rPr>
          <w:rFonts w:hint="eastAsia" w:eastAsia="宋体" w:cs="Times New Roman"/>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column">
              <wp:posOffset>4490085</wp:posOffset>
            </wp:positionH>
            <wp:positionV relativeFrom="paragraph">
              <wp:posOffset>13970</wp:posOffset>
            </wp:positionV>
            <wp:extent cx="855345" cy="829945"/>
            <wp:effectExtent l="0" t="0" r="1905" b="8255"/>
            <wp:wrapNone/>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28"/>
                    <a:stretch>
                      <a:fillRect/>
                    </a:stretch>
                  </pic:blipFill>
                  <pic:spPr>
                    <a:xfrm>
                      <a:off x="0" y="0"/>
                      <a:ext cx="855345" cy="829945"/>
                    </a:xfrm>
                    <a:prstGeom prst="rect">
                      <a:avLst/>
                    </a:prstGeom>
                    <a:noFill/>
                    <a:ln>
                      <a:noFill/>
                    </a:ln>
                  </pic:spPr>
                </pic:pic>
              </a:graphicData>
            </a:graphic>
          </wp:anchor>
        </w:drawing>
      </w:r>
      <w:r>
        <w:rPr>
          <w:b/>
          <w:color w:val="auto"/>
          <w:kern w:val="2"/>
          <w:sz w:val="24"/>
          <w:szCs w:val="24"/>
        </w:rPr>
        <mc:AlternateContent>
          <mc:Choice Requires="wps">
            <w:drawing>
              <wp:anchor distT="0" distB="0" distL="114300" distR="114300" simplePos="0" relativeHeight="251659264" behindDoc="0" locked="0" layoutInCell="1" allowOverlap="1">
                <wp:simplePos x="0" y="0"/>
                <wp:positionH relativeFrom="column">
                  <wp:posOffset>4404995</wp:posOffset>
                </wp:positionH>
                <wp:positionV relativeFrom="paragraph">
                  <wp:posOffset>1626870</wp:posOffset>
                </wp:positionV>
                <wp:extent cx="194945" cy="180340"/>
                <wp:effectExtent l="15240" t="15240" r="18415" b="13970"/>
                <wp:wrapNone/>
                <wp:docPr id="23" name="AutoShape 101"/>
                <wp:cNvGraphicFramePr/>
                <a:graphic xmlns:a="http://schemas.openxmlformats.org/drawingml/2006/main">
                  <a:graphicData uri="http://schemas.microsoft.com/office/word/2010/wordprocessingShape">
                    <wps:wsp>
                      <wps:cNvSpPr>
                        <a:spLocks noChangeArrowheads="1"/>
                      </wps:cNvSpPr>
                      <wps:spPr bwMode="auto">
                        <a:xfrm>
                          <a:off x="0" y="0"/>
                          <a:ext cx="194945" cy="180340"/>
                        </a:xfrm>
                        <a:prstGeom prst="star5">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AutoShape 101" o:spid="_x0000_s1026" style="position:absolute;left:0pt;margin-left:346.85pt;margin-top:128.1pt;height:14.2pt;width:15.35pt;z-index:251659264;mso-width-relative:page;mso-height-relative:page;" fillcolor="#FF0000" filled="t" stroked="t" coordsize="194945,180340" o:gfxdata="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xCW9/cAAAACwEAAA8AAAAAAAAA&#10;AQAgAAAAIgAAAGRycy9kb3ducmV2LnhtbFBLAQIUABQAAAAIAIdO4kBdCaThDQIAACcEAAAOAAAA&#10;AAAAAAEAIAAAACsBAABkcnMvZTJvRG9jLnhtbFBLBQYAAAAABgAGAFkBAACqBQAAAAA=&#10;" path="m0,68883l74462,68884,97472,0,120482,68884,194944,68883,134703,111455,157713,180339,97472,137766,37231,180339,60241,111455xe">
                <v:path o:connectlocs="97472,0;0,68883;37231,180339;157713,180339;194944,68883" o:connectangles="247,164,82,82,0"/>
                <v:fill on="t" focussize="0,0"/>
                <v:stroke color="#000000" miterlimit="8" joinstyle="miter"/>
                <v:imagedata o:title=""/>
                <o:lock v:ext="edit" aspectratio="f"/>
              </v:shape>
            </w:pict>
          </mc:Fallback>
        </mc:AlternateContent>
      </w:r>
      <w:bookmarkEnd w:id="352"/>
      <w:r>
        <w:drawing>
          <wp:inline distT="0" distB="0" distL="114300" distR="114300">
            <wp:extent cx="5103495" cy="5610860"/>
            <wp:effectExtent l="0" t="0" r="1905" b="889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9"/>
                    <a:stretch>
                      <a:fillRect/>
                    </a:stretch>
                  </pic:blipFill>
                  <pic:spPr>
                    <a:xfrm>
                      <a:off x="0" y="0"/>
                      <a:ext cx="5103495" cy="5610860"/>
                    </a:xfrm>
                    <a:prstGeom prst="rect">
                      <a:avLst/>
                    </a:prstGeom>
                    <a:noFill/>
                    <a:ln>
                      <a:noFill/>
                    </a:ln>
                  </pic:spPr>
                </pic:pic>
              </a:graphicData>
            </a:graphic>
          </wp:inline>
        </w:drawing>
      </w:r>
      <w:bookmarkEnd w:id="353"/>
      <w:bookmarkEnd w:id="354"/>
    </w:p>
    <w:p>
      <w:pPr>
        <w:pStyle w:val="27"/>
        <w:spacing w:line="240" w:lineRule="auto"/>
        <w:ind w:firstLine="0" w:firstLineChars="0"/>
        <w:jc w:val="center"/>
        <w:outlineLvl w:val="0"/>
        <w:rPr>
          <w:rFonts w:eastAsia="黑体"/>
          <w:snapToGrid w:val="0"/>
          <w:color w:val="auto"/>
          <w:sz w:val="28"/>
          <w:szCs w:val="28"/>
          <w:highlight w:val="none"/>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bookmarkStart w:id="355" w:name="_Toc23768"/>
      <w:r>
        <w:rPr>
          <w:rFonts w:eastAsia="黑体"/>
          <w:snapToGrid w:val="0"/>
          <w:color w:val="auto"/>
          <w:sz w:val="28"/>
          <w:szCs w:val="28"/>
          <w:highlight w:val="none"/>
        </w:rPr>
        <w:t>附图1</w:t>
      </w:r>
      <w:r>
        <w:rPr>
          <w:rFonts w:hint="eastAsia" w:eastAsia="黑体"/>
          <w:snapToGrid w:val="0"/>
          <w:color w:val="auto"/>
          <w:sz w:val="28"/>
          <w:szCs w:val="28"/>
          <w:highlight w:val="none"/>
          <w:lang w:val="en-US" w:eastAsia="zh-CN"/>
        </w:rPr>
        <w:t xml:space="preserve"> 项目</w:t>
      </w:r>
      <w:r>
        <w:rPr>
          <w:rFonts w:eastAsia="黑体"/>
          <w:snapToGrid w:val="0"/>
          <w:color w:val="auto"/>
          <w:sz w:val="28"/>
          <w:szCs w:val="28"/>
          <w:highlight w:val="none"/>
        </w:rPr>
        <w:t>地理位置图</w:t>
      </w:r>
      <w:bookmarkEnd w:id="355"/>
    </w:p>
    <w:p>
      <w:pPr>
        <w:pStyle w:val="27"/>
        <w:ind w:firstLine="0" w:firstLineChars="0"/>
        <w:jc w:val="center"/>
        <w:outlineLvl w:val="0"/>
      </w:pPr>
      <w:bookmarkStart w:id="356" w:name="_Toc30989"/>
      <w:bookmarkStart w:id="357" w:name="_Toc6226"/>
      <w:bookmarkStart w:id="358" w:name="_Toc19934"/>
      <w:r>
        <w:drawing>
          <wp:inline distT="0" distB="0" distL="114300" distR="114300">
            <wp:extent cx="8529955" cy="4479290"/>
            <wp:effectExtent l="0" t="0" r="4445" b="1651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30"/>
                    <a:stretch>
                      <a:fillRect/>
                    </a:stretch>
                  </pic:blipFill>
                  <pic:spPr>
                    <a:xfrm>
                      <a:off x="0" y="0"/>
                      <a:ext cx="8529955" cy="4479290"/>
                    </a:xfrm>
                    <a:prstGeom prst="rect">
                      <a:avLst/>
                    </a:prstGeom>
                    <a:noFill/>
                    <a:ln>
                      <a:noFill/>
                    </a:ln>
                  </pic:spPr>
                </pic:pic>
              </a:graphicData>
            </a:graphic>
          </wp:inline>
        </w:drawing>
      </w:r>
      <w:bookmarkEnd w:id="356"/>
      <w:r>
        <w:drawing>
          <wp:inline distT="0" distB="0" distL="114300" distR="114300">
            <wp:extent cx="8521065" cy="5846445"/>
            <wp:effectExtent l="0" t="0" r="13335" b="190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31"/>
                    <a:stretch>
                      <a:fillRect/>
                    </a:stretch>
                  </pic:blipFill>
                  <pic:spPr>
                    <a:xfrm>
                      <a:off x="0" y="0"/>
                      <a:ext cx="8521065" cy="5846445"/>
                    </a:xfrm>
                    <a:prstGeom prst="rect">
                      <a:avLst/>
                    </a:prstGeom>
                    <a:noFill/>
                    <a:ln>
                      <a:noFill/>
                    </a:ln>
                  </pic:spPr>
                </pic:pic>
              </a:graphicData>
            </a:graphic>
          </wp:inline>
        </w:drawing>
      </w:r>
      <w:r>
        <w:drawing>
          <wp:inline distT="0" distB="0" distL="114300" distR="114300">
            <wp:extent cx="6851650" cy="4704715"/>
            <wp:effectExtent l="0" t="0" r="6350" b="635"/>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32"/>
                    <a:stretch>
                      <a:fillRect/>
                    </a:stretch>
                  </pic:blipFill>
                  <pic:spPr>
                    <a:xfrm>
                      <a:off x="0" y="0"/>
                      <a:ext cx="6851650" cy="4704715"/>
                    </a:xfrm>
                    <a:prstGeom prst="rect">
                      <a:avLst/>
                    </a:prstGeom>
                    <a:noFill/>
                    <a:ln>
                      <a:noFill/>
                    </a:ln>
                  </pic:spPr>
                </pic:pic>
              </a:graphicData>
            </a:graphic>
          </wp:inline>
        </w:drawing>
      </w:r>
      <w:bookmarkEnd w:id="357"/>
      <w:bookmarkEnd w:id="358"/>
    </w:p>
    <w:p>
      <w:pPr>
        <w:pStyle w:val="27"/>
        <w:ind w:firstLine="0" w:firstLineChars="0"/>
        <w:jc w:val="center"/>
        <w:outlineLvl w:val="0"/>
        <w:rPr>
          <w:rFonts w:hint="default" w:ascii="Times New Roman" w:hAnsi="Times New Roman" w:cs="Times New Roman"/>
          <w:b/>
          <w:bCs/>
          <w:color w:val="auto"/>
          <w:sz w:val="24"/>
          <w:szCs w:val="24"/>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bookmarkStart w:id="359" w:name="_Toc11920"/>
      <w:r>
        <w:rPr>
          <w:rFonts w:hint="default" w:ascii="Times New Roman" w:hAnsi="Times New Roman" w:cs="Times New Roman"/>
          <w:b/>
          <w:bCs/>
          <w:color w:val="auto"/>
          <w:sz w:val="24"/>
          <w:szCs w:val="24"/>
          <w:highlight w:val="none"/>
        </w:rPr>
        <w:t>附图</w:t>
      </w:r>
      <w:r>
        <w:rPr>
          <w:rFonts w:hint="eastAsia"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rPr>
        <w:t xml:space="preserve"> </w:t>
      </w:r>
      <w:r>
        <w:rPr>
          <w:rFonts w:hint="eastAsia" w:cs="Times New Roman"/>
          <w:b/>
          <w:bCs/>
          <w:color w:val="auto"/>
          <w:sz w:val="24"/>
          <w:szCs w:val="24"/>
          <w:highlight w:val="none"/>
          <w:lang w:eastAsia="zh-CN"/>
        </w:rPr>
        <w:t>项目</w:t>
      </w:r>
      <w:r>
        <w:rPr>
          <w:rFonts w:hint="default" w:ascii="Times New Roman" w:hAnsi="Times New Roman" w:cs="Times New Roman"/>
          <w:b/>
          <w:bCs/>
          <w:color w:val="auto"/>
          <w:sz w:val="24"/>
          <w:szCs w:val="24"/>
          <w:highlight w:val="none"/>
        </w:rPr>
        <w:t>平面布置图</w:t>
      </w:r>
      <w:bookmarkEnd w:id="359"/>
    </w:p>
    <w:p>
      <w:pPr>
        <w:outlineLvl w:val="0"/>
        <w:rPr>
          <w:rFonts w:hint="eastAsia" w:eastAsia="黑体"/>
          <w:snapToGrid w:val="0"/>
          <w:color w:val="auto"/>
          <w:sz w:val="32"/>
          <w:szCs w:val="32"/>
          <w:lang w:val="en-US" w:eastAsia="zh-CN"/>
        </w:rPr>
      </w:pPr>
      <w:bookmarkStart w:id="360" w:name="_Toc10177"/>
      <w:r>
        <w:rPr>
          <w:rFonts w:eastAsia="黑体"/>
          <w:snapToGrid w:val="0"/>
          <w:color w:val="auto"/>
          <w:sz w:val="32"/>
          <w:szCs w:val="32"/>
        </w:rPr>
        <w:t xml:space="preserve">附件1 </w:t>
      </w:r>
      <w:r>
        <w:rPr>
          <w:rFonts w:hint="eastAsia" w:eastAsia="黑体"/>
          <w:snapToGrid w:val="0"/>
          <w:color w:val="auto"/>
          <w:sz w:val="32"/>
          <w:szCs w:val="32"/>
          <w:lang w:val="en-US" w:eastAsia="zh-CN"/>
        </w:rPr>
        <w:t>土地手续</w:t>
      </w:r>
      <w:bookmarkEnd w:id="360"/>
    </w:p>
    <w:p>
      <w:pPr>
        <w:outlineLvl w:val="0"/>
        <w:rPr>
          <w:rFonts w:hint="eastAsia" w:eastAsia="黑体"/>
          <w:snapToGrid w:val="0"/>
          <w:color w:val="auto"/>
          <w:sz w:val="32"/>
          <w:szCs w:val="32"/>
          <w:lang w:val="en-US" w:eastAsia="zh-CN"/>
        </w:rPr>
      </w:pPr>
    </w:p>
    <w:p>
      <w:pPr>
        <w:pStyle w:val="8"/>
        <w:rPr>
          <w:rFonts w:hint="eastAsia" w:eastAsia="黑体"/>
          <w:snapToGrid w:val="0"/>
          <w:color w:val="auto"/>
          <w:sz w:val="32"/>
          <w:szCs w:val="32"/>
          <w:lang w:eastAsia="zh-CN"/>
        </w:rPr>
      </w:pPr>
    </w:p>
    <w:p>
      <w:pPr>
        <w:pStyle w:val="35"/>
        <w:rPr>
          <w:rFonts w:hint="eastAsia" w:eastAsia="黑体"/>
          <w:snapToGrid w:val="0"/>
          <w:color w:val="auto"/>
          <w:sz w:val="32"/>
          <w:szCs w:val="32"/>
          <w:lang w:eastAsia="zh-CN"/>
        </w:rPr>
      </w:pPr>
    </w:p>
    <w:p>
      <w:pPr>
        <w:pStyle w:val="36"/>
        <w:rPr>
          <w:rFonts w:hint="eastAsia"/>
          <w:color w:val="auto"/>
          <w:lang w:eastAsia="zh-CN"/>
        </w:rPr>
        <w:sectPr>
          <w:footerReference r:id="rId8" w:type="default"/>
          <w:pgSz w:w="11906" w:h="16838"/>
          <w:pgMar w:top="1701" w:right="1531" w:bottom="1701" w:left="1531" w:header="851" w:footer="850" w:gutter="0"/>
          <w:pgBorders>
            <w:top w:val="none" w:sz="0" w:space="0"/>
            <w:left w:val="none" w:sz="0" w:space="0"/>
            <w:bottom w:val="none" w:sz="0" w:space="0"/>
            <w:right w:val="none" w:sz="0" w:space="0"/>
          </w:pgBorders>
          <w:pgNumType w:fmt="decimal"/>
          <w:cols w:space="720" w:num="1"/>
          <w:docGrid w:linePitch="312" w:charSpace="0"/>
        </w:sectPr>
      </w:pPr>
    </w:p>
    <w:p>
      <w:pPr>
        <w:pStyle w:val="127"/>
        <w:jc w:val="both"/>
        <w:outlineLvl w:val="0"/>
        <w:rPr>
          <w:rFonts w:hint="eastAsia" w:ascii="Times New Roman" w:hAnsi="Times New Roman" w:eastAsia="黑体" w:cs="Times New Roman"/>
          <w:b w:val="0"/>
          <w:snapToGrid w:val="0"/>
          <w:color w:val="auto"/>
          <w:kern w:val="2"/>
          <w:sz w:val="32"/>
          <w:szCs w:val="32"/>
          <w:lang w:val="en-US" w:eastAsia="zh-CN" w:bidi="ar-SA"/>
        </w:rPr>
      </w:pPr>
      <w:bookmarkStart w:id="361" w:name="_Toc15990"/>
      <w:bookmarkStart w:id="362" w:name="_Toc20509"/>
      <w:r>
        <w:rPr>
          <w:rFonts w:hint="eastAsia" w:ascii="Times New Roman" w:hAnsi="Times New Roman" w:eastAsia="黑体" w:cs="Times New Roman"/>
          <w:b w:val="0"/>
          <w:snapToGrid w:val="0"/>
          <w:color w:val="auto"/>
          <w:kern w:val="2"/>
          <w:sz w:val="32"/>
          <w:szCs w:val="32"/>
          <w:lang w:val="en-US" w:eastAsia="zh-CN" w:bidi="ar-SA"/>
        </w:rPr>
        <w:t>附件</w:t>
      </w:r>
      <w:r>
        <w:rPr>
          <w:rFonts w:hint="eastAsia" w:eastAsia="黑体" w:cs="Times New Roman"/>
          <w:b w:val="0"/>
          <w:snapToGrid w:val="0"/>
          <w:color w:val="auto"/>
          <w:kern w:val="2"/>
          <w:sz w:val="32"/>
          <w:szCs w:val="32"/>
          <w:lang w:val="en-US" w:eastAsia="zh-CN" w:bidi="ar-SA"/>
        </w:rPr>
        <w:t>2</w:t>
      </w:r>
      <w:r>
        <w:rPr>
          <w:rFonts w:hint="eastAsia" w:ascii="Times New Roman" w:hAnsi="Times New Roman" w:eastAsia="黑体" w:cs="Times New Roman"/>
          <w:b w:val="0"/>
          <w:snapToGrid w:val="0"/>
          <w:color w:val="auto"/>
          <w:kern w:val="2"/>
          <w:sz w:val="32"/>
          <w:szCs w:val="32"/>
          <w:lang w:val="en-US" w:eastAsia="zh-CN" w:bidi="ar-SA"/>
        </w:rPr>
        <w:t xml:space="preserve"> 总量核定计算说明</w:t>
      </w:r>
      <w:bookmarkEnd w:id="361"/>
      <w:bookmarkEnd w:id="362"/>
    </w:p>
    <w:p>
      <w:pPr>
        <w:numPr>
          <w:ilvl w:val="0"/>
          <w:numId w:val="4"/>
        </w:numPr>
        <w:spacing w:line="360" w:lineRule="auto"/>
        <w:ind w:firstLine="480"/>
        <w:rPr>
          <w:rFonts w:hint="eastAsia"/>
          <w:bCs/>
          <w:color w:val="auto"/>
          <w:sz w:val="24"/>
          <w:highlight w:val="none"/>
          <w:lang w:val="en-US" w:eastAsia="zh-CN"/>
        </w:rPr>
      </w:pPr>
      <w:r>
        <w:rPr>
          <w:rFonts w:hint="eastAsia"/>
          <w:bCs/>
          <w:color w:val="auto"/>
          <w:sz w:val="24"/>
          <w:highlight w:val="none"/>
          <w:lang w:val="en-US" w:eastAsia="zh-CN"/>
        </w:rPr>
        <w:t>废水</w:t>
      </w:r>
    </w:p>
    <w:p>
      <w:pPr>
        <w:numPr>
          <w:ilvl w:val="0"/>
          <w:numId w:val="0"/>
        </w:numPr>
        <w:spacing w:line="360" w:lineRule="auto"/>
        <w:ind w:firstLine="480" w:firstLineChars="200"/>
        <w:rPr>
          <w:color w:val="auto"/>
          <w:sz w:val="24"/>
          <w:szCs w:val="24"/>
          <w:highlight w:val="none"/>
        </w:rPr>
      </w:pPr>
      <w:r>
        <w:rPr>
          <w:rFonts w:hint="eastAsia"/>
          <w:bCs/>
          <w:color w:val="auto"/>
          <w:sz w:val="24"/>
          <w:highlight w:val="none"/>
          <w:lang w:eastAsia="zh-CN"/>
        </w:rPr>
        <w:t>本项目</w:t>
      </w:r>
      <w:r>
        <w:rPr>
          <w:rFonts w:hint="eastAsia"/>
          <w:bCs/>
          <w:color w:val="auto"/>
          <w:sz w:val="24"/>
          <w:highlight w:val="none"/>
        </w:rPr>
        <w:t>废水排放</w:t>
      </w:r>
      <w:r>
        <w:rPr>
          <w:bCs/>
          <w:color w:val="auto"/>
          <w:sz w:val="24"/>
          <w:highlight w:val="none"/>
        </w:rPr>
        <w:t>量</w:t>
      </w:r>
      <w:r>
        <w:rPr>
          <w:rFonts w:hint="eastAsia"/>
          <w:bCs/>
          <w:color w:val="auto"/>
          <w:sz w:val="24"/>
          <w:szCs w:val="24"/>
          <w:highlight w:val="none"/>
        </w:rPr>
        <w:t>合计</w:t>
      </w:r>
      <w:r>
        <w:rPr>
          <w:bCs/>
          <w:color w:val="auto"/>
          <w:sz w:val="24"/>
          <w:szCs w:val="24"/>
          <w:highlight w:val="none"/>
        </w:rPr>
        <w:t>为</w:t>
      </w:r>
      <w:r>
        <w:rPr>
          <w:rFonts w:hint="eastAsia" w:cs="Times New Roman"/>
          <w:i w:val="0"/>
          <w:iCs w:val="0"/>
          <w:color w:val="auto"/>
          <w:kern w:val="0"/>
          <w:sz w:val="24"/>
          <w:szCs w:val="24"/>
          <w:u w:val="none"/>
          <w:lang w:val="en-US" w:eastAsia="zh-CN" w:bidi="ar"/>
        </w:rPr>
        <w:t>215.52</w:t>
      </w:r>
      <w:r>
        <w:rPr>
          <w:bCs/>
          <w:color w:val="auto"/>
          <w:sz w:val="24"/>
          <w:szCs w:val="24"/>
          <w:highlight w:val="none"/>
        </w:rPr>
        <w:t>t/a。</w:t>
      </w:r>
      <w:r>
        <w:rPr>
          <w:color w:val="auto"/>
          <w:sz w:val="24"/>
          <w:szCs w:val="24"/>
          <w:highlight w:val="none"/>
        </w:rPr>
        <w:t>项目污水执行</w:t>
      </w:r>
      <w:r>
        <w:rPr>
          <w:rFonts w:hint="eastAsia"/>
          <w:color w:val="auto"/>
          <w:sz w:val="24"/>
          <w:szCs w:val="24"/>
          <w:highlight w:val="none"/>
        </w:rPr>
        <w:t>《食品加工制造业水污染物排放标准》（GB46817—2025）间接排放标准</w:t>
      </w:r>
      <w:r>
        <w:rPr>
          <w:rFonts w:hint="eastAsia"/>
          <w:color w:val="auto"/>
          <w:sz w:val="24"/>
          <w:szCs w:val="24"/>
          <w:highlight w:val="none"/>
          <w:lang w:eastAsia="zh-CN"/>
        </w:rPr>
        <w:t>，</w:t>
      </w:r>
      <w:r>
        <w:rPr>
          <w:rFonts w:hint="eastAsia"/>
          <w:color w:val="auto"/>
          <w:sz w:val="24"/>
          <w:szCs w:val="24"/>
          <w:highlight w:val="none"/>
          <w:lang w:val="en-US" w:eastAsia="zh-CN"/>
        </w:rPr>
        <w:t>同时满足</w:t>
      </w:r>
      <w:r>
        <w:rPr>
          <w:rFonts w:hint="eastAsia" w:cs="Times New Roman"/>
          <w:iCs w:val="0"/>
          <w:color w:val="auto"/>
          <w:kern w:val="2"/>
          <w:sz w:val="24"/>
          <w:szCs w:val="24"/>
          <w:highlight w:val="none"/>
          <w:lang w:val="en-US" w:eastAsia="zh-CN" w:bidi="ar-SA"/>
        </w:rPr>
        <w:t>伊春市嘉荫县污水处理厂入水指标（</w:t>
      </w:r>
      <w:r>
        <w:rPr>
          <w:rFonts w:hint="eastAsia" w:ascii="Times New Roman" w:hAnsi="Times New Roman" w:eastAsia="宋体" w:cs="Times New Roman"/>
          <w:snapToGrid w:val="0"/>
          <w:color w:val="auto"/>
          <w:sz w:val="24"/>
          <w:szCs w:val="24"/>
          <w:highlight w:val="none"/>
          <w:lang w:val="en-US" w:eastAsia="zh-CN"/>
        </w:rPr>
        <w:t>COD≤300mg/L，氨氮≤25mg/L，BOD</w:t>
      </w:r>
      <w:r>
        <w:rPr>
          <w:rFonts w:hint="eastAsia" w:ascii="Times New Roman" w:hAnsi="Times New Roman" w:eastAsia="宋体" w:cs="Times New Roman"/>
          <w:snapToGrid w:val="0"/>
          <w:color w:val="auto"/>
          <w:sz w:val="24"/>
          <w:szCs w:val="24"/>
          <w:highlight w:val="none"/>
          <w:vertAlign w:val="subscript"/>
          <w:lang w:val="en-US" w:eastAsia="zh-CN"/>
        </w:rPr>
        <w:t>5</w:t>
      </w:r>
      <w:r>
        <w:rPr>
          <w:rFonts w:hint="eastAsia" w:ascii="Times New Roman" w:hAnsi="Times New Roman" w:eastAsia="宋体" w:cs="Times New Roman"/>
          <w:snapToGrid w:val="0"/>
          <w:color w:val="auto"/>
          <w:sz w:val="24"/>
          <w:szCs w:val="24"/>
          <w:highlight w:val="none"/>
          <w:lang w:val="en-US" w:eastAsia="zh-CN"/>
        </w:rPr>
        <w:t>≤150mg/L，SS≤250mg/L，总磷≤5mg/L，pH值6-9</w:t>
      </w:r>
      <w:r>
        <w:rPr>
          <w:rFonts w:hint="eastAsia" w:cs="Times New Roman"/>
          <w:iCs w:val="0"/>
          <w:color w:val="auto"/>
          <w:kern w:val="2"/>
          <w:sz w:val="24"/>
          <w:szCs w:val="24"/>
          <w:highlight w:val="none"/>
          <w:lang w:val="en-US" w:eastAsia="zh-CN" w:bidi="ar-SA"/>
        </w:rPr>
        <w:t>）</w:t>
      </w:r>
      <w:r>
        <w:rPr>
          <w:color w:val="auto"/>
          <w:sz w:val="24"/>
          <w:szCs w:val="24"/>
          <w:highlight w:val="none"/>
        </w:rPr>
        <w:t>。</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eastAsia="宋体"/>
          <w:color w:val="auto"/>
          <w:sz w:val="24"/>
          <w:szCs w:val="24"/>
          <w:highlight w:val="none"/>
          <w:lang w:val="en-US" w:eastAsia="zh-CN"/>
        </w:rPr>
      </w:pPr>
      <w:r>
        <w:rPr>
          <w:rFonts w:hint="eastAsia"/>
          <w:color w:val="auto"/>
          <w:sz w:val="24"/>
          <w:szCs w:val="24"/>
          <w:highlight w:val="none"/>
          <w:lang w:val="en-US" w:eastAsia="zh-CN"/>
        </w:rPr>
        <w:t>因此，本项目</w:t>
      </w:r>
      <w:r>
        <w:rPr>
          <w:color w:val="auto"/>
          <w:sz w:val="24"/>
          <w:szCs w:val="24"/>
          <w:highlight w:val="none"/>
        </w:rPr>
        <w:t>总量计算</w:t>
      </w:r>
      <w:r>
        <w:rPr>
          <w:rFonts w:hint="eastAsia"/>
          <w:color w:val="auto"/>
          <w:sz w:val="24"/>
          <w:szCs w:val="24"/>
          <w:highlight w:val="none"/>
          <w:lang w:eastAsia="zh-CN"/>
        </w:rPr>
        <w:t>如下：</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宋体"/>
          <w:color w:val="auto"/>
          <w:sz w:val="24"/>
          <w:szCs w:val="24"/>
          <w:highlight w:val="none"/>
          <w:lang w:val="en-US" w:eastAsia="zh-CN"/>
        </w:rPr>
      </w:pPr>
      <w:r>
        <w:rPr>
          <w:color w:val="auto"/>
          <w:sz w:val="24"/>
          <w:szCs w:val="24"/>
          <w:highlight w:val="none"/>
        </w:rPr>
        <w:t>COD</w:t>
      </w:r>
      <w:r>
        <w:rPr>
          <w:rFonts w:hint="eastAsia"/>
          <w:color w:val="auto"/>
          <w:sz w:val="24"/>
          <w:szCs w:val="24"/>
          <w:highlight w:val="none"/>
          <w:lang w:eastAsia="zh-CN"/>
        </w:rPr>
        <w:t>（</w:t>
      </w:r>
      <w:r>
        <w:rPr>
          <w:rFonts w:hint="eastAsia"/>
          <w:color w:val="auto"/>
          <w:sz w:val="24"/>
          <w:szCs w:val="24"/>
          <w:highlight w:val="none"/>
          <w:lang w:val="en-US" w:eastAsia="zh-CN"/>
        </w:rPr>
        <w:t>分担量</w:t>
      </w:r>
      <w:r>
        <w:rPr>
          <w:rFonts w:hint="eastAsia"/>
          <w:color w:val="auto"/>
          <w:sz w:val="24"/>
          <w:szCs w:val="24"/>
          <w:highlight w:val="none"/>
          <w:lang w:eastAsia="zh-CN"/>
        </w:rPr>
        <w:t>）：</w:t>
      </w:r>
      <w:r>
        <w:rPr>
          <w:rFonts w:hint="eastAsia"/>
          <w:color w:val="auto"/>
          <w:sz w:val="24"/>
          <w:szCs w:val="24"/>
          <w:highlight w:val="none"/>
          <w:lang w:val="en-US" w:eastAsia="zh-CN"/>
        </w:rPr>
        <w:t>=215.52</w:t>
      </w:r>
      <w:r>
        <w:rPr>
          <w:color w:val="auto"/>
          <w:sz w:val="24"/>
          <w:szCs w:val="24"/>
          <w:highlight w:val="none"/>
        </w:rPr>
        <w:t>×</w:t>
      </w:r>
      <w:r>
        <w:rPr>
          <w:rFonts w:hint="eastAsia"/>
          <w:color w:val="auto"/>
          <w:sz w:val="24"/>
          <w:szCs w:val="24"/>
          <w:highlight w:val="none"/>
          <w:lang w:val="en-US" w:eastAsia="zh-CN"/>
        </w:rPr>
        <w:t>3</w:t>
      </w:r>
      <w:r>
        <w:rPr>
          <w:color w:val="auto"/>
          <w:sz w:val="24"/>
          <w:szCs w:val="24"/>
          <w:highlight w:val="none"/>
        </w:rPr>
        <w:t>00×10</w:t>
      </w:r>
      <w:r>
        <w:rPr>
          <w:color w:val="auto"/>
          <w:sz w:val="24"/>
          <w:szCs w:val="24"/>
          <w:highlight w:val="none"/>
          <w:vertAlign w:val="superscript"/>
        </w:rPr>
        <w:t>-6</w:t>
      </w:r>
      <w:r>
        <w:rPr>
          <w:color w:val="auto"/>
          <w:sz w:val="24"/>
          <w:szCs w:val="24"/>
          <w:highlight w:val="none"/>
        </w:rPr>
        <w:t>=</w:t>
      </w:r>
      <w:r>
        <w:rPr>
          <w:rFonts w:hint="eastAsia"/>
          <w:color w:val="auto"/>
          <w:sz w:val="24"/>
          <w:szCs w:val="24"/>
          <w:highlight w:val="none"/>
          <w:lang w:val="en-US" w:eastAsia="zh-CN"/>
        </w:rPr>
        <w:t>0.065</w:t>
      </w:r>
      <w:r>
        <w:rPr>
          <w:color w:val="auto"/>
          <w:sz w:val="24"/>
          <w:szCs w:val="24"/>
          <w:highlight w:val="none"/>
        </w:rPr>
        <w:t>t</w:t>
      </w:r>
      <w:r>
        <w:rPr>
          <w:rFonts w:hint="eastAsia"/>
          <w:color w:val="auto"/>
          <w:sz w:val="24"/>
          <w:szCs w:val="24"/>
          <w:highlight w:val="none"/>
          <w:lang w:val="en-US" w:eastAsia="zh-CN"/>
        </w:rPr>
        <w:t>/a</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宋体"/>
          <w:color w:val="auto"/>
          <w:sz w:val="24"/>
          <w:szCs w:val="24"/>
          <w:highlight w:val="none"/>
          <w:lang w:val="en-US" w:eastAsia="zh-CN"/>
        </w:rPr>
      </w:pPr>
      <w:r>
        <w:rPr>
          <w:color w:val="auto"/>
          <w:sz w:val="24"/>
          <w:szCs w:val="24"/>
          <w:highlight w:val="none"/>
        </w:rPr>
        <w:t>氨氮</w:t>
      </w:r>
      <w:r>
        <w:rPr>
          <w:rFonts w:hint="eastAsia"/>
          <w:color w:val="auto"/>
          <w:sz w:val="24"/>
          <w:szCs w:val="24"/>
          <w:highlight w:val="none"/>
          <w:lang w:eastAsia="zh-CN"/>
        </w:rPr>
        <w:t>（</w:t>
      </w:r>
      <w:r>
        <w:rPr>
          <w:rFonts w:hint="eastAsia"/>
          <w:color w:val="auto"/>
          <w:sz w:val="24"/>
          <w:szCs w:val="24"/>
          <w:highlight w:val="none"/>
          <w:lang w:val="en-US" w:eastAsia="zh-CN"/>
        </w:rPr>
        <w:t>分担量</w:t>
      </w:r>
      <w:r>
        <w:rPr>
          <w:rFonts w:hint="eastAsia"/>
          <w:color w:val="auto"/>
          <w:sz w:val="24"/>
          <w:szCs w:val="24"/>
          <w:highlight w:val="none"/>
          <w:lang w:eastAsia="zh-CN"/>
        </w:rPr>
        <w:t>）</w:t>
      </w:r>
      <w:r>
        <w:rPr>
          <w:color w:val="auto"/>
          <w:sz w:val="24"/>
          <w:szCs w:val="24"/>
          <w:highlight w:val="none"/>
        </w:rPr>
        <w:t>：=</w:t>
      </w:r>
      <w:r>
        <w:rPr>
          <w:rFonts w:hint="eastAsia"/>
          <w:color w:val="auto"/>
          <w:sz w:val="24"/>
          <w:szCs w:val="24"/>
          <w:highlight w:val="none"/>
          <w:lang w:val="en-US" w:eastAsia="zh-CN"/>
        </w:rPr>
        <w:t>215.52</w:t>
      </w:r>
      <w:r>
        <w:rPr>
          <w:color w:val="auto"/>
          <w:sz w:val="24"/>
          <w:szCs w:val="24"/>
          <w:highlight w:val="none"/>
        </w:rPr>
        <w:t>×</w:t>
      </w:r>
      <w:r>
        <w:rPr>
          <w:rFonts w:hint="eastAsia"/>
          <w:color w:val="auto"/>
          <w:sz w:val="24"/>
          <w:szCs w:val="24"/>
          <w:highlight w:val="none"/>
          <w:lang w:val="en-US" w:eastAsia="zh-CN"/>
        </w:rPr>
        <w:t>25</w:t>
      </w:r>
      <w:r>
        <w:rPr>
          <w:color w:val="auto"/>
          <w:sz w:val="24"/>
          <w:szCs w:val="24"/>
          <w:highlight w:val="none"/>
        </w:rPr>
        <w:t>×10</w:t>
      </w:r>
      <w:r>
        <w:rPr>
          <w:color w:val="auto"/>
          <w:sz w:val="24"/>
          <w:szCs w:val="24"/>
          <w:highlight w:val="none"/>
          <w:vertAlign w:val="superscript"/>
        </w:rPr>
        <w:t>-6</w:t>
      </w:r>
      <w:r>
        <w:rPr>
          <w:color w:val="auto"/>
          <w:sz w:val="24"/>
          <w:szCs w:val="24"/>
          <w:highlight w:val="none"/>
        </w:rPr>
        <w:t>=</w:t>
      </w:r>
      <w:r>
        <w:rPr>
          <w:rFonts w:hint="eastAsia"/>
          <w:color w:val="auto"/>
          <w:sz w:val="24"/>
          <w:szCs w:val="24"/>
          <w:highlight w:val="none"/>
          <w:lang w:val="en-US" w:eastAsia="zh-CN"/>
        </w:rPr>
        <w:t>0.005</w:t>
      </w:r>
      <w:r>
        <w:rPr>
          <w:color w:val="auto"/>
          <w:sz w:val="24"/>
          <w:szCs w:val="24"/>
          <w:highlight w:val="none"/>
        </w:rPr>
        <w:t>t</w:t>
      </w:r>
      <w:r>
        <w:rPr>
          <w:rFonts w:hint="eastAsia"/>
          <w:color w:val="auto"/>
          <w:sz w:val="24"/>
          <w:szCs w:val="24"/>
          <w:highlight w:val="none"/>
          <w:lang w:val="en-US" w:eastAsia="zh-CN"/>
        </w:rPr>
        <w:t>/a</w:t>
      </w:r>
    </w:p>
    <w:p>
      <w:pPr>
        <w:numPr>
          <w:ilvl w:val="0"/>
          <w:numId w:val="0"/>
        </w:numPr>
        <w:spacing w:line="360" w:lineRule="auto"/>
        <w:ind w:firstLine="480" w:firstLineChars="200"/>
        <w:rPr>
          <w:rFonts w:hint="eastAsia" w:ascii="Times New Roman" w:hAnsi="Times New Roman"/>
          <w:color w:val="000000"/>
          <w:sz w:val="24"/>
          <w:szCs w:val="24"/>
          <w:lang w:eastAsia="zh-CN" w:bidi="ar"/>
        </w:rPr>
        <w:sectPr>
          <w:footerReference r:id="rId9" w:type="default"/>
          <w:pgSz w:w="11906" w:h="16838"/>
          <w:pgMar w:top="1701" w:right="1531" w:bottom="1701" w:left="1531" w:header="851" w:footer="850" w:gutter="0"/>
          <w:pgBorders>
            <w:top w:val="none" w:sz="0" w:space="0"/>
            <w:left w:val="none" w:sz="0" w:space="0"/>
            <w:bottom w:val="none" w:sz="0" w:space="0"/>
            <w:right w:val="none" w:sz="0" w:space="0"/>
          </w:pgBorders>
          <w:pgNumType w:fmt="decimal"/>
          <w:cols w:space="720" w:num="1"/>
          <w:docGrid w:linePitch="312" w:charSpace="0"/>
        </w:sectPr>
      </w:pPr>
    </w:p>
    <w:p>
      <w:pPr>
        <w:pStyle w:val="127"/>
        <w:jc w:val="both"/>
        <w:outlineLvl w:val="0"/>
        <w:rPr>
          <w:rFonts w:hint="default" w:ascii="Times New Roman" w:hAnsi="Times New Roman" w:eastAsia="黑体" w:cs="Times New Roman"/>
          <w:b w:val="0"/>
          <w:snapToGrid w:val="0"/>
          <w:color w:val="auto"/>
          <w:kern w:val="2"/>
          <w:sz w:val="32"/>
          <w:szCs w:val="32"/>
          <w:lang w:val="en-US" w:eastAsia="zh-CN" w:bidi="ar-SA"/>
        </w:rPr>
      </w:pPr>
      <w:bookmarkStart w:id="363" w:name="_Toc12558"/>
      <w:r>
        <w:rPr>
          <w:rFonts w:hint="eastAsia" w:ascii="Times New Roman" w:hAnsi="Times New Roman" w:eastAsia="黑体" w:cs="Times New Roman"/>
          <w:b w:val="0"/>
          <w:snapToGrid w:val="0"/>
          <w:color w:val="auto"/>
          <w:kern w:val="2"/>
          <w:sz w:val="32"/>
          <w:szCs w:val="32"/>
          <w:lang w:val="en-US" w:eastAsia="zh-CN" w:bidi="ar-SA"/>
        </w:rPr>
        <w:t>附件</w:t>
      </w:r>
      <w:r>
        <w:rPr>
          <w:rFonts w:hint="eastAsia" w:eastAsia="黑体" w:cs="Times New Roman"/>
          <w:b w:val="0"/>
          <w:snapToGrid w:val="0"/>
          <w:color w:val="auto"/>
          <w:kern w:val="2"/>
          <w:sz w:val="32"/>
          <w:szCs w:val="32"/>
          <w:lang w:val="en-US" w:eastAsia="zh-CN" w:bidi="ar-SA"/>
        </w:rPr>
        <w:t>3</w:t>
      </w:r>
      <w:r>
        <w:rPr>
          <w:rFonts w:hint="eastAsia" w:ascii="Times New Roman" w:hAnsi="Times New Roman" w:eastAsia="黑体" w:cs="Times New Roman"/>
          <w:b w:val="0"/>
          <w:snapToGrid w:val="0"/>
          <w:color w:val="auto"/>
          <w:kern w:val="2"/>
          <w:sz w:val="32"/>
          <w:szCs w:val="32"/>
          <w:lang w:val="en-US" w:eastAsia="zh-CN" w:bidi="ar-SA"/>
        </w:rPr>
        <w:t xml:space="preserve"> 生态环境分区管控分析报告</w:t>
      </w:r>
      <w:bookmarkEnd w:id="363"/>
    </w:p>
    <w:p>
      <w:pPr>
        <w:numPr>
          <w:ilvl w:val="0"/>
          <w:numId w:val="0"/>
        </w:numPr>
        <w:spacing w:line="360" w:lineRule="auto"/>
        <w:ind w:firstLine="480" w:firstLineChars="200"/>
        <w:rPr>
          <w:rFonts w:hint="eastAsia" w:ascii="Times New Roman" w:hAnsi="Times New Roman"/>
          <w:color w:val="000000"/>
          <w:sz w:val="24"/>
          <w:szCs w:val="24"/>
          <w:lang w:val="en-US" w:eastAsia="zh-CN" w:bidi="ar"/>
        </w:rPr>
      </w:pPr>
    </w:p>
    <w:p>
      <w:pPr>
        <w:pStyle w:val="21"/>
        <w:keepNext w:val="0"/>
        <w:keepLines w:val="0"/>
        <w:pageBreakBefore w:val="0"/>
        <w:kinsoku/>
        <w:wordWrap/>
        <w:overflowPunct/>
        <w:topLinePunct w:val="0"/>
        <w:autoSpaceDE/>
        <w:autoSpaceDN/>
        <w:bidi w:val="0"/>
        <w:adjustRightInd/>
        <w:ind w:firstLine="400" w:firstLineChars="200"/>
        <w:textAlignment w:val="auto"/>
        <w:sectPr>
          <w:pgSz w:w="11906" w:h="16838"/>
          <w:pgMar w:top="1701" w:right="1531" w:bottom="1701" w:left="1531" w:header="851" w:footer="850"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4772025" cy="2695575"/>
            <wp:effectExtent l="0" t="0" r="9525" b="952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33"/>
                    <a:stretch>
                      <a:fillRect/>
                    </a:stretch>
                  </pic:blipFill>
                  <pic:spPr>
                    <a:xfrm>
                      <a:off x="0" y="0"/>
                      <a:ext cx="4772025" cy="2695575"/>
                    </a:xfrm>
                    <a:prstGeom prst="rect">
                      <a:avLst/>
                    </a:prstGeom>
                    <a:noFill/>
                    <a:ln>
                      <a:noFill/>
                    </a:ln>
                  </pic:spPr>
                </pic:pic>
              </a:graphicData>
            </a:graphic>
          </wp:inline>
        </w:drawing>
      </w:r>
      <w:r>
        <w:drawing>
          <wp:inline distT="0" distB="0" distL="114300" distR="114300">
            <wp:extent cx="5286375" cy="3162300"/>
            <wp:effectExtent l="0" t="0" r="9525" b="0"/>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34"/>
                    <a:stretch>
                      <a:fillRect/>
                    </a:stretch>
                  </pic:blipFill>
                  <pic:spPr>
                    <a:xfrm>
                      <a:off x="0" y="0"/>
                      <a:ext cx="5286375" cy="3162300"/>
                    </a:xfrm>
                    <a:prstGeom prst="rect">
                      <a:avLst/>
                    </a:prstGeom>
                    <a:noFill/>
                    <a:ln>
                      <a:noFill/>
                    </a:ln>
                  </pic:spPr>
                </pic:pic>
              </a:graphicData>
            </a:graphic>
          </wp:inline>
        </w:drawing>
      </w:r>
      <w:r>
        <w:drawing>
          <wp:inline distT="0" distB="0" distL="114300" distR="114300">
            <wp:extent cx="5614670" cy="3455670"/>
            <wp:effectExtent l="0" t="0" r="5080" b="11430"/>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35"/>
                    <a:stretch>
                      <a:fillRect/>
                    </a:stretch>
                  </pic:blipFill>
                  <pic:spPr>
                    <a:xfrm>
                      <a:off x="0" y="0"/>
                      <a:ext cx="5614670" cy="3455670"/>
                    </a:xfrm>
                    <a:prstGeom prst="rect">
                      <a:avLst/>
                    </a:prstGeom>
                    <a:noFill/>
                    <a:ln>
                      <a:noFill/>
                    </a:ln>
                  </pic:spPr>
                </pic:pic>
              </a:graphicData>
            </a:graphic>
          </wp:inline>
        </w:drawing>
      </w:r>
      <w:r>
        <w:drawing>
          <wp:inline distT="0" distB="0" distL="114300" distR="114300">
            <wp:extent cx="5495925" cy="3657600"/>
            <wp:effectExtent l="0" t="0" r="9525" b="0"/>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36"/>
                    <a:stretch>
                      <a:fillRect/>
                    </a:stretch>
                  </pic:blipFill>
                  <pic:spPr>
                    <a:xfrm>
                      <a:off x="0" y="0"/>
                      <a:ext cx="5495925" cy="3657600"/>
                    </a:xfrm>
                    <a:prstGeom prst="rect">
                      <a:avLst/>
                    </a:prstGeom>
                    <a:noFill/>
                    <a:ln>
                      <a:noFill/>
                    </a:ln>
                  </pic:spPr>
                </pic:pic>
              </a:graphicData>
            </a:graphic>
          </wp:inline>
        </w:drawing>
      </w:r>
      <w:r>
        <w:drawing>
          <wp:inline distT="0" distB="0" distL="114300" distR="114300">
            <wp:extent cx="5505450" cy="3686175"/>
            <wp:effectExtent l="0" t="0" r="0" b="9525"/>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37"/>
                    <a:stretch>
                      <a:fillRect/>
                    </a:stretch>
                  </pic:blipFill>
                  <pic:spPr>
                    <a:xfrm>
                      <a:off x="0" y="0"/>
                      <a:ext cx="5505450" cy="3686175"/>
                    </a:xfrm>
                    <a:prstGeom prst="rect">
                      <a:avLst/>
                    </a:prstGeom>
                    <a:noFill/>
                    <a:ln>
                      <a:noFill/>
                    </a:ln>
                  </pic:spPr>
                </pic:pic>
              </a:graphicData>
            </a:graphic>
          </wp:inline>
        </w:drawing>
      </w:r>
      <w:r>
        <w:drawing>
          <wp:inline distT="0" distB="0" distL="114300" distR="114300">
            <wp:extent cx="5467350" cy="3705225"/>
            <wp:effectExtent l="0" t="0" r="0" b="9525"/>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38"/>
                    <a:stretch>
                      <a:fillRect/>
                    </a:stretch>
                  </pic:blipFill>
                  <pic:spPr>
                    <a:xfrm>
                      <a:off x="0" y="0"/>
                      <a:ext cx="5467350" cy="3705225"/>
                    </a:xfrm>
                    <a:prstGeom prst="rect">
                      <a:avLst/>
                    </a:prstGeom>
                    <a:noFill/>
                    <a:ln>
                      <a:noFill/>
                    </a:ln>
                  </pic:spPr>
                </pic:pic>
              </a:graphicData>
            </a:graphic>
          </wp:inline>
        </w:drawing>
      </w:r>
      <w:r>
        <w:drawing>
          <wp:inline distT="0" distB="0" distL="114300" distR="114300">
            <wp:extent cx="5476875" cy="3476625"/>
            <wp:effectExtent l="0" t="0" r="9525" b="9525"/>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pic:cNvPicPr>
                  </pic:nvPicPr>
                  <pic:blipFill>
                    <a:blip r:embed="rId39"/>
                    <a:stretch>
                      <a:fillRect/>
                    </a:stretch>
                  </pic:blipFill>
                  <pic:spPr>
                    <a:xfrm>
                      <a:off x="0" y="0"/>
                      <a:ext cx="5476875" cy="3476625"/>
                    </a:xfrm>
                    <a:prstGeom prst="rect">
                      <a:avLst/>
                    </a:prstGeom>
                    <a:noFill/>
                    <a:ln>
                      <a:noFill/>
                    </a:ln>
                  </pic:spPr>
                </pic:pic>
              </a:graphicData>
            </a:graphic>
          </wp:inline>
        </w:drawing>
      </w:r>
      <w:r>
        <w:drawing>
          <wp:inline distT="0" distB="0" distL="114300" distR="114300">
            <wp:extent cx="5114925" cy="3638550"/>
            <wp:effectExtent l="0" t="0" r="9525" b="0"/>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40"/>
                    <a:stretch>
                      <a:fillRect/>
                    </a:stretch>
                  </pic:blipFill>
                  <pic:spPr>
                    <a:xfrm>
                      <a:off x="0" y="0"/>
                      <a:ext cx="5114925" cy="3638550"/>
                    </a:xfrm>
                    <a:prstGeom prst="rect">
                      <a:avLst/>
                    </a:prstGeom>
                    <a:noFill/>
                    <a:ln>
                      <a:noFill/>
                    </a:ln>
                  </pic:spPr>
                </pic:pic>
              </a:graphicData>
            </a:graphic>
          </wp:inline>
        </w:drawing>
      </w:r>
      <w:r>
        <w:drawing>
          <wp:inline distT="0" distB="0" distL="114300" distR="114300">
            <wp:extent cx="5562600" cy="3781425"/>
            <wp:effectExtent l="0" t="0" r="0" b="9525"/>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pic:cNvPicPr>
                  </pic:nvPicPr>
                  <pic:blipFill>
                    <a:blip r:embed="rId41"/>
                    <a:stretch>
                      <a:fillRect/>
                    </a:stretch>
                  </pic:blipFill>
                  <pic:spPr>
                    <a:xfrm>
                      <a:off x="0" y="0"/>
                      <a:ext cx="5562600" cy="3781425"/>
                    </a:xfrm>
                    <a:prstGeom prst="rect">
                      <a:avLst/>
                    </a:prstGeom>
                    <a:noFill/>
                    <a:ln>
                      <a:noFill/>
                    </a:ln>
                  </pic:spPr>
                </pic:pic>
              </a:graphicData>
            </a:graphic>
          </wp:inline>
        </w:drawing>
      </w:r>
      <w:r>
        <w:drawing>
          <wp:inline distT="0" distB="0" distL="114300" distR="114300">
            <wp:extent cx="5372100" cy="3590925"/>
            <wp:effectExtent l="0" t="0" r="0" b="9525"/>
            <wp:docPr id="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
                    <pic:cNvPicPr>
                      <a:picLocks noChangeAspect="1"/>
                    </pic:cNvPicPr>
                  </pic:nvPicPr>
                  <pic:blipFill>
                    <a:blip r:embed="rId42"/>
                    <a:stretch>
                      <a:fillRect/>
                    </a:stretch>
                  </pic:blipFill>
                  <pic:spPr>
                    <a:xfrm>
                      <a:off x="0" y="0"/>
                      <a:ext cx="5372100" cy="3590925"/>
                    </a:xfrm>
                    <a:prstGeom prst="rect">
                      <a:avLst/>
                    </a:prstGeom>
                    <a:noFill/>
                    <a:ln>
                      <a:noFill/>
                    </a:ln>
                  </pic:spPr>
                </pic:pic>
              </a:graphicData>
            </a:graphic>
          </wp:inline>
        </w:drawing>
      </w:r>
    </w:p>
    <w:p>
      <w:pPr>
        <w:pStyle w:val="127"/>
        <w:jc w:val="both"/>
        <w:outlineLvl w:val="0"/>
        <w:rPr>
          <w:rFonts w:hint="default" w:ascii="Times New Roman" w:hAnsi="Times New Roman" w:eastAsia="黑体" w:cs="Times New Roman"/>
          <w:b w:val="0"/>
          <w:snapToGrid w:val="0"/>
          <w:color w:val="auto"/>
          <w:kern w:val="2"/>
          <w:sz w:val="32"/>
          <w:szCs w:val="32"/>
          <w:lang w:val="en-US" w:eastAsia="zh-CN" w:bidi="ar-SA"/>
        </w:rPr>
      </w:pPr>
      <w:bookmarkStart w:id="364" w:name="_Toc18164"/>
      <w:r>
        <w:rPr>
          <w:rFonts w:hint="eastAsia" w:ascii="Times New Roman" w:hAnsi="Times New Roman" w:eastAsia="黑体" w:cs="Times New Roman"/>
          <w:b w:val="0"/>
          <w:snapToGrid w:val="0"/>
          <w:color w:val="auto"/>
          <w:kern w:val="2"/>
          <w:sz w:val="32"/>
          <w:szCs w:val="32"/>
          <w:lang w:val="en-US" w:eastAsia="zh-CN" w:bidi="ar-SA"/>
        </w:rPr>
        <w:t>附件</w:t>
      </w:r>
      <w:r>
        <w:rPr>
          <w:rFonts w:hint="eastAsia" w:eastAsia="黑体" w:cs="Times New Roman"/>
          <w:b w:val="0"/>
          <w:snapToGrid w:val="0"/>
          <w:color w:val="auto"/>
          <w:kern w:val="2"/>
          <w:sz w:val="32"/>
          <w:szCs w:val="32"/>
          <w:lang w:val="en-US" w:eastAsia="zh-CN" w:bidi="ar-SA"/>
        </w:rPr>
        <w:t>4</w:t>
      </w:r>
      <w:r>
        <w:rPr>
          <w:rFonts w:hint="eastAsia" w:ascii="Times New Roman" w:hAnsi="Times New Roman" w:eastAsia="黑体" w:cs="Times New Roman"/>
          <w:b w:val="0"/>
          <w:snapToGrid w:val="0"/>
          <w:color w:val="auto"/>
          <w:kern w:val="2"/>
          <w:sz w:val="32"/>
          <w:szCs w:val="32"/>
          <w:lang w:val="en-US" w:eastAsia="zh-CN" w:bidi="ar-SA"/>
        </w:rPr>
        <w:t xml:space="preserve"> 监测报告</w:t>
      </w:r>
      <w:bookmarkEnd w:id="364"/>
    </w:p>
    <w:p>
      <w:pPr>
        <w:rPr>
          <w:rFonts w:hint="eastAsia"/>
          <w:lang w:val="en-US" w:eastAsia="zh-CN"/>
        </w:rPr>
      </w:pPr>
      <w:r>
        <w:drawing>
          <wp:inline distT="0" distB="0" distL="114300" distR="114300">
            <wp:extent cx="4772025" cy="6734175"/>
            <wp:effectExtent l="0" t="0" r="9525" b="9525"/>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pic:cNvPicPr>
                      <a:picLocks noChangeAspect="1"/>
                    </pic:cNvPicPr>
                  </pic:nvPicPr>
                  <pic:blipFill>
                    <a:blip r:embed="rId43"/>
                    <a:stretch>
                      <a:fillRect/>
                    </a:stretch>
                  </pic:blipFill>
                  <pic:spPr>
                    <a:xfrm>
                      <a:off x="0" y="0"/>
                      <a:ext cx="4772025" cy="6734175"/>
                    </a:xfrm>
                    <a:prstGeom prst="rect">
                      <a:avLst/>
                    </a:prstGeom>
                    <a:noFill/>
                    <a:ln>
                      <a:noFill/>
                    </a:ln>
                  </pic:spPr>
                </pic:pic>
              </a:graphicData>
            </a:graphic>
          </wp:inline>
        </w:drawing>
      </w:r>
      <w:r>
        <w:drawing>
          <wp:inline distT="0" distB="0" distL="114300" distR="114300">
            <wp:extent cx="4762500" cy="6924675"/>
            <wp:effectExtent l="0" t="0" r="0" b="9525"/>
            <wp:docPr id="6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pic:cNvPicPr>
                      <a:picLocks noChangeAspect="1"/>
                    </pic:cNvPicPr>
                  </pic:nvPicPr>
                  <pic:blipFill>
                    <a:blip r:embed="rId44"/>
                    <a:stretch>
                      <a:fillRect/>
                    </a:stretch>
                  </pic:blipFill>
                  <pic:spPr>
                    <a:xfrm>
                      <a:off x="0" y="0"/>
                      <a:ext cx="4762500" cy="6924675"/>
                    </a:xfrm>
                    <a:prstGeom prst="rect">
                      <a:avLst/>
                    </a:prstGeom>
                    <a:noFill/>
                    <a:ln>
                      <a:noFill/>
                    </a:ln>
                  </pic:spPr>
                </pic:pic>
              </a:graphicData>
            </a:graphic>
          </wp:inline>
        </w:drawing>
      </w:r>
      <w:bookmarkStart w:id="365" w:name="_GoBack"/>
      <w:bookmarkEnd w:id="365"/>
    </w:p>
    <w:sectPr>
      <w:pgSz w:w="11906" w:h="16838"/>
      <w:pgMar w:top="1701" w:right="1531" w:bottom="1701" w:left="1531" w:header="851" w:footer="850"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51255926-78C8-4D8F-8EA2-8AC91D2D2CB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2" w:fontKey="{525515F9-395E-4CD3-8E49-48171B554305}"/>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E5C356D1-89D6-4E6D-8325-5897A775E6A8}"/>
  </w:font>
  <w:font w:name="楷体_GB2312">
    <w:panose1 w:val="02010609030101010101"/>
    <w:charset w:val="86"/>
    <w:family w:val="auto"/>
    <w:pitch w:val="default"/>
    <w:sig w:usb0="00000001" w:usb1="080E0000" w:usb2="00000000" w:usb3="00000000" w:csb0="00040000" w:csb1="00000000"/>
    <w:embedRegular r:id="rId4" w:fontKey="{37CD6D98-D747-4DCD-A26F-C8F332FD7F1B}"/>
  </w:font>
  <w:font w:name="仿宋">
    <w:panose1 w:val="02010609060101010101"/>
    <w:charset w:val="86"/>
    <w:family w:val="auto"/>
    <w:pitch w:val="default"/>
    <w:sig w:usb0="800002BF" w:usb1="38CF7CFA" w:usb2="00000016" w:usb3="00000000" w:csb0="00040001" w:csb1="00000000"/>
    <w:embedRegular r:id="rId5" w:fontKey="{C9044390-F6C1-4AE9-BBEE-C1C40551C4EE}"/>
  </w:font>
  <w:font w:name="方正小标宋_GBK">
    <w:panose1 w:val="02000000000000000000"/>
    <w:charset w:val="86"/>
    <w:family w:val="script"/>
    <w:pitch w:val="default"/>
    <w:sig w:usb0="00000000" w:usb1="00000000" w:usb2="00000000" w:usb3="00000000" w:csb0="00000000" w:csb1="00000000"/>
    <w:embedRegular r:id="rId6" w:fontKey="{ABD32C8E-AEBE-4AA8-95B4-52AAC35D26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32"/>
      </w:rPr>
    </w:pPr>
    <w:r>
      <w:fldChar w:fldCharType="begin"/>
    </w:r>
    <w:r>
      <w:rPr>
        <w:rStyle w:val="32"/>
      </w:rPr>
      <w:instrText xml:space="preserve">PAGE  </w:instrText>
    </w:r>
    <w: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2250" w:hanging="120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876638"/>
                            <w:docPartObj>
                              <w:docPartGallery w:val="autotext"/>
                            </w:docPartObj>
                          </w:sdtPr>
                          <w:sdtContent>
                            <w:p>
                              <w:pPr>
                                <w:pStyle w:val="16"/>
                                <w:ind w:left="2250" w:hanging="1200"/>
                                <w:jc w:val="center"/>
                              </w:pPr>
                              <w:r>
                                <w:fldChar w:fldCharType="begin"/>
                              </w:r>
                              <w:r>
                                <w:instrText xml:space="preserve">PAGE   \* MERGEFORMAT</w:instrText>
                              </w:r>
                              <w:r>
                                <w:fldChar w:fldCharType="separate"/>
                              </w:r>
                              <w:r>
                                <w:rPr>
                                  <w:lang w:val="zh-CN"/>
                                </w:rPr>
                                <w:t>37</w:t>
                              </w:r>
                              <w:r>
                                <w:fldChar w:fldCharType="end"/>
                              </w:r>
                            </w:p>
                          </w:sdtContent>
                        </w:sdt>
                        <w:p>
                          <w:pPr>
                            <w:pStyle w:val="2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sdt>
                    <w:sdtPr>
                      <w:id w:val="-206876638"/>
                      <w:docPartObj>
                        <w:docPartGallery w:val="autotext"/>
                      </w:docPartObj>
                    </w:sdtPr>
                    <w:sdtContent>
                      <w:p>
                        <w:pPr>
                          <w:pStyle w:val="16"/>
                          <w:ind w:left="2250" w:hanging="1200"/>
                          <w:jc w:val="center"/>
                        </w:pPr>
                        <w:r>
                          <w:fldChar w:fldCharType="begin"/>
                        </w:r>
                        <w:r>
                          <w:instrText xml:space="preserve">PAGE   \* MERGEFORMAT</w:instrText>
                        </w:r>
                        <w:r>
                          <w:fldChar w:fldCharType="separate"/>
                        </w:r>
                        <w:r>
                          <w:rPr>
                            <w:lang w:val="zh-CN"/>
                          </w:rPr>
                          <w:t>37</w:t>
                        </w:r>
                        <w:r>
                          <w:fldChar w:fldCharType="end"/>
                        </w:r>
                      </w:p>
                    </w:sdtContent>
                  </w:sdt>
                  <w:p>
                    <w:pPr>
                      <w:pStyle w:val="27"/>
                    </w:pPr>
                  </w:p>
                </w:txbxContent>
              </v:textbox>
            </v:shape>
          </w:pict>
        </mc:Fallback>
      </mc:AlternateContent>
    </w:r>
  </w:p>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3175" t="3810" r="0" b="0"/>
              <wp:wrapNone/>
              <wp:docPr id="3" name="文本框 2057"/>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t>38</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2057"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Pl&#10;fknQAAAAAwEAAA8AAAAAAAAAAQAgAAAAIgAAAGRycy9kb3ducmV2LnhtbFBLAQIUABQAAAAIAIdO&#10;4kCV3VOR8gEAALcDAAAOAAAAAAAAAAEAIAAAAB8BAABkcnMvZTJvRG9jLnhtbFBLBQYAAAAABgAG&#10;AFkBAACDBQAAAAA=&#10;">
              <v:fill on="f" focussize="0,0"/>
              <v:stroke on="f"/>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38</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31445"/>
              <wp:effectExtent l="3175" t="3810" r="0" b="0"/>
              <wp:wrapNone/>
              <wp:docPr id="2" name="文本框 2058"/>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2058" o:spid="_x0000_s1026" o:spt="202" type="#_x0000_t202" style="position:absolute;left:0pt;margin-top:0pt;height:10.35pt;width:9.05pt;mso-position-horizontal:center;mso-position-horizontal-relative:margin;mso-wrap-style:none;z-index:25166336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Pl&#10;fknQAAAAAwEAAA8AAAAAAAAAAQAgAAAAIgAAAGRycy9kb3ducmV2LnhtbFBLAQIUABQAAAAIAIdO&#10;4kC+Pe4V8gEAALcDAAAOAAAAAAAAAAEAIAAAAB8BAABkcnMvZTJvRG9jLnhtbFBLBQYAAAAABgAG&#10;AFkBAACDBQAAAAA=&#10;">
              <v:fill on="f" focussize="0,0"/>
              <v:stroke on="f"/>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宋体" w:hAnsi="宋体"/>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2540" r="1270" b="0"/>
              <wp:wrapNone/>
              <wp:docPr id="1" name="文本框 2054"/>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2054"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V+&#10;SdAAAAADAQAADwAAAAAAAAABACAAAAAiAAAAZHJzL2Rvd25yZXYueG1sUEsBAhQAFAAAAAgAh07i&#10;QJerPXDxAQAAtwMAAA4AAAAAAAAAAQAgAAAAHwEAAGRycy9lMm9Eb2MueG1sUEsFBgAAAAAGAAYA&#10;WQEAAIIFAAAAAA==&#10;">
              <v:fill on="f" focussize="0,0"/>
              <v:stroke on="f"/>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iUYhvq8BAABN&#10;AwAADgAAAAAAAAABACAAAAAeAQAAZHJzL2Uyb0RvYy54bWxQSwUGAAAAAAYABgBZAQAAPw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2804E5"/>
    <w:multiLevelType w:val="singleLevel"/>
    <w:tmpl w:val="EC2804E5"/>
    <w:lvl w:ilvl="0" w:tentative="0">
      <w:start w:val="2"/>
      <w:numFmt w:val="decimal"/>
      <w:suff w:val="nothing"/>
      <w:lvlText w:val="%1、"/>
      <w:lvlJc w:val="left"/>
    </w:lvl>
  </w:abstractNum>
  <w:abstractNum w:abstractNumId="1">
    <w:nsid w:val="ED648555"/>
    <w:multiLevelType w:val="singleLevel"/>
    <w:tmpl w:val="ED648555"/>
    <w:lvl w:ilvl="0" w:tentative="0">
      <w:start w:val="1"/>
      <w:numFmt w:val="decimal"/>
      <w:suff w:val="nothing"/>
      <w:lvlText w:val="%1、"/>
      <w:lvlJc w:val="left"/>
    </w:lvl>
  </w:abstractNum>
  <w:abstractNum w:abstractNumId="2">
    <w:nsid w:val="F7E86759"/>
    <w:multiLevelType w:val="singleLevel"/>
    <w:tmpl w:val="F7E86759"/>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3">
    <w:nsid w:val="2C8B0D20"/>
    <w:multiLevelType w:val="multilevel"/>
    <w:tmpl w:val="2C8B0D20"/>
    <w:lvl w:ilvl="0" w:tentative="0">
      <w:start w:val="1"/>
      <w:numFmt w:val="japaneseCounting"/>
      <w:lvlText w:val="%1、"/>
      <w:lvlJc w:val="left"/>
      <w:pPr>
        <w:ind w:left="992" w:hanging="51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VlYzM4NmEzNmZjZDQ0OTM5ZDA4ZmE4YmM0YjI0ZWIifQ=="/>
    <w:docVar w:name="KSO_WPS_MARK_KEY" w:val="0ff90d98-e63b-452b-9604-c7012e82f814"/>
  </w:docVars>
  <w:rsids>
    <w:rsidRoot w:val="00A14947"/>
    <w:rsid w:val="000060B3"/>
    <w:rsid w:val="000209C5"/>
    <w:rsid w:val="00036437"/>
    <w:rsid w:val="00037E1F"/>
    <w:rsid w:val="0004364B"/>
    <w:rsid w:val="000447B7"/>
    <w:rsid w:val="00050FC4"/>
    <w:rsid w:val="00061B1F"/>
    <w:rsid w:val="00064CF0"/>
    <w:rsid w:val="000733C4"/>
    <w:rsid w:val="00074783"/>
    <w:rsid w:val="000777A0"/>
    <w:rsid w:val="0008070B"/>
    <w:rsid w:val="000810AC"/>
    <w:rsid w:val="00081A02"/>
    <w:rsid w:val="00082231"/>
    <w:rsid w:val="00084EE5"/>
    <w:rsid w:val="00092D38"/>
    <w:rsid w:val="0009377B"/>
    <w:rsid w:val="000A20C9"/>
    <w:rsid w:val="000A6C2F"/>
    <w:rsid w:val="000B058F"/>
    <w:rsid w:val="000B4467"/>
    <w:rsid w:val="000B4DB9"/>
    <w:rsid w:val="000B6F01"/>
    <w:rsid w:val="000B75DE"/>
    <w:rsid w:val="000C09AC"/>
    <w:rsid w:val="000C767F"/>
    <w:rsid w:val="000D5A44"/>
    <w:rsid w:val="000D6E38"/>
    <w:rsid w:val="000E07E8"/>
    <w:rsid w:val="000E3ED2"/>
    <w:rsid w:val="000F1B06"/>
    <w:rsid w:val="0010252F"/>
    <w:rsid w:val="00106B22"/>
    <w:rsid w:val="00117242"/>
    <w:rsid w:val="00131F42"/>
    <w:rsid w:val="001357F1"/>
    <w:rsid w:val="00140FA8"/>
    <w:rsid w:val="00142FEB"/>
    <w:rsid w:val="00143A2D"/>
    <w:rsid w:val="00145A41"/>
    <w:rsid w:val="00146422"/>
    <w:rsid w:val="00147CC7"/>
    <w:rsid w:val="00151675"/>
    <w:rsid w:val="00157435"/>
    <w:rsid w:val="001627A8"/>
    <w:rsid w:val="00170450"/>
    <w:rsid w:val="00172A25"/>
    <w:rsid w:val="0017504D"/>
    <w:rsid w:val="0017671A"/>
    <w:rsid w:val="00177422"/>
    <w:rsid w:val="00184590"/>
    <w:rsid w:val="001870D1"/>
    <w:rsid w:val="0018781E"/>
    <w:rsid w:val="0019262D"/>
    <w:rsid w:val="00192E13"/>
    <w:rsid w:val="00196E3B"/>
    <w:rsid w:val="001A1B35"/>
    <w:rsid w:val="001A48A2"/>
    <w:rsid w:val="001A6F61"/>
    <w:rsid w:val="001A70BD"/>
    <w:rsid w:val="001B1B01"/>
    <w:rsid w:val="001B2678"/>
    <w:rsid w:val="001B2E14"/>
    <w:rsid w:val="001B62FD"/>
    <w:rsid w:val="001B72B8"/>
    <w:rsid w:val="001C69B3"/>
    <w:rsid w:val="001D1D54"/>
    <w:rsid w:val="001D44CF"/>
    <w:rsid w:val="001D5249"/>
    <w:rsid w:val="001D5595"/>
    <w:rsid w:val="001D7874"/>
    <w:rsid w:val="001D7F22"/>
    <w:rsid w:val="001E2B0B"/>
    <w:rsid w:val="001F0F17"/>
    <w:rsid w:val="001F257C"/>
    <w:rsid w:val="001F3347"/>
    <w:rsid w:val="001F69E4"/>
    <w:rsid w:val="002061CA"/>
    <w:rsid w:val="002125B4"/>
    <w:rsid w:val="002155B8"/>
    <w:rsid w:val="00223801"/>
    <w:rsid w:val="00224839"/>
    <w:rsid w:val="002249B2"/>
    <w:rsid w:val="00226574"/>
    <w:rsid w:val="002278EC"/>
    <w:rsid w:val="00227CA8"/>
    <w:rsid w:val="0023280E"/>
    <w:rsid w:val="002360A6"/>
    <w:rsid w:val="002377D1"/>
    <w:rsid w:val="002467AC"/>
    <w:rsid w:val="0024792C"/>
    <w:rsid w:val="002506BC"/>
    <w:rsid w:val="00254345"/>
    <w:rsid w:val="00264557"/>
    <w:rsid w:val="00266A0E"/>
    <w:rsid w:val="002773B7"/>
    <w:rsid w:val="002805AB"/>
    <w:rsid w:val="0028170E"/>
    <w:rsid w:val="00284204"/>
    <w:rsid w:val="002913B9"/>
    <w:rsid w:val="00291773"/>
    <w:rsid w:val="00292E72"/>
    <w:rsid w:val="002A168C"/>
    <w:rsid w:val="002A18CE"/>
    <w:rsid w:val="002A3DC7"/>
    <w:rsid w:val="002A5FFD"/>
    <w:rsid w:val="002B174E"/>
    <w:rsid w:val="002B49E2"/>
    <w:rsid w:val="002B7447"/>
    <w:rsid w:val="002B7B00"/>
    <w:rsid w:val="002B7C44"/>
    <w:rsid w:val="002C20E9"/>
    <w:rsid w:val="002C2B17"/>
    <w:rsid w:val="002D3DD0"/>
    <w:rsid w:val="002D6AA7"/>
    <w:rsid w:val="002E1F3A"/>
    <w:rsid w:val="002E298A"/>
    <w:rsid w:val="00300A04"/>
    <w:rsid w:val="00301978"/>
    <w:rsid w:val="0030284C"/>
    <w:rsid w:val="0030332C"/>
    <w:rsid w:val="003051C2"/>
    <w:rsid w:val="003055BF"/>
    <w:rsid w:val="00312296"/>
    <w:rsid w:val="00314F0E"/>
    <w:rsid w:val="003204C3"/>
    <w:rsid w:val="00321D8E"/>
    <w:rsid w:val="00325928"/>
    <w:rsid w:val="00332863"/>
    <w:rsid w:val="003345D8"/>
    <w:rsid w:val="0033684D"/>
    <w:rsid w:val="00337B42"/>
    <w:rsid w:val="00341B42"/>
    <w:rsid w:val="003422E1"/>
    <w:rsid w:val="0034348F"/>
    <w:rsid w:val="003466F7"/>
    <w:rsid w:val="003520C7"/>
    <w:rsid w:val="00354D81"/>
    <w:rsid w:val="00356653"/>
    <w:rsid w:val="0035743F"/>
    <w:rsid w:val="00357BE2"/>
    <w:rsid w:val="0036170C"/>
    <w:rsid w:val="00362201"/>
    <w:rsid w:val="00364E92"/>
    <w:rsid w:val="00366E0F"/>
    <w:rsid w:val="0036792A"/>
    <w:rsid w:val="00373CCA"/>
    <w:rsid w:val="00380525"/>
    <w:rsid w:val="00381A72"/>
    <w:rsid w:val="00384676"/>
    <w:rsid w:val="00384B88"/>
    <w:rsid w:val="003865B3"/>
    <w:rsid w:val="0039074F"/>
    <w:rsid w:val="00390857"/>
    <w:rsid w:val="00391286"/>
    <w:rsid w:val="003A04D3"/>
    <w:rsid w:val="003A4BF3"/>
    <w:rsid w:val="003A7473"/>
    <w:rsid w:val="003B1B4E"/>
    <w:rsid w:val="003B420D"/>
    <w:rsid w:val="003B726C"/>
    <w:rsid w:val="003C6C16"/>
    <w:rsid w:val="003C790C"/>
    <w:rsid w:val="003C7C5C"/>
    <w:rsid w:val="003D68FB"/>
    <w:rsid w:val="003D794D"/>
    <w:rsid w:val="003E0EAD"/>
    <w:rsid w:val="003E236B"/>
    <w:rsid w:val="003E2816"/>
    <w:rsid w:val="003E2B4E"/>
    <w:rsid w:val="003E3058"/>
    <w:rsid w:val="003E5799"/>
    <w:rsid w:val="003E76A9"/>
    <w:rsid w:val="003F0809"/>
    <w:rsid w:val="003F6A8C"/>
    <w:rsid w:val="003F755C"/>
    <w:rsid w:val="004034FC"/>
    <w:rsid w:val="0040350F"/>
    <w:rsid w:val="00406724"/>
    <w:rsid w:val="00406F01"/>
    <w:rsid w:val="004106EC"/>
    <w:rsid w:val="00412AB2"/>
    <w:rsid w:val="004159C5"/>
    <w:rsid w:val="00416D50"/>
    <w:rsid w:val="00416FD5"/>
    <w:rsid w:val="00417772"/>
    <w:rsid w:val="00420E6A"/>
    <w:rsid w:val="00421501"/>
    <w:rsid w:val="00425190"/>
    <w:rsid w:val="00425A9E"/>
    <w:rsid w:val="004263DB"/>
    <w:rsid w:val="00426D6B"/>
    <w:rsid w:val="00426E73"/>
    <w:rsid w:val="00430D8C"/>
    <w:rsid w:val="00431E6C"/>
    <w:rsid w:val="00433CE7"/>
    <w:rsid w:val="00440740"/>
    <w:rsid w:val="004416FB"/>
    <w:rsid w:val="0044334A"/>
    <w:rsid w:val="00445FB2"/>
    <w:rsid w:val="00446070"/>
    <w:rsid w:val="00446DBF"/>
    <w:rsid w:val="00446F79"/>
    <w:rsid w:val="00452738"/>
    <w:rsid w:val="00456091"/>
    <w:rsid w:val="00460621"/>
    <w:rsid w:val="00466321"/>
    <w:rsid w:val="004835C4"/>
    <w:rsid w:val="00484B9B"/>
    <w:rsid w:val="004855F6"/>
    <w:rsid w:val="0048661E"/>
    <w:rsid w:val="00486A00"/>
    <w:rsid w:val="004926ED"/>
    <w:rsid w:val="004931FA"/>
    <w:rsid w:val="00494670"/>
    <w:rsid w:val="004A3823"/>
    <w:rsid w:val="004C0AC2"/>
    <w:rsid w:val="004C1336"/>
    <w:rsid w:val="004C5B5D"/>
    <w:rsid w:val="004D0F6C"/>
    <w:rsid w:val="004E279E"/>
    <w:rsid w:val="004E27BC"/>
    <w:rsid w:val="004E353B"/>
    <w:rsid w:val="004E52E3"/>
    <w:rsid w:val="004E63B1"/>
    <w:rsid w:val="004E6946"/>
    <w:rsid w:val="004F0E4F"/>
    <w:rsid w:val="004F1AD8"/>
    <w:rsid w:val="004F5330"/>
    <w:rsid w:val="004F6BB7"/>
    <w:rsid w:val="005007D7"/>
    <w:rsid w:val="00502905"/>
    <w:rsid w:val="005039CB"/>
    <w:rsid w:val="0050558F"/>
    <w:rsid w:val="00506286"/>
    <w:rsid w:val="005062DE"/>
    <w:rsid w:val="00510813"/>
    <w:rsid w:val="00511990"/>
    <w:rsid w:val="00511DE0"/>
    <w:rsid w:val="00514870"/>
    <w:rsid w:val="00514B9B"/>
    <w:rsid w:val="00517F02"/>
    <w:rsid w:val="00523CF0"/>
    <w:rsid w:val="00524303"/>
    <w:rsid w:val="005258A2"/>
    <w:rsid w:val="005312D0"/>
    <w:rsid w:val="00534641"/>
    <w:rsid w:val="00534D7D"/>
    <w:rsid w:val="005401AE"/>
    <w:rsid w:val="00540518"/>
    <w:rsid w:val="00542E07"/>
    <w:rsid w:val="00545424"/>
    <w:rsid w:val="00552D80"/>
    <w:rsid w:val="00554A7B"/>
    <w:rsid w:val="0055572C"/>
    <w:rsid w:val="005571DB"/>
    <w:rsid w:val="0056106A"/>
    <w:rsid w:val="0056132E"/>
    <w:rsid w:val="00562164"/>
    <w:rsid w:val="00567AD7"/>
    <w:rsid w:val="005720AE"/>
    <w:rsid w:val="0057281D"/>
    <w:rsid w:val="00576B7A"/>
    <w:rsid w:val="005815C2"/>
    <w:rsid w:val="0058346A"/>
    <w:rsid w:val="00586FEC"/>
    <w:rsid w:val="00594D77"/>
    <w:rsid w:val="005969E4"/>
    <w:rsid w:val="005A06B7"/>
    <w:rsid w:val="005A1759"/>
    <w:rsid w:val="005A68A7"/>
    <w:rsid w:val="005B1150"/>
    <w:rsid w:val="005C03B6"/>
    <w:rsid w:val="005C755D"/>
    <w:rsid w:val="005D0DDF"/>
    <w:rsid w:val="005D36AB"/>
    <w:rsid w:val="005D4552"/>
    <w:rsid w:val="005D7980"/>
    <w:rsid w:val="005E1694"/>
    <w:rsid w:val="005F11FF"/>
    <w:rsid w:val="00611AF8"/>
    <w:rsid w:val="00615C21"/>
    <w:rsid w:val="006176C9"/>
    <w:rsid w:val="00617CC3"/>
    <w:rsid w:val="006302A2"/>
    <w:rsid w:val="0063498B"/>
    <w:rsid w:val="006377A6"/>
    <w:rsid w:val="00637A3D"/>
    <w:rsid w:val="006411EF"/>
    <w:rsid w:val="00646161"/>
    <w:rsid w:val="006543B6"/>
    <w:rsid w:val="0065676F"/>
    <w:rsid w:val="006644FB"/>
    <w:rsid w:val="00670EAC"/>
    <w:rsid w:val="006748B8"/>
    <w:rsid w:val="006775C3"/>
    <w:rsid w:val="00682CC1"/>
    <w:rsid w:val="006859B2"/>
    <w:rsid w:val="00691DCE"/>
    <w:rsid w:val="0069290A"/>
    <w:rsid w:val="00693C4F"/>
    <w:rsid w:val="0069775A"/>
    <w:rsid w:val="00697813"/>
    <w:rsid w:val="006A23EE"/>
    <w:rsid w:val="006A3EE8"/>
    <w:rsid w:val="006A4220"/>
    <w:rsid w:val="006A72BF"/>
    <w:rsid w:val="006B03F2"/>
    <w:rsid w:val="006B37DC"/>
    <w:rsid w:val="006B4F68"/>
    <w:rsid w:val="006B52C0"/>
    <w:rsid w:val="006C0592"/>
    <w:rsid w:val="006C272E"/>
    <w:rsid w:val="006C5479"/>
    <w:rsid w:val="006C5684"/>
    <w:rsid w:val="006C75BE"/>
    <w:rsid w:val="006D046A"/>
    <w:rsid w:val="006D0A8D"/>
    <w:rsid w:val="006D13B5"/>
    <w:rsid w:val="006D1981"/>
    <w:rsid w:val="006E12FF"/>
    <w:rsid w:val="006E607E"/>
    <w:rsid w:val="006F5F2F"/>
    <w:rsid w:val="00702758"/>
    <w:rsid w:val="00706C5D"/>
    <w:rsid w:val="00720176"/>
    <w:rsid w:val="00732922"/>
    <w:rsid w:val="0074034C"/>
    <w:rsid w:val="007448AB"/>
    <w:rsid w:val="0075162E"/>
    <w:rsid w:val="00754034"/>
    <w:rsid w:val="00754C32"/>
    <w:rsid w:val="0075611E"/>
    <w:rsid w:val="00756475"/>
    <w:rsid w:val="00756556"/>
    <w:rsid w:val="007618C4"/>
    <w:rsid w:val="007632D8"/>
    <w:rsid w:val="00765790"/>
    <w:rsid w:val="00767980"/>
    <w:rsid w:val="007707A2"/>
    <w:rsid w:val="00770B19"/>
    <w:rsid w:val="0077463F"/>
    <w:rsid w:val="007836EA"/>
    <w:rsid w:val="00784CDA"/>
    <w:rsid w:val="007906C4"/>
    <w:rsid w:val="007912B5"/>
    <w:rsid w:val="007940EA"/>
    <w:rsid w:val="007967E8"/>
    <w:rsid w:val="007A2170"/>
    <w:rsid w:val="007A22BF"/>
    <w:rsid w:val="007A3323"/>
    <w:rsid w:val="007A61E3"/>
    <w:rsid w:val="007B2D52"/>
    <w:rsid w:val="007B4CAC"/>
    <w:rsid w:val="007B6FF2"/>
    <w:rsid w:val="007B71AD"/>
    <w:rsid w:val="007B72B8"/>
    <w:rsid w:val="007B7A58"/>
    <w:rsid w:val="007C21B5"/>
    <w:rsid w:val="007C4BF3"/>
    <w:rsid w:val="007D2D4B"/>
    <w:rsid w:val="007E4BD2"/>
    <w:rsid w:val="007E657B"/>
    <w:rsid w:val="007E78CF"/>
    <w:rsid w:val="007F338A"/>
    <w:rsid w:val="00801393"/>
    <w:rsid w:val="00802F88"/>
    <w:rsid w:val="008047AB"/>
    <w:rsid w:val="00806606"/>
    <w:rsid w:val="00811388"/>
    <w:rsid w:val="0081293E"/>
    <w:rsid w:val="00815465"/>
    <w:rsid w:val="00817E9A"/>
    <w:rsid w:val="00820005"/>
    <w:rsid w:val="008236E8"/>
    <w:rsid w:val="008274D6"/>
    <w:rsid w:val="008306BD"/>
    <w:rsid w:val="00831A80"/>
    <w:rsid w:val="00832DA9"/>
    <w:rsid w:val="00833743"/>
    <w:rsid w:val="008340A4"/>
    <w:rsid w:val="00844C27"/>
    <w:rsid w:val="00850DB7"/>
    <w:rsid w:val="00851FD4"/>
    <w:rsid w:val="0085636A"/>
    <w:rsid w:val="00863BEC"/>
    <w:rsid w:val="00866DBE"/>
    <w:rsid w:val="008708F6"/>
    <w:rsid w:val="0087135F"/>
    <w:rsid w:val="00872D94"/>
    <w:rsid w:val="00874000"/>
    <w:rsid w:val="00874D8D"/>
    <w:rsid w:val="00876A35"/>
    <w:rsid w:val="00876C9E"/>
    <w:rsid w:val="00880364"/>
    <w:rsid w:val="00881D8C"/>
    <w:rsid w:val="00891592"/>
    <w:rsid w:val="00891E9E"/>
    <w:rsid w:val="008A2F68"/>
    <w:rsid w:val="008B4FA6"/>
    <w:rsid w:val="008B5282"/>
    <w:rsid w:val="008B7C17"/>
    <w:rsid w:val="008C2D01"/>
    <w:rsid w:val="008C2F17"/>
    <w:rsid w:val="008C40E6"/>
    <w:rsid w:val="008D03F5"/>
    <w:rsid w:val="008D0F7A"/>
    <w:rsid w:val="008D5BFF"/>
    <w:rsid w:val="008D68E4"/>
    <w:rsid w:val="008E0506"/>
    <w:rsid w:val="008E09CD"/>
    <w:rsid w:val="008E0C60"/>
    <w:rsid w:val="008E0CFF"/>
    <w:rsid w:val="008E3C7C"/>
    <w:rsid w:val="008E4E2E"/>
    <w:rsid w:val="008E5D6B"/>
    <w:rsid w:val="008E76F0"/>
    <w:rsid w:val="008F15FE"/>
    <w:rsid w:val="008F2D29"/>
    <w:rsid w:val="008F5187"/>
    <w:rsid w:val="008F60D8"/>
    <w:rsid w:val="00902727"/>
    <w:rsid w:val="0090312B"/>
    <w:rsid w:val="009036ED"/>
    <w:rsid w:val="00904965"/>
    <w:rsid w:val="0090686E"/>
    <w:rsid w:val="009100B7"/>
    <w:rsid w:val="00910DD0"/>
    <w:rsid w:val="0091736D"/>
    <w:rsid w:val="00927473"/>
    <w:rsid w:val="0093037A"/>
    <w:rsid w:val="00937EEC"/>
    <w:rsid w:val="0094154D"/>
    <w:rsid w:val="0094262E"/>
    <w:rsid w:val="0095155F"/>
    <w:rsid w:val="00954429"/>
    <w:rsid w:val="009563CE"/>
    <w:rsid w:val="00957062"/>
    <w:rsid w:val="00957BAD"/>
    <w:rsid w:val="009734E2"/>
    <w:rsid w:val="00975693"/>
    <w:rsid w:val="00976328"/>
    <w:rsid w:val="0097680D"/>
    <w:rsid w:val="00982438"/>
    <w:rsid w:val="0098404C"/>
    <w:rsid w:val="00985283"/>
    <w:rsid w:val="00986CDB"/>
    <w:rsid w:val="00990985"/>
    <w:rsid w:val="009957E3"/>
    <w:rsid w:val="00995992"/>
    <w:rsid w:val="009A03E5"/>
    <w:rsid w:val="009A0F3B"/>
    <w:rsid w:val="009A1BB4"/>
    <w:rsid w:val="009A25EB"/>
    <w:rsid w:val="009A2628"/>
    <w:rsid w:val="009A3200"/>
    <w:rsid w:val="009A5924"/>
    <w:rsid w:val="009B0897"/>
    <w:rsid w:val="009B1F60"/>
    <w:rsid w:val="009B3B98"/>
    <w:rsid w:val="009B5139"/>
    <w:rsid w:val="009B7BD9"/>
    <w:rsid w:val="009C351C"/>
    <w:rsid w:val="009C7DD5"/>
    <w:rsid w:val="009D3E23"/>
    <w:rsid w:val="009E1A37"/>
    <w:rsid w:val="009E227D"/>
    <w:rsid w:val="009E5019"/>
    <w:rsid w:val="009E7EBD"/>
    <w:rsid w:val="00A00802"/>
    <w:rsid w:val="00A04F1B"/>
    <w:rsid w:val="00A0501B"/>
    <w:rsid w:val="00A07323"/>
    <w:rsid w:val="00A1440D"/>
    <w:rsid w:val="00A14947"/>
    <w:rsid w:val="00A235C9"/>
    <w:rsid w:val="00A2614D"/>
    <w:rsid w:val="00A2676A"/>
    <w:rsid w:val="00A32A83"/>
    <w:rsid w:val="00A368DB"/>
    <w:rsid w:val="00A423AA"/>
    <w:rsid w:val="00A51508"/>
    <w:rsid w:val="00A53EC6"/>
    <w:rsid w:val="00A54446"/>
    <w:rsid w:val="00A55C0F"/>
    <w:rsid w:val="00A6189E"/>
    <w:rsid w:val="00A62E47"/>
    <w:rsid w:val="00A638E9"/>
    <w:rsid w:val="00A63FB8"/>
    <w:rsid w:val="00A710AC"/>
    <w:rsid w:val="00A74082"/>
    <w:rsid w:val="00A84035"/>
    <w:rsid w:val="00A8713F"/>
    <w:rsid w:val="00A90BA1"/>
    <w:rsid w:val="00A911D2"/>
    <w:rsid w:val="00A96F3A"/>
    <w:rsid w:val="00A97A9A"/>
    <w:rsid w:val="00AA0671"/>
    <w:rsid w:val="00AA2531"/>
    <w:rsid w:val="00AB05F7"/>
    <w:rsid w:val="00AB1E09"/>
    <w:rsid w:val="00AB5330"/>
    <w:rsid w:val="00AB7747"/>
    <w:rsid w:val="00AC14CE"/>
    <w:rsid w:val="00AC2A56"/>
    <w:rsid w:val="00AC2E0D"/>
    <w:rsid w:val="00AC5351"/>
    <w:rsid w:val="00AC6313"/>
    <w:rsid w:val="00AC759C"/>
    <w:rsid w:val="00AD055E"/>
    <w:rsid w:val="00AD1FB2"/>
    <w:rsid w:val="00AD2386"/>
    <w:rsid w:val="00AD2591"/>
    <w:rsid w:val="00AD473A"/>
    <w:rsid w:val="00AD47A7"/>
    <w:rsid w:val="00AE2DA3"/>
    <w:rsid w:val="00AE5CEC"/>
    <w:rsid w:val="00AF0CBF"/>
    <w:rsid w:val="00AF257F"/>
    <w:rsid w:val="00AF33CF"/>
    <w:rsid w:val="00AF388A"/>
    <w:rsid w:val="00AF3E65"/>
    <w:rsid w:val="00AF4D50"/>
    <w:rsid w:val="00AF6179"/>
    <w:rsid w:val="00AF766C"/>
    <w:rsid w:val="00B01687"/>
    <w:rsid w:val="00B045DB"/>
    <w:rsid w:val="00B04D9B"/>
    <w:rsid w:val="00B11E27"/>
    <w:rsid w:val="00B11F74"/>
    <w:rsid w:val="00B1295A"/>
    <w:rsid w:val="00B20A45"/>
    <w:rsid w:val="00B22C5C"/>
    <w:rsid w:val="00B230C8"/>
    <w:rsid w:val="00B24F30"/>
    <w:rsid w:val="00B31ABF"/>
    <w:rsid w:val="00B32498"/>
    <w:rsid w:val="00B33BE3"/>
    <w:rsid w:val="00B35689"/>
    <w:rsid w:val="00B43085"/>
    <w:rsid w:val="00B44191"/>
    <w:rsid w:val="00B4724D"/>
    <w:rsid w:val="00B53B5D"/>
    <w:rsid w:val="00B6055E"/>
    <w:rsid w:val="00B6317D"/>
    <w:rsid w:val="00B7723F"/>
    <w:rsid w:val="00B8029B"/>
    <w:rsid w:val="00B80534"/>
    <w:rsid w:val="00B809CA"/>
    <w:rsid w:val="00B83AAD"/>
    <w:rsid w:val="00B8433C"/>
    <w:rsid w:val="00B87491"/>
    <w:rsid w:val="00B94C6D"/>
    <w:rsid w:val="00B96957"/>
    <w:rsid w:val="00BA17C1"/>
    <w:rsid w:val="00BA1CDD"/>
    <w:rsid w:val="00BA29E9"/>
    <w:rsid w:val="00BA7142"/>
    <w:rsid w:val="00BB237C"/>
    <w:rsid w:val="00BB41A3"/>
    <w:rsid w:val="00BB611B"/>
    <w:rsid w:val="00BC32DC"/>
    <w:rsid w:val="00BC35B6"/>
    <w:rsid w:val="00BC3B6F"/>
    <w:rsid w:val="00BD1B51"/>
    <w:rsid w:val="00BD4596"/>
    <w:rsid w:val="00BE1405"/>
    <w:rsid w:val="00BE16E6"/>
    <w:rsid w:val="00BE2F34"/>
    <w:rsid w:val="00BE312D"/>
    <w:rsid w:val="00BE3361"/>
    <w:rsid w:val="00BF06AC"/>
    <w:rsid w:val="00BF1C20"/>
    <w:rsid w:val="00BF5D79"/>
    <w:rsid w:val="00C0470C"/>
    <w:rsid w:val="00C04904"/>
    <w:rsid w:val="00C100AA"/>
    <w:rsid w:val="00C10578"/>
    <w:rsid w:val="00C135BC"/>
    <w:rsid w:val="00C14163"/>
    <w:rsid w:val="00C15C95"/>
    <w:rsid w:val="00C1774C"/>
    <w:rsid w:val="00C2596A"/>
    <w:rsid w:val="00C27537"/>
    <w:rsid w:val="00C328FE"/>
    <w:rsid w:val="00C33507"/>
    <w:rsid w:val="00C37FDF"/>
    <w:rsid w:val="00C4060F"/>
    <w:rsid w:val="00C42E9A"/>
    <w:rsid w:val="00C4409D"/>
    <w:rsid w:val="00C44E72"/>
    <w:rsid w:val="00C45A06"/>
    <w:rsid w:val="00C47E5B"/>
    <w:rsid w:val="00C527EE"/>
    <w:rsid w:val="00C52955"/>
    <w:rsid w:val="00C55E20"/>
    <w:rsid w:val="00C60F97"/>
    <w:rsid w:val="00C61E4B"/>
    <w:rsid w:val="00C622F0"/>
    <w:rsid w:val="00C64BFF"/>
    <w:rsid w:val="00C704E9"/>
    <w:rsid w:val="00C763C9"/>
    <w:rsid w:val="00C80057"/>
    <w:rsid w:val="00C82232"/>
    <w:rsid w:val="00C82913"/>
    <w:rsid w:val="00C91F2A"/>
    <w:rsid w:val="00C93742"/>
    <w:rsid w:val="00C972B1"/>
    <w:rsid w:val="00CA2CCE"/>
    <w:rsid w:val="00CA43FD"/>
    <w:rsid w:val="00CA66C8"/>
    <w:rsid w:val="00CA6D06"/>
    <w:rsid w:val="00CA7EF8"/>
    <w:rsid w:val="00CC1C87"/>
    <w:rsid w:val="00CC489B"/>
    <w:rsid w:val="00CC4B4A"/>
    <w:rsid w:val="00CC5C4A"/>
    <w:rsid w:val="00CC6D98"/>
    <w:rsid w:val="00CC7711"/>
    <w:rsid w:val="00CD2BCD"/>
    <w:rsid w:val="00CD3A4C"/>
    <w:rsid w:val="00CD4F3F"/>
    <w:rsid w:val="00CE0532"/>
    <w:rsid w:val="00CE10E9"/>
    <w:rsid w:val="00CE2910"/>
    <w:rsid w:val="00CE5393"/>
    <w:rsid w:val="00CF0367"/>
    <w:rsid w:val="00CF1239"/>
    <w:rsid w:val="00CF214F"/>
    <w:rsid w:val="00CF30EB"/>
    <w:rsid w:val="00CF31C8"/>
    <w:rsid w:val="00CF36BE"/>
    <w:rsid w:val="00CF5143"/>
    <w:rsid w:val="00CF6000"/>
    <w:rsid w:val="00D003F3"/>
    <w:rsid w:val="00D0364F"/>
    <w:rsid w:val="00D039AB"/>
    <w:rsid w:val="00D0404D"/>
    <w:rsid w:val="00D05785"/>
    <w:rsid w:val="00D06724"/>
    <w:rsid w:val="00D06834"/>
    <w:rsid w:val="00D24FE2"/>
    <w:rsid w:val="00D308ED"/>
    <w:rsid w:val="00D35F65"/>
    <w:rsid w:val="00D36D86"/>
    <w:rsid w:val="00D402DD"/>
    <w:rsid w:val="00D428AA"/>
    <w:rsid w:val="00D454FE"/>
    <w:rsid w:val="00D47EB8"/>
    <w:rsid w:val="00D50A34"/>
    <w:rsid w:val="00D53EFA"/>
    <w:rsid w:val="00D5424E"/>
    <w:rsid w:val="00D57264"/>
    <w:rsid w:val="00D76879"/>
    <w:rsid w:val="00D8637D"/>
    <w:rsid w:val="00D94A7C"/>
    <w:rsid w:val="00D95896"/>
    <w:rsid w:val="00DA189F"/>
    <w:rsid w:val="00DA5DBC"/>
    <w:rsid w:val="00DA7145"/>
    <w:rsid w:val="00DA7C79"/>
    <w:rsid w:val="00DB2983"/>
    <w:rsid w:val="00DB693C"/>
    <w:rsid w:val="00DC1257"/>
    <w:rsid w:val="00DC3DC0"/>
    <w:rsid w:val="00DC497D"/>
    <w:rsid w:val="00DC5B2B"/>
    <w:rsid w:val="00DD318D"/>
    <w:rsid w:val="00DF2D23"/>
    <w:rsid w:val="00DF2E12"/>
    <w:rsid w:val="00DF514A"/>
    <w:rsid w:val="00DF6690"/>
    <w:rsid w:val="00DF6804"/>
    <w:rsid w:val="00E03093"/>
    <w:rsid w:val="00E0358D"/>
    <w:rsid w:val="00E04323"/>
    <w:rsid w:val="00E070A2"/>
    <w:rsid w:val="00E15C44"/>
    <w:rsid w:val="00E21429"/>
    <w:rsid w:val="00E22162"/>
    <w:rsid w:val="00E23E03"/>
    <w:rsid w:val="00E2656A"/>
    <w:rsid w:val="00E311C2"/>
    <w:rsid w:val="00E36C70"/>
    <w:rsid w:val="00E412D0"/>
    <w:rsid w:val="00E51B8D"/>
    <w:rsid w:val="00E54DE3"/>
    <w:rsid w:val="00E56322"/>
    <w:rsid w:val="00E56BB9"/>
    <w:rsid w:val="00E60982"/>
    <w:rsid w:val="00E62C62"/>
    <w:rsid w:val="00E654C1"/>
    <w:rsid w:val="00E65D97"/>
    <w:rsid w:val="00E662D0"/>
    <w:rsid w:val="00E664DF"/>
    <w:rsid w:val="00E71764"/>
    <w:rsid w:val="00E72A5A"/>
    <w:rsid w:val="00E73354"/>
    <w:rsid w:val="00E74609"/>
    <w:rsid w:val="00E832F9"/>
    <w:rsid w:val="00E849C3"/>
    <w:rsid w:val="00E85213"/>
    <w:rsid w:val="00E9242D"/>
    <w:rsid w:val="00EA02F0"/>
    <w:rsid w:val="00EA0D62"/>
    <w:rsid w:val="00EB5255"/>
    <w:rsid w:val="00EB538B"/>
    <w:rsid w:val="00EB5C47"/>
    <w:rsid w:val="00EC3769"/>
    <w:rsid w:val="00ED0639"/>
    <w:rsid w:val="00ED56A3"/>
    <w:rsid w:val="00EF22A9"/>
    <w:rsid w:val="00EF4755"/>
    <w:rsid w:val="00EF5B6A"/>
    <w:rsid w:val="00EF7010"/>
    <w:rsid w:val="00EF7135"/>
    <w:rsid w:val="00EF7564"/>
    <w:rsid w:val="00F016A2"/>
    <w:rsid w:val="00F01E51"/>
    <w:rsid w:val="00F027DB"/>
    <w:rsid w:val="00F07396"/>
    <w:rsid w:val="00F12785"/>
    <w:rsid w:val="00F14A7A"/>
    <w:rsid w:val="00F1569D"/>
    <w:rsid w:val="00F22985"/>
    <w:rsid w:val="00F2466F"/>
    <w:rsid w:val="00F27709"/>
    <w:rsid w:val="00F32736"/>
    <w:rsid w:val="00F3383E"/>
    <w:rsid w:val="00F35707"/>
    <w:rsid w:val="00F35A61"/>
    <w:rsid w:val="00F37531"/>
    <w:rsid w:val="00F4195F"/>
    <w:rsid w:val="00F44DEC"/>
    <w:rsid w:val="00F465A7"/>
    <w:rsid w:val="00F50B7C"/>
    <w:rsid w:val="00F5246E"/>
    <w:rsid w:val="00F550E6"/>
    <w:rsid w:val="00F62777"/>
    <w:rsid w:val="00F74345"/>
    <w:rsid w:val="00F7558A"/>
    <w:rsid w:val="00F80A0A"/>
    <w:rsid w:val="00F82B19"/>
    <w:rsid w:val="00F8357F"/>
    <w:rsid w:val="00F9212D"/>
    <w:rsid w:val="00F9477A"/>
    <w:rsid w:val="00F962BC"/>
    <w:rsid w:val="00F965DA"/>
    <w:rsid w:val="00FA406A"/>
    <w:rsid w:val="00FA4D35"/>
    <w:rsid w:val="00FA6BD8"/>
    <w:rsid w:val="00FB1209"/>
    <w:rsid w:val="00FB503A"/>
    <w:rsid w:val="00FB516C"/>
    <w:rsid w:val="00FC206D"/>
    <w:rsid w:val="00FC4BA4"/>
    <w:rsid w:val="00FD0236"/>
    <w:rsid w:val="00FD18F4"/>
    <w:rsid w:val="00FD54DB"/>
    <w:rsid w:val="00FD619F"/>
    <w:rsid w:val="00FF0119"/>
    <w:rsid w:val="00FF08D6"/>
    <w:rsid w:val="00FF2980"/>
    <w:rsid w:val="00FF507E"/>
    <w:rsid w:val="01017684"/>
    <w:rsid w:val="011253ED"/>
    <w:rsid w:val="01201B21"/>
    <w:rsid w:val="01290F7E"/>
    <w:rsid w:val="01350C9C"/>
    <w:rsid w:val="01354B1F"/>
    <w:rsid w:val="014C6B51"/>
    <w:rsid w:val="015D1E09"/>
    <w:rsid w:val="01857169"/>
    <w:rsid w:val="01A87AFF"/>
    <w:rsid w:val="020E7C68"/>
    <w:rsid w:val="0216033F"/>
    <w:rsid w:val="02544424"/>
    <w:rsid w:val="02697903"/>
    <w:rsid w:val="026B1259"/>
    <w:rsid w:val="028B0FEC"/>
    <w:rsid w:val="02C7057E"/>
    <w:rsid w:val="02EE4928"/>
    <w:rsid w:val="02F96569"/>
    <w:rsid w:val="031A4A2D"/>
    <w:rsid w:val="03660660"/>
    <w:rsid w:val="03B3440B"/>
    <w:rsid w:val="03C11171"/>
    <w:rsid w:val="03DB20E8"/>
    <w:rsid w:val="03EA7B21"/>
    <w:rsid w:val="040A684F"/>
    <w:rsid w:val="040D1526"/>
    <w:rsid w:val="04162B86"/>
    <w:rsid w:val="041A43A3"/>
    <w:rsid w:val="045C213B"/>
    <w:rsid w:val="04706FFA"/>
    <w:rsid w:val="047C5AEB"/>
    <w:rsid w:val="04A31FF1"/>
    <w:rsid w:val="04E80761"/>
    <w:rsid w:val="04F70794"/>
    <w:rsid w:val="05171EF0"/>
    <w:rsid w:val="052D6C99"/>
    <w:rsid w:val="05580D1A"/>
    <w:rsid w:val="05955EE8"/>
    <w:rsid w:val="05997E8B"/>
    <w:rsid w:val="05CF7D50"/>
    <w:rsid w:val="05F83EAE"/>
    <w:rsid w:val="060F2843"/>
    <w:rsid w:val="061D5565"/>
    <w:rsid w:val="06251981"/>
    <w:rsid w:val="063E7D85"/>
    <w:rsid w:val="066E7569"/>
    <w:rsid w:val="06715FF2"/>
    <w:rsid w:val="06A64F55"/>
    <w:rsid w:val="06C31911"/>
    <w:rsid w:val="06DD30F7"/>
    <w:rsid w:val="06FB5E55"/>
    <w:rsid w:val="06FB76AC"/>
    <w:rsid w:val="072276D0"/>
    <w:rsid w:val="07293586"/>
    <w:rsid w:val="07295285"/>
    <w:rsid w:val="073A30E7"/>
    <w:rsid w:val="07636392"/>
    <w:rsid w:val="076F5B99"/>
    <w:rsid w:val="07770C56"/>
    <w:rsid w:val="07832D5B"/>
    <w:rsid w:val="07D16F1D"/>
    <w:rsid w:val="080D2DB2"/>
    <w:rsid w:val="081C5886"/>
    <w:rsid w:val="082F4AD6"/>
    <w:rsid w:val="085F6D72"/>
    <w:rsid w:val="08752E31"/>
    <w:rsid w:val="08B638F1"/>
    <w:rsid w:val="08B76EA9"/>
    <w:rsid w:val="08DC41A7"/>
    <w:rsid w:val="08EC7B58"/>
    <w:rsid w:val="08FA5590"/>
    <w:rsid w:val="09091D90"/>
    <w:rsid w:val="09114B6B"/>
    <w:rsid w:val="092217DD"/>
    <w:rsid w:val="0938455F"/>
    <w:rsid w:val="093A7294"/>
    <w:rsid w:val="09706F3C"/>
    <w:rsid w:val="09922F74"/>
    <w:rsid w:val="09991222"/>
    <w:rsid w:val="099C1052"/>
    <w:rsid w:val="09F5224A"/>
    <w:rsid w:val="09FC4E8C"/>
    <w:rsid w:val="0A106C8F"/>
    <w:rsid w:val="0A263993"/>
    <w:rsid w:val="0A2D3AC2"/>
    <w:rsid w:val="0A2F0DBE"/>
    <w:rsid w:val="0A6172BC"/>
    <w:rsid w:val="0A98244A"/>
    <w:rsid w:val="0AA04430"/>
    <w:rsid w:val="0AA755DF"/>
    <w:rsid w:val="0B09160F"/>
    <w:rsid w:val="0B120D44"/>
    <w:rsid w:val="0B21104E"/>
    <w:rsid w:val="0B297F03"/>
    <w:rsid w:val="0B3F7726"/>
    <w:rsid w:val="0B54217A"/>
    <w:rsid w:val="0B732F2C"/>
    <w:rsid w:val="0B745622"/>
    <w:rsid w:val="0B7C060F"/>
    <w:rsid w:val="0BCC0D0C"/>
    <w:rsid w:val="0BD27BF6"/>
    <w:rsid w:val="0C1943CF"/>
    <w:rsid w:val="0C25691C"/>
    <w:rsid w:val="0C3B3C7D"/>
    <w:rsid w:val="0C3D1EB8"/>
    <w:rsid w:val="0C6A5F0E"/>
    <w:rsid w:val="0CAB2EAE"/>
    <w:rsid w:val="0CFA4C7A"/>
    <w:rsid w:val="0D0B3D64"/>
    <w:rsid w:val="0D2F0621"/>
    <w:rsid w:val="0D38442D"/>
    <w:rsid w:val="0D4A7508"/>
    <w:rsid w:val="0D525544"/>
    <w:rsid w:val="0D621C7D"/>
    <w:rsid w:val="0D682F64"/>
    <w:rsid w:val="0D8E24C6"/>
    <w:rsid w:val="0D9D2ABD"/>
    <w:rsid w:val="0D9F6E9B"/>
    <w:rsid w:val="0DA26263"/>
    <w:rsid w:val="0DB95CC3"/>
    <w:rsid w:val="0DD45F90"/>
    <w:rsid w:val="0DF5323F"/>
    <w:rsid w:val="0DFF42CC"/>
    <w:rsid w:val="0E0013EF"/>
    <w:rsid w:val="0E3015A8"/>
    <w:rsid w:val="0E460B93"/>
    <w:rsid w:val="0E664FCA"/>
    <w:rsid w:val="0E73034D"/>
    <w:rsid w:val="0EF95E3E"/>
    <w:rsid w:val="0F13775A"/>
    <w:rsid w:val="0F1E0B2E"/>
    <w:rsid w:val="0F3F7CF5"/>
    <w:rsid w:val="0F5F0397"/>
    <w:rsid w:val="0F5F45FE"/>
    <w:rsid w:val="0F9A112B"/>
    <w:rsid w:val="0FB02950"/>
    <w:rsid w:val="0FC621C4"/>
    <w:rsid w:val="0FCA1A09"/>
    <w:rsid w:val="0FE32DAD"/>
    <w:rsid w:val="0FF94348"/>
    <w:rsid w:val="10196798"/>
    <w:rsid w:val="106D2F64"/>
    <w:rsid w:val="10B63710"/>
    <w:rsid w:val="10BB784F"/>
    <w:rsid w:val="10F10820"/>
    <w:rsid w:val="111C2F7A"/>
    <w:rsid w:val="112C24FB"/>
    <w:rsid w:val="115D4434"/>
    <w:rsid w:val="11665CA1"/>
    <w:rsid w:val="11692E07"/>
    <w:rsid w:val="11746A40"/>
    <w:rsid w:val="11A958FA"/>
    <w:rsid w:val="11DB2975"/>
    <w:rsid w:val="11F052D6"/>
    <w:rsid w:val="127C7B4F"/>
    <w:rsid w:val="1291526A"/>
    <w:rsid w:val="12960D16"/>
    <w:rsid w:val="12AD1419"/>
    <w:rsid w:val="12B318C8"/>
    <w:rsid w:val="12C02EFB"/>
    <w:rsid w:val="12FC1C5F"/>
    <w:rsid w:val="1309021C"/>
    <w:rsid w:val="13143456"/>
    <w:rsid w:val="131E70F0"/>
    <w:rsid w:val="13951726"/>
    <w:rsid w:val="13C72CF9"/>
    <w:rsid w:val="14016119"/>
    <w:rsid w:val="14172FEE"/>
    <w:rsid w:val="14205B36"/>
    <w:rsid w:val="14396509"/>
    <w:rsid w:val="143E1F70"/>
    <w:rsid w:val="145101C8"/>
    <w:rsid w:val="145A7850"/>
    <w:rsid w:val="14B83E6B"/>
    <w:rsid w:val="14C503EA"/>
    <w:rsid w:val="14D02DF5"/>
    <w:rsid w:val="14DC6C9D"/>
    <w:rsid w:val="14DD2C3C"/>
    <w:rsid w:val="15032035"/>
    <w:rsid w:val="153D2732"/>
    <w:rsid w:val="15484DCC"/>
    <w:rsid w:val="155B6F0B"/>
    <w:rsid w:val="155F3533"/>
    <w:rsid w:val="157F6158"/>
    <w:rsid w:val="15B7753C"/>
    <w:rsid w:val="15C8789E"/>
    <w:rsid w:val="15D867AD"/>
    <w:rsid w:val="15FA21C3"/>
    <w:rsid w:val="15FB33BF"/>
    <w:rsid w:val="16087E1D"/>
    <w:rsid w:val="16092E0B"/>
    <w:rsid w:val="163B21BA"/>
    <w:rsid w:val="163E0CCA"/>
    <w:rsid w:val="16585B40"/>
    <w:rsid w:val="16D74C82"/>
    <w:rsid w:val="17017F86"/>
    <w:rsid w:val="17044DC6"/>
    <w:rsid w:val="176633EF"/>
    <w:rsid w:val="17701D14"/>
    <w:rsid w:val="17735226"/>
    <w:rsid w:val="17896536"/>
    <w:rsid w:val="17A20A2C"/>
    <w:rsid w:val="17CD5DFD"/>
    <w:rsid w:val="180B2D24"/>
    <w:rsid w:val="181353B6"/>
    <w:rsid w:val="183844A4"/>
    <w:rsid w:val="18400119"/>
    <w:rsid w:val="185C48CC"/>
    <w:rsid w:val="18686D9E"/>
    <w:rsid w:val="186C73D0"/>
    <w:rsid w:val="18870F8B"/>
    <w:rsid w:val="189F624C"/>
    <w:rsid w:val="18EF1539"/>
    <w:rsid w:val="19121FD6"/>
    <w:rsid w:val="192718CC"/>
    <w:rsid w:val="195E6FCA"/>
    <w:rsid w:val="19C86B39"/>
    <w:rsid w:val="19D40545"/>
    <w:rsid w:val="19D96913"/>
    <w:rsid w:val="1A0E50CF"/>
    <w:rsid w:val="1A100961"/>
    <w:rsid w:val="1A1C66C0"/>
    <w:rsid w:val="1A367F46"/>
    <w:rsid w:val="1A42393B"/>
    <w:rsid w:val="1A752922"/>
    <w:rsid w:val="1A941ABF"/>
    <w:rsid w:val="1AA2382E"/>
    <w:rsid w:val="1AA85A62"/>
    <w:rsid w:val="1AAD45DE"/>
    <w:rsid w:val="1AC27465"/>
    <w:rsid w:val="1AC9700C"/>
    <w:rsid w:val="1AF44089"/>
    <w:rsid w:val="1B046F80"/>
    <w:rsid w:val="1B140288"/>
    <w:rsid w:val="1B3267B5"/>
    <w:rsid w:val="1B40161D"/>
    <w:rsid w:val="1B441859"/>
    <w:rsid w:val="1B4F1605"/>
    <w:rsid w:val="1B547A88"/>
    <w:rsid w:val="1B6606B1"/>
    <w:rsid w:val="1B8B6070"/>
    <w:rsid w:val="1B974658"/>
    <w:rsid w:val="1B9C027D"/>
    <w:rsid w:val="1BF577C7"/>
    <w:rsid w:val="1C0962C1"/>
    <w:rsid w:val="1C27223D"/>
    <w:rsid w:val="1C5E7925"/>
    <w:rsid w:val="1C93342E"/>
    <w:rsid w:val="1CC251F7"/>
    <w:rsid w:val="1CE02DD3"/>
    <w:rsid w:val="1CEC68C8"/>
    <w:rsid w:val="1CFD070F"/>
    <w:rsid w:val="1D04432C"/>
    <w:rsid w:val="1D210B26"/>
    <w:rsid w:val="1D4620CC"/>
    <w:rsid w:val="1D5F6196"/>
    <w:rsid w:val="1D6132A5"/>
    <w:rsid w:val="1D656576"/>
    <w:rsid w:val="1D8E56D5"/>
    <w:rsid w:val="1DAB47A7"/>
    <w:rsid w:val="1DBC74E6"/>
    <w:rsid w:val="1DCF0496"/>
    <w:rsid w:val="1DD62379"/>
    <w:rsid w:val="1E1A7AF4"/>
    <w:rsid w:val="1E311429"/>
    <w:rsid w:val="1E360515"/>
    <w:rsid w:val="1E500FDE"/>
    <w:rsid w:val="1E5A576E"/>
    <w:rsid w:val="1E5B7D63"/>
    <w:rsid w:val="1E5D3CF4"/>
    <w:rsid w:val="1E7A43DA"/>
    <w:rsid w:val="1E991AB8"/>
    <w:rsid w:val="1EE44415"/>
    <w:rsid w:val="1F081756"/>
    <w:rsid w:val="1F2A31A3"/>
    <w:rsid w:val="1F380E7F"/>
    <w:rsid w:val="1F4153C3"/>
    <w:rsid w:val="1F4E5D32"/>
    <w:rsid w:val="1F611D91"/>
    <w:rsid w:val="1F7F04CD"/>
    <w:rsid w:val="1FC55273"/>
    <w:rsid w:val="1FE7539E"/>
    <w:rsid w:val="202C38B3"/>
    <w:rsid w:val="203E5DA7"/>
    <w:rsid w:val="20671BE0"/>
    <w:rsid w:val="208C7D22"/>
    <w:rsid w:val="208E40C7"/>
    <w:rsid w:val="20963CB8"/>
    <w:rsid w:val="20A81A1B"/>
    <w:rsid w:val="20B07FB6"/>
    <w:rsid w:val="20B646FB"/>
    <w:rsid w:val="20F94081"/>
    <w:rsid w:val="21091F11"/>
    <w:rsid w:val="21240AF9"/>
    <w:rsid w:val="213B74B1"/>
    <w:rsid w:val="2158506C"/>
    <w:rsid w:val="215A2310"/>
    <w:rsid w:val="2166791F"/>
    <w:rsid w:val="21694B6A"/>
    <w:rsid w:val="21DE318A"/>
    <w:rsid w:val="21ED1832"/>
    <w:rsid w:val="21EF5B80"/>
    <w:rsid w:val="21F66939"/>
    <w:rsid w:val="22141045"/>
    <w:rsid w:val="2215395F"/>
    <w:rsid w:val="22482F0D"/>
    <w:rsid w:val="224854C3"/>
    <w:rsid w:val="22535048"/>
    <w:rsid w:val="22576990"/>
    <w:rsid w:val="22633A2F"/>
    <w:rsid w:val="228F6446"/>
    <w:rsid w:val="2297354C"/>
    <w:rsid w:val="229B7761"/>
    <w:rsid w:val="22A320C1"/>
    <w:rsid w:val="22D93552"/>
    <w:rsid w:val="22F47480"/>
    <w:rsid w:val="230E2E4C"/>
    <w:rsid w:val="23152DEF"/>
    <w:rsid w:val="237F295E"/>
    <w:rsid w:val="23867849"/>
    <w:rsid w:val="23A10BA1"/>
    <w:rsid w:val="23BC326A"/>
    <w:rsid w:val="23C5300C"/>
    <w:rsid w:val="23D77416"/>
    <w:rsid w:val="23DE1C48"/>
    <w:rsid w:val="23E8139C"/>
    <w:rsid w:val="23E826CC"/>
    <w:rsid w:val="23EB6DBE"/>
    <w:rsid w:val="23F073B8"/>
    <w:rsid w:val="23FD298D"/>
    <w:rsid w:val="23FF38B3"/>
    <w:rsid w:val="240210CD"/>
    <w:rsid w:val="242E432B"/>
    <w:rsid w:val="247B3E83"/>
    <w:rsid w:val="24BF09F7"/>
    <w:rsid w:val="24DF4931"/>
    <w:rsid w:val="24F838CD"/>
    <w:rsid w:val="24FE5668"/>
    <w:rsid w:val="2513335E"/>
    <w:rsid w:val="25270BB7"/>
    <w:rsid w:val="252D53FE"/>
    <w:rsid w:val="254B640F"/>
    <w:rsid w:val="25640F8C"/>
    <w:rsid w:val="256A432A"/>
    <w:rsid w:val="256B7B2F"/>
    <w:rsid w:val="2572434D"/>
    <w:rsid w:val="257D2ECD"/>
    <w:rsid w:val="25891872"/>
    <w:rsid w:val="2593061D"/>
    <w:rsid w:val="25A55F80"/>
    <w:rsid w:val="25B07440"/>
    <w:rsid w:val="25EC2D81"/>
    <w:rsid w:val="26301CEE"/>
    <w:rsid w:val="2652435A"/>
    <w:rsid w:val="26565004"/>
    <w:rsid w:val="265A6D6B"/>
    <w:rsid w:val="26C1503C"/>
    <w:rsid w:val="27393A05"/>
    <w:rsid w:val="277057A2"/>
    <w:rsid w:val="27895B59"/>
    <w:rsid w:val="278C1FE3"/>
    <w:rsid w:val="2790513A"/>
    <w:rsid w:val="27A33524"/>
    <w:rsid w:val="27A61EA5"/>
    <w:rsid w:val="27A97FAA"/>
    <w:rsid w:val="27AA6611"/>
    <w:rsid w:val="27EF0981"/>
    <w:rsid w:val="280A391E"/>
    <w:rsid w:val="280F6FAD"/>
    <w:rsid w:val="28112604"/>
    <w:rsid w:val="281F2148"/>
    <w:rsid w:val="28285372"/>
    <w:rsid w:val="283A6623"/>
    <w:rsid w:val="284E650D"/>
    <w:rsid w:val="286B525F"/>
    <w:rsid w:val="286E01EB"/>
    <w:rsid w:val="28862099"/>
    <w:rsid w:val="28AA3FD9"/>
    <w:rsid w:val="28CB72BC"/>
    <w:rsid w:val="28F60FCD"/>
    <w:rsid w:val="29206EB8"/>
    <w:rsid w:val="29595666"/>
    <w:rsid w:val="297E0FC2"/>
    <w:rsid w:val="29874881"/>
    <w:rsid w:val="298B5437"/>
    <w:rsid w:val="29AB155A"/>
    <w:rsid w:val="29E325E0"/>
    <w:rsid w:val="29FF2103"/>
    <w:rsid w:val="2A2703CB"/>
    <w:rsid w:val="2A2B2EA4"/>
    <w:rsid w:val="2A383867"/>
    <w:rsid w:val="2A3F0751"/>
    <w:rsid w:val="2A452503"/>
    <w:rsid w:val="2A4F0C1C"/>
    <w:rsid w:val="2A6C52BE"/>
    <w:rsid w:val="2A7924B2"/>
    <w:rsid w:val="2A843F40"/>
    <w:rsid w:val="2A886F53"/>
    <w:rsid w:val="2A994305"/>
    <w:rsid w:val="2AB27F6B"/>
    <w:rsid w:val="2AD90BA6"/>
    <w:rsid w:val="2B332311"/>
    <w:rsid w:val="2B5D3585"/>
    <w:rsid w:val="2B6F150A"/>
    <w:rsid w:val="2B975F20"/>
    <w:rsid w:val="2BA936A8"/>
    <w:rsid w:val="2BAA087A"/>
    <w:rsid w:val="2BB87FA4"/>
    <w:rsid w:val="2BC1277E"/>
    <w:rsid w:val="2BD1219E"/>
    <w:rsid w:val="2C315A5A"/>
    <w:rsid w:val="2C4B1C25"/>
    <w:rsid w:val="2C5660C5"/>
    <w:rsid w:val="2C5E0A7D"/>
    <w:rsid w:val="2C621511"/>
    <w:rsid w:val="2C862667"/>
    <w:rsid w:val="2C8E6106"/>
    <w:rsid w:val="2C900FC5"/>
    <w:rsid w:val="2C9C632F"/>
    <w:rsid w:val="2CAE1BBE"/>
    <w:rsid w:val="2CE33A54"/>
    <w:rsid w:val="2D346567"/>
    <w:rsid w:val="2D9E56F5"/>
    <w:rsid w:val="2DAA7D74"/>
    <w:rsid w:val="2DC77C29"/>
    <w:rsid w:val="2DE0224B"/>
    <w:rsid w:val="2DFA7404"/>
    <w:rsid w:val="2E011285"/>
    <w:rsid w:val="2E230605"/>
    <w:rsid w:val="2E2A08D0"/>
    <w:rsid w:val="2E5F295E"/>
    <w:rsid w:val="2E60513A"/>
    <w:rsid w:val="2E667F96"/>
    <w:rsid w:val="2E8226AB"/>
    <w:rsid w:val="2E893EE3"/>
    <w:rsid w:val="2E9077CD"/>
    <w:rsid w:val="2E950D68"/>
    <w:rsid w:val="2EB001BD"/>
    <w:rsid w:val="2EF57F78"/>
    <w:rsid w:val="2F2A7C22"/>
    <w:rsid w:val="2F316EA9"/>
    <w:rsid w:val="2F4607D4"/>
    <w:rsid w:val="2F5836E9"/>
    <w:rsid w:val="2F6A001E"/>
    <w:rsid w:val="2F866BC7"/>
    <w:rsid w:val="2F9D7168"/>
    <w:rsid w:val="2F9E71D8"/>
    <w:rsid w:val="2FD065E6"/>
    <w:rsid w:val="2FD836B2"/>
    <w:rsid w:val="2FD96870"/>
    <w:rsid w:val="2FE63D2F"/>
    <w:rsid w:val="2FF101B0"/>
    <w:rsid w:val="30170C5D"/>
    <w:rsid w:val="30442F65"/>
    <w:rsid w:val="304C7529"/>
    <w:rsid w:val="30580BC9"/>
    <w:rsid w:val="307208CF"/>
    <w:rsid w:val="308E7498"/>
    <w:rsid w:val="309A4933"/>
    <w:rsid w:val="30BB5B71"/>
    <w:rsid w:val="30E24E48"/>
    <w:rsid w:val="311E2ED7"/>
    <w:rsid w:val="312132A7"/>
    <w:rsid w:val="312468F3"/>
    <w:rsid w:val="314D0C41"/>
    <w:rsid w:val="315619EE"/>
    <w:rsid w:val="315C449C"/>
    <w:rsid w:val="31670D2C"/>
    <w:rsid w:val="31815B5E"/>
    <w:rsid w:val="31836030"/>
    <w:rsid w:val="31B82709"/>
    <w:rsid w:val="31C76848"/>
    <w:rsid w:val="31D05482"/>
    <w:rsid w:val="31DB4159"/>
    <w:rsid w:val="32093790"/>
    <w:rsid w:val="32400B34"/>
    <w:rsid w:val="324A339B"/>
    <w:rsid w:val="32634A26"/>
    <w:rsid w:val="32696CB3"/>
    <w:rsid w:val="329E6876"/>
    <w:rsid w:val="32A9152D"/>
    <w:rsid w:val="32B60AC7"/>
    <w:rsid w:val="32C87AF0"/>
    <w:rsid w:val="32FE5BD7"/>
    <w:rsid w:val="33233306"/>
    <w:rsid w:val="333015F2"/>
    <w:rsid w:val="334B6320"/>
    <w:rsid w:val="33D934D4"/>
    <w:rsid w:val="33FE2F6A"/>
    <w:rsid w:val="340E07E5"/>
    <w:rsid w:val="34235BF7"/>
    <w:rsid w:val="34884FD5"/>
    <w:rsid w:val="34897199"/>
    <w:rsid w:val="34BE597D"/>
    <w:rsid w:val="34C14813"/>
    <w:rsid w:val="34DF14AF"/>
    <w:rsid w:val="34E14006"/>
    <w:rsid w:val="3504770B"/>
    <w:rsid w:val="3538471B"/>
    <w:rsid w:val="356314FD"/>
    <w:rsid w:val="35657E57"/>
    <w:rsid w:val="358C2168"/>
    <w:rsid w:val="358C5FA8"/>
    <w:rsid w:val="35B53FBD"/>
    <w:rsid w:val="35C15DF1"/>
    <w:rsid w:val="35D2691D"/>
    <w:rsid w:val="35FE693A"/>
    <w:rsid w:val="36074A7F"/>
    <w:rsid w:val="36213401"/>
    <w:rsid w:val="3641163C"/>
    <w:rsid w:val="36456F76"/>
    <w:rsid w:val="36853887"/>
    <w:rsid w:val="368C3671"/>
    <w:rsid w:val="36923549"/>
    <w:rsid w:val="36932551"/>
    <w:rsid w:val="36AA6215"/>
    <w:rsid w:val="36B75FBF"/>
    <w:rsid w:val="36BD0C45"/>
    <w:rsid w:val="37272C99"/>
    <w:rsid w:val="373140C1"/>
    <w:rsid w:val="37540D08"/>
    <w:rsid w:val="3754477A"/>
    <w:rsid w:val="375D5EF0"/>
    <w:rsid w:val="37607F59"/>
    <w:rsid w:val="37B24C58"/>
    <w:rsid w:val="37E00298"/>
    <w:rsid w:val="385F223A"/>
    <w:rsid w:val="38921072"/>
    <w:rsid w:val="389D76B7"/>
    <w:rsid w:val="38B302F9"/>
    <w:rsid w:val="38C84639"/>
    <w:rsid w:val="38CF0D23"/>
    <w:rsid w:val="38F12CD3"/>
    <w:rsid w:val="38F3302D"/>
    <w:rsid w:val="38F94775"/>
    <w:rsid w:val="392971ED"/>
    <w:rsid w:val="39325651"/>
    <w:rsid w:val="394C4872"/>
    <w:rsid w:val="396C68F2"/>
    <w:rsid w:val="39902D77"/>
    <w:rsid w:val="39D32C64"/>
    <w:rsid w:val="3A636066"/>
    <w:rsid w:val="3A656B36"/>
    <w:rsid w:val="3A704957"/>
    <w:rsid w:val="3A872856"/>
    <w:rsid w:val="3A8A794B"/>
    <w:rsid w:val="3ABF1229"/>
    <w:rsid w:val="3B0E664A"/>
    <w:rsid w:val="3B3763D1"/>
    <w:rsid w:val="3B3F4A55"/>
    <w:rsid w:val="3B4A5D2F"/>
    <w:rsid w:val="3BA03BDB"/>
    <w:rsid w:val="3BC073FC"/>
    <w:rsid w:val="3BDB2F3B"/>
    <w:rsid w:val="3BEA4D86"/>
    <w:rsid w:val="3BEF65AA"/>
    <w:rsid w:val="3C1A2DCC"/>
    <w:rsid w:val="3C2F6E1E"/>
    <w:rsid w:val="3C32335B"/>
    <w:rsid w:val="3C374B2A"/>
    <w:rsid w:val="3C4F64BA"/>
    <w:rsid w:val="3C55372D"/>
    <w:rsid w:val="3C56797F"/>
    <w:rsid w:val="3C7D613A"/>
    <w:rsid w:val="3C927F12"/>
    <w:rsid w:val="3CD4400F"/>
    <w:rsid w:val="3CDA245A"/>
    <w:rsid w:val="3CE16539"/>
    <w:rsid w:val="3CF35AFE"/>
    <w:rsid w:val="3D1E06B7"/>
    <w:rsid w:val="3D6848F6"/>
    <w:rsid w:val="3DA5280F"/>
    <w:rsid w:val="3DDA2813"/>
    <w:rsid w:val="3DFD4754"/>
    <w:rsid w:val="3E13220D"/>
    <w:rsid w:val="3E71502A"/>
    <w:rsid w:val="3E760D10"/>
    <w:rsid w:val="3E9E1FEB"/>
    <w:rsid w:val="3EB23790"/>
    <w:rsid w:val="3EC534C3"/>
    <w:rsid w:val="3ED13129"/>
    <w:rsid w:val="3EDA0523"/>
    <w:rsid w:val="3F78328F"/>
    <w:rsid w:val="3FA9430D"/>
    <w:rsid w:val="3FAF7CCF"/>
    <w:rsid w:val="3FB91631"/>
    <w:rsid w:val="3FE07E89"/>
    <w:rsid w:val="400242A3"/>
    <w:rsid w:val="40174A46"/>
    <w:rsid w:val="402C1320"/>
    <w:rsid w:val="40355211"/>
    <w:rsid w:val="40391A3D"/>
    <w:rsid w:val="40615E32"/>
    <w:rsid w:val="406227B1"/>
    <w:rsid w:val="407A6407"/>
    <w:rsid w:val="40891E40"/>
    <w:rsid w:val="40A8352D"/>
    <w:rsid w:val="40BF4C08"/>
    <w:rsid w:val="40C477AB"/>
    <w:rsid w:val="40F26040"/>
    <w:rsid w:val="40F41E3E"/>
    <w:rsid w:val="41AE6B81"/>
    <w:rsid w:val="41B2557A"/>
    <w:rsid w:val="41CE1FB3"/>
    <w:rsid w:val="4200449D"/>
    <w:rsid w:val="423A3BCC"/>
    <w:rsid w:val="424566C9"/>
    <w:rsid w:val="424E57D2"/>
    <w:rsid w:val="426203CD"/>
    <w:rsid w:val="42A31D6D"/>
    <w:rsid w:val="42B26C49"/>
    <w:rsid w:val="42B77E54"/>
    <w:rsid w:val="42D00689"/>
    <w:rsid w:val="433A6FE6"/>
    <w:rsid w:val="4344549E"/>
    <w:rsid w:val="43467A22"/>
    <w:rsid w:val="43480868"/>
    <w:rsid w:val="4350713C"/>
    <w:rsid w:val="436653E0"/>
    <w:rsid w:val="43BF2492"/>
    <w:rsid w:val="43C0217C"/>
    <w:rsid w:val="43C4431A"/>
    <w:rsid w:val="43E46B1F"/>
    <w:rsid w:val="44013151"/>
    <w:rsid w:val="44223166"/>
    <w:rsid w:val="44617D96"/>
    <w:rsid w:val="44760F06"/>
    <w:rsid w:val="44B951CC"/>
    <w:rsid w:val="44CD14E0"/>
    <w:rsid w:val="44F20B0B"/>
    <w:rsid w:val="45142418"/>
    <w:rsid w:val="451E281E"/>
    <w:rsid w:val="452E5F4C"/>
    <w:rsid w:val="45612018"/>
    <w:rsid w:val="458946E9"/>
    <w:rsid w:val="45A47C0E"/>
    <w:rsid w:val="45F17F81"/>
    <w:rsid w:val="45F424BE"/>
    <w:rsid w:val="45FC3653"/>
    <w:rsid w:val="45FE7D22"/>
    <w:rsid w:val="46160AA8"/>
    <w:rsid w:val="46236D21"/>
    <w:rsid w:val="46577FD6"/>
    <w:rsid w:val="465A6BE7"/>
    <w:rsid w:val="46650DCB"/>
    <w:rsid w:val="4686370F"/>
    <w:rsid w:val="469B0FAE"/>
    <w:rsid w:val="46D30D4F"/>
    <w:rsid w:val="46D67089"/>
    <w:rsid w:val="46D955A7"/>
    <w:rsid w:val="46E82445"/>
    <w:rsid w:val="46F20785"/>
    <w:rsid w:val="46FB1176"/>
    <w:rsid w:val="470B6133"/>
    <w:rsid w:val="47133957"/>
    <w:rsid w:val="47567326"/>
    <w:rsid w:val="476D051B"/>
    <w:rsid w:val="4780267D"/>
    <w:rsid w:val="47A07E0C"/>
    <w:rsid w:val="47A40BBC"/>
    <w:rsid w:val="47D71C0C"/>
    <w:rsid w:val="481D660A"/>
    <w:rsid w:val="483B65A4"/>
    <w:rsid w:val="48402995"/>
    <w:rsid w:val="48403BBB"/>
    <w:rsid w:val="486008A7"/>
    <w:rsid w:val="4870272E"/>
    <w:rsid w:val="487E16BE"/>
    <w:rsid w:val="48967C7F"/>
    <w:rsid w:val="489D725F"/>
    <w:rsid w:val="48BD16AF"/>
    <w:rsid w:val="48C92504"/>
    <w:rsid w:val="48D52555"/>
    <w:rsid w:val="48F3378E"/>
    <w:rsid w:val="490D7B75"/>
    <w:rsid w:val="4921778B"/>
    <w:rsid w:val="495E69EE"/>
    <w:rsid w:val="4980356C"/>
    <w:rsid w:val="49DC7715"/>
    <w:rsid w:val="4A023139"/>
    <w:rsid w:val="4A1D0657"/>
    <w:rsid w:val="4A3737F7"/>
    <w:rsid w:val="4A743FEF"/>
    <w:rsid w:val="4A7B576F"/>
    <w:rsid w:val="4AA414CB"/>
    <w:rsid w:val="4AC22FAD"/>
    <w:rsid w:val="4AF561A9"/>
    <w:rsid w:val="4B0C0636"/>
    <w:rsid w:val="4B182BCD"/>
    <w:rsid w:val="4B483CBF"/>
    <w:rsid w:val="4B4D5AAB"/>
    <w:rsid w:val="4B550EF7"/>
    <w:rsid w:val="4B607C8E"/>
    <w:rsid w:val="4B797B0F"/>
    <w:rsid w:val="4B8C3702"/>
    <w:rsid w:val="4BB51858"/>
    <w:rsid w:val="4BC6087B"/>
    <w:rsid w:val="4C121D12"/>
    <w:rsid w:val="4C1C7AAB"/>
    <w:rsid w:val="4C2D4100"/>
    <w:rsid w:val="4C3C37B4"/>
    <w:rsid w:val="4C4A0649"/>
    <w:rsid w:val="4C50415B"/>
    <w:rsid w:val="4C6E193A"/>
    <w:rsid w:val="4C714C8A"/>
    <w:rsid w:val="4C7E5ECA"/>
    <w:rsid w:val="4C876AA5"/>
    <w:rsid w:val="4C92075D"/>
    <w:rsid w:val="4C960F82"/>
    <w:rsid w:val="4CA010CC"/>
    <w:rsid w:val="4CAA019C"/>
    <w:rsid w:val="4CDA26F0"/>
    <w:rsid w:val="4CDB0356"/>
    <w:rsid w:val="4CDF1BF4"/>
    <w:rsid w:val="4D0E00FB"/>
    <w:rsid w:val="4D166E5B"/>
    <w:rsid w:val="4D176606"/>
    <w:rsid w:val="4D453A21"/>
    <w:rsid w:val="4D6046FD"/>
    <w:rsid w:val="4D8B0615"/>
    <w:rsid w:val="4D9A3D6D"/>
    <w:rsid w:val="4DDE1EAC"/>
    <w:rsid w:val="4DEC4FB0"/>
    <w:rsid w:val="4DF30C68"/>
    <w:rsid w:val="4E075D8A"/>
    <w:rsid w:val="4E224CBD"/>
    <w:rsid w:val="4E3B72FE"/>
    <w:rsid w:val="4E8D1FA1"/>
    <w:rsid w:val="4EC00FAD"/>
    <w:rsid w:val="4EE00EC5"/>
    <w:rsid w:val="4EE23C1E"/>
    <w:rsid w:val="4F1F56F5"/>
    <w:rsid w:val="4F477F24"/>
    <w:rsid w:val="4F5E63DA"/>
    <w:rsid w:val="4F8C6496"/>
    <w:rsid w:val="4F953938"/>
    <w:rsid w:val="4F9843DC"/>
    <w:rsid w:val="4FBE6311"/>
    <w:rsid w:val="4FC62A8C"/>
    <w:rsid w:val="4FC7121C"/>
    <w:rsid w:val="4FD13278"/>
    <w:rsid w:val="4FD44775"/>
    <w:rsid w:val="4FE20F0D"/>
    <w:rsid w:val="4FE4386B"/>
    <w:rsid w:val="4FE51552"/>
    <w:rsid w:val="4FFA6D45"/>
    <w:rsid w:val="50504C4B"/>
    <w:rsid w:val="505721F1"/>
    <w:rsid w:val="50854653"/>
    <w:rsid w:val="508B21B3"/>
    <w:rsid w:val="508D6206"/>
    <w:rsid w:val="509C6E7C"/>
    <w:rsid w:val="50AE4EF4"/>
    <w:rsid w:val="50B3361C"/>
    <w:rsid w:val="50D8354A"/>
    <w:rsid w:val="50F9524E"/>
    <w:rsid w:val="512F6EC2"/>
    <w:rsid w:val="514E10F6"/>
    <w:rsid w:val="5162104E"/>
    <w:rsid w:val="51640F5C"/>
    <w:rsid w:val="517C2D91"/>
    <w:rsid w:val="51800C86"/>
    <w:rsid w:val="51C413B8"/>
    <w:rsid w:val="51D73246"/>
    <w:rsid w:val="51D830B6"/>
    <w:rsid w:val="51FE2294"/>
    <w:rsid w:val="520B288A"/>
    <w:rsid w:val="520E6AD8"/>
    <w:rsid w:val="52291B63"/>
    <w:rsid w:val="522C1696"/>
    <w:rsid w:val="52471912"/>
    <w:rsid w:val="52543328"/>
    <w:rsid w:val="526563EA"/>
    <w:rsid w:val="52A329FF"/>
    <w:rsid w:val="52AA52C8"/>
    <w:rsid w:val="52BE49BF"/>
    <w:rsid w:val="52C849AD"/>
    <w:rsid w:val="52D6562E"/>
    <w:rsid w:val="531225F7"/>
    <w:rsid w:val="5325057D"/>
    <w:rsid w:val="532661F8"/>
    <w:rsid w:val="53275BB9"/>
    <w:rsid w:val="536B389A"/>
    <w:rsid w:val="53A039CC"/>
    <w:rsid w:val="53A1505A"/>
    <w:rsid w:val="53E06252"/>
    <w:rsid w:val="53F71F19"/>
    <w:rsid w:val="53FD32A8"/>
    <w:rsid w:val="54063E08"/>
    <w:rsid w:val="543437E8"/>
    <w:rsid w:val="544D1B39"/>
    <w:rsid w:val="54694499"/>
    <w:rsid w:val="547C0049"/>
    <w:rsid w:val="548412D3"/>
    <w:rsid w:val="54893AAE"/>
    <w:rsid w:val="54B936FF"/>
    <w:rsid w:val="54F73313"/>
    <w:rsid w:val="54F80955"/>
    <w:rsid w:val="554A6079"/>
    <w:rsid w:val="555170A7"/>
    <w:rsid w:val="55643E9D"/>
    <w:rsid w:val="557A54CD"/>
    <w:rsid w:val="5587536D"/>
    <w:rsid w:val="559B174B"/>
    <w:rsid w:val="55CB1251"/>
    <w:rsid w:val="55CE0CF4"/>
    <w:rsid w:val="55DD366F"/>
    <w:rsid w:val="55DE43CD"/>
    <w:rsid w:val="55F06C20"/>
    <w:rsid w:val="5621502B"/>
    <w:rsid w:val="562543F0"/>
    <w:rsid w:val="56397366"/>
    <w:rsid w:val="56AF65D0"/>
    <w:rsid w:val="56B22A9C"/>
    <w:rsid w:val="57167AB4"/>
    <w:rsid w:val="571F0C30"/>
    <w:rsid w:val="5749487F"/>
    <w:rsid w:val="575136EE"/>
    <w:rsid w:val="57596A47"/>
    <w:rsid w:val="576A7BC0"/>
    <w:rsid w:val="576F281D"/>
    <w:rsid w:val="57833AC4"/>
    <w:rsid w:val="57853398"/>
    <w:rsid w:val="578B516E"/>
    <w:rsid w:val="57B534F2"/>
    <w:rsid w:val="57B72A76"/>
    <w:rsid w:val="57C3426C"/>
    <w:rsid w:val="57CE1F93"/>
    <w:rsid w:val="57D86D69"/>
    <w:rsid w:val="57D911BD"/>
    <w:rsid w:val="580B5F93"/>
    <w:rsid w:val="58311772"/>
    <w:rsid w:val="585761C7"/>
    <w:rsid w:val="588743D1"/>
    <w:rsid w:val="5887701A"/>
    <w:rsid w:val="58994908"/>
    <w:rsid w:val="58A837E2"/>
    <w:rsid w:val="58C6010C"/>
    <w:rsid w:val="58C83E84"/>
    <w:rsid w:val="58F06F37"/>
    <w:rsid w:val="590953E8"/>
    <w:rsid w:val="590A5C18"/>
    <w:rsid w:val="590F7E61"/>
    <w:rsid w:val="596516D3"/>
    <w:rsid w:val="597B52F1"/>
    <w:rsid w:val="59C0439F"/>
    <w:rsid w:val="59CE248B"/>
    <w:rsid w:val="5A125316"/>
    <w:rsid w:val="5A14193B"/>
    <w:rsid w:val="5A20384C"/>
    <w:rsid w:val="5A6B26EF"/>
    <w:rsid w:val="5A882A18"/>
    <w:rsid w:val="5A902780"/>
    <w:rsid w:val="5A955FE8"/>
    <w:rsid w:val="5A964190"/>
    <w:rsid w:val="5ABE2233"/>
    <w:rsid w:val="5ACD317A"/>
    <w:rsid w:val="5AEE022E"/>
    <w:rsid w:val="5B413A7A"/>
    <w:rsid w:val="5B4A1E4B"/>
    <w:rsid w:val="5B554D0A"/>
    <w:rsid w:val="5BB75EDE"/>
    <w:rsid w:val="5BD23EEB"/>
    <w:rsid w:val="5BD930EE"/>
    <w:rsid w:val="5BDF5D95"/>
    <w:rsid w:val="5BEC1C38"/>
    <w:rsid w:val="5BFE7528"/>
    <w:rsid w:val="5C1823BD"/>
    <w:rsid w:val="5C214C18"/>
    <w:rsid w:val="5C4221AB"/>
    <w:rsid w:val="5C423F4D"/>
    <w:rsid w:val="5C702869"/>
    <w:rsid w:val="5C7D2AA1"/>
    <w:rsid w:val="5C9817B4"/>
    <w:rsid w:val="5C983B6D"/>
    <w:rsid w:val="5CCD6E98"/>
    <w:rsid w:val="5D1F603D"/>
    <w:rsid w:val="5D217368"/>
    <w:rsid w:val="5D3C6BEF"/>
    <w:rsid w:val="5D9407D9"/>
    <w:rsid w:val="5E2467F1"/>
    <w:rsid w:val="5E580CDA"/>
    <w:rsid w:val="5EC34592"/>
    <w:rsid w:val="5ED44C3F"/>
    <w:rsid w:val="5EDD305D"/>
    <w:rsid w:val="5F052E9A"/>
    <w:rsid w:val="5F1A2B43"/>
    <w:rsid w:val="5F322F1C"/>
    <w:rsid w:val="5F6B2C8A"/>
    <w:rsid w:val="5F8623A3"/>
    <w:rsid w:val="5FA440D0"/>
    <w:rsid w:val="5FA56CCD"/>
    <w:rsid w:val="5FB6247D"/>
    <w:rsid w:val="5FB837BB"/>
    <w:rsid w:val="5FB92AF0"/>
    <w:rsid w:val="5FCB522E"/>
    <w:rsid w:val="5FDC2A5D"/>
    <w:rsid w:val="5FE570CA"/>
    <w:rsid w:val="60276582"/>
    <w:rsid w:val="604A1623"/>
    <w:rsid w:val="605F1C92"/>
    <w:rsid w:val="60746D32"/>
    <w:rsid w:val="608B742A"/>
    <w:rsid w:val="609A35D6"/>
    <w:rsid w:val="60A6626F"/>
    <w:rsid w:val="60B24997"/>
    <w:rsid w:val="60C03693"/>
    <w:rsid w:val="60CC405A"/>
    <w:rsid w:val="613A1782"/>
    <w:rsid w:val="61572249"/>
    <w:rsid w:val="61B9080E"/>
    <w:rsid w:val="61D12198"/>
    <w:rsid w:val="61E215D8"/>
    <w:rsid w:val="61F07FA8"/>
    <w:rsid w:val="621B3775"/>
    <w:rsid w:val="62364782"/>
    <w:rsid w:val="62397159"/>
    <w:rsid w:val="626970D8"/>
    <w:rsid w:val="62C95A86"/>
    <w:rsid w:val="630670EC"/>
    <w:rsid w:val="631364A7"/>
    <w:rsid w:val="631A5B1A"/>
    <w:rsid w:val="632650FB"/>
    <w:rsid w:val="63337662"/>
    <w:rsid w:val="6394356A"/>
    <w:rsid w:val="63BB4841"/>
    <w:rsid w:val="63C61B2C"/>
    <w:rsid w:val="63D40BE9"/>
    <w:rsid w:val="63EE3545"/>
    <w:rsid w:val="64102431"/>
    <w:rsid w:val="6411694F"/>
    <w:rsid w:val="642108EC"/>
    <w:rsid w:val="643B19AE"/>
    <w:rsid w:val="646F08A6"/>
    <w:rsid w:val="64716A49"/>
    <w:rsid w:val="6478461E"/>
    <w:rsid w:val="647933CC"/>
    <w:rsid w:val="6495055D"/>
    <w:rsid w:val="64A31C67"/>
    <w:rsid w:val="64A5243A"/>
    <w:rsid w:val="64C04D83"/>
    <w:rsid w:val="64F531DE"/>
    <w:rsid w:val="65304687"/>
    <w:rsid w:val="65373578"/>
    <w:rsid w:val="65425B54"/>
    <w:rsid w:val="654A5C21"/>
    <w:rsid w:val="654B3E73"/>
    <w:rsid w:val="659B2993"/>
    <w:rsid w:val="65B25CA0"/>
    <w:rsid w:val="65F26ABC"/>
    <w:rsid w:val="65FC6F1B"/>
    <w:rsid w:val="66223CBA"/>
    <w:rsid w:val="6624104F"/>
    <w:rsid w:val="66291B15"/>
    <w:rsid w:val="6646776C"/>
    <w:rsid w:val="66495ED8"/>
    <w:rsid w:val="665E3732"/>
    <w:rsid w:val="666A0329"/>
    <w:rsid w:val="66726940"/>
    <w:rsid w:val="66BB6DD6"/>
    <w:rsid w:val="67193AFD"/>
    <w:rsid w:val="671F124A"/>
    <w:rsid w:val="677A33C6"/>
    <w:rsid w:val="678C2521"/>
    <w:rsid w:val="678C5591"/>
    <w:rsid w:val="67A61E32"/>
    <w:rsid w:val="67A95106"/>
    <w:rsid w:val="67AA5031"/>
    <w:rsid w:val="67B23972"/>
    <w:rsid w:val="67DD19DD"/>
    <w:rsid w:val="67EF1DBD"/>
    <w:rsid w:val="67F76480"/>
    <w:rsid w:val="681F6961"/>
    <w:rsid w:val="682C566A"/>
    <w:rsid w:val="684B7678"/>
    <w:rsid w:val="685B5188"/>
    <w:rsid w:val="68610A2F"/>
    <w:rsid w:val="68805514"/>
    <w:rsid w:val="68817BAC"/>
    <w:rsid w:val="68A13DAA"/>
    <w:rsid w:val="68AB3DDA"/>
    <w:rsid w:val="68E8576C"/>
    <w:rsid w:val="68EA3D18"/>
    <w:rsid w:val="690F62C5"/>
    <w:rsid w:val="691B3B5C"/>
    <w:rsid w:val="691F6B55"/>
    <w:rsid w:val="69316E2F"/>
    <w:rsid w:val="694E2071"/>
    <w:rsid w:val="69717C20"/>
    <w:rsid w:val="69766163"/>
    <w:rsid w:val="697A3B33"/>
    <w:rsid w:val="697B284D"/>
    <w:rsid w:val="69866811"/>
    <w:rsid w:val="698D158C"/>
    <w:rsid w:val="699D27C3"/>
    <w:rsid w:val="69B82573"/>
    <w:rsid w:val="69C808B9"/>
    <w:rsid w:val="69D44760"/>
    <w:rsid w:val="69D62B8F"/>
    <w:rsid w:val="69DB153D"/>
    <w:rsid w:val="6A084C8A"/>
    <w:rsid w:val="6A0B3367"/>
    <w:rsid w:val="6A4470E3"/>
    <w:rsid w:val="6A520EC7"/>
    <w:rsid w:val="6A723C50"/>
    <w:rsid w:val="6A927E4E"/>
    <w:rsid w:val="6AAD6984"/>
    <w:rsid w:val="6ADD52AC"/>
    <w:rsid w:val="6AF7565C"/>
    <w:rsid w:val="6AF87E20"/>
    <w:rsid w:val="6B0D2891"/>
    <w:rsid w:val="6B322639"/>
    <w:rsid w:val="6B880327"/>
    <w:rsid w:val="6BBE312C"/>
    <w:rsid w:val="6BF84629"/>
    <w:rsid w:val="6C427652"/>
    <w:rsid w:val="6C636C38"/>
    <w:rsid w:val="6C952DF1"/>
    <w:rsid w:val="6CC37ADF"/>
    <w:rsid w:val="6CD46C7B"/>
    <w:rsid w:val="6D0A34C9"/>
    <w:rsid w:val="6D396CA7"/>
    <w:rsid w:val="6D903CE2"/>
    <w:rsid w:val="6DA32372"/>
    <w:rsid w:val="6DA72C2E"/>
    <w:rsid w:val="6DA74A7F"/>
    <w:rsid w:val="6DB34098"/>
    <w:rsid w:val="6DB545B6"/>
    <w:rsid w:val="6DCC18C9"/>
    <w:rsid w:val="6DE02FB4"/>
    <w:rsid w:val="6E02353D"/>
    <w:rsid w:val="6E4A1575"/>
    <w:rsid w:val="6E5024FA"/>
    <w:rsid w:val="6E514CED"/>
    <w:rsid w:val="6E5518F4"/>
    <w:rsid w:val="6E6D68E5"/>
    <w:rsid w:val="6EAE5FCA"/>
    <w:rsid w:val="6EB563D5"/>
    <w:rsid w:val="6EC2776D"/>
    <w:rsid w:val="6EC41959"/>
    <w:rsid w:val="6ED92677"/>
    <w:rsid w:val="6EDF387E"/>
    <w:rsid w:val="6EEC7ACF"/>
    <w:rsid w:val="6F0E7CBF"/>
    <w:rsid w:val="6F225983"/>
    <w:rsid w:val="6F2E0918"/>
    <w:rsid w:val="6F58005B"/>
    <w:rsid w:val="6F7021A4"/>
    <w:rsid w:val="6F7C2E7B"/>
    <w:rsid w:val="6F7E6BF3"/>
    <w:rsid w:val="6FE648AD"/>
    <w:rsid w:val="6FFC5590"/>
    <w:rsid w:val="70180EAF"/>
    <w:rsid w:val="701B2694"/>
    <w:rsid w:val="70455963"/>
    <w:rsid w:val="706D1DD0"/>
    <w:rsid w:val="707029DF"/>
    <w:rsid w:val="70856B87"/>
    <w:rsid w:val="708742D6"/>
    <w:rsid w:val="709E72EC"/>
    <w:rsid w:val="70B36A29"/>
    <w:rsid w:val="70B76860"/>
    <w:rsid w:val="70BF3967"/>
    <w:rsid w:val="70C97C06"/>
    <w:rsid w:val="70D527EE"/>
    <w:rsid w:val="70EF2DA5"/>
    <w:rsid w:val="71213CDA"/>
    <w:rsid w:val="714A7DC8"/>
    <w:rsid w:val="715B5300"/>
    <w:rsid w:val="718A7ADF"/>
    <w:rsid w:val="718C1A9B"/>
    <w:rsid w:val="71D21478"/>
    <w:rsid w:val="71D27F8A"/>
    <w:rsid w:val="71EF4F28"/>
    <w:rsid w:val="720D6CFF"/>
    <w:rsid w:val="72553024"/>
    <w:rsid w:val="726B4173"/>
    <w:rsid w:val="726C75C8"/>
    <w:rsid w:val="728F054A"/>
    <w:rsid w:val="72943F8A"/>
    <w:rsid w:val="72BA581E"/>
    <w:rsid w:val="72C64694"/>
    <w:rsid w:val="72CA214F"/>
    <w:rsid w:val="72D059B7"/>
    <w:rsid w:val="72DB4E62"/>
    <w:rsid w:val="72ED68F0"/>
    <w:rsid w:val="72FF0A72"/>
    <w:rsid w:val="73122968"/>
    <w:rsid w:val="731F5D5E"/>
    <w:rsid w:val="73967332"/>
    <w:rsid w:val="739915E2"/>
    <w:rsid w:val="73BB0416"/>
    <w:rsid w:val="73BF5B0E"/>
    <w:rsid w:val="73C51AD5"/>
    <w:rsid w:val="73D041D2"/>
    <w:rsid w:val="73FC0A2E"/>
    <w:rsid w:val="741E793C"/>
    <w:rsid w:val="745E3944"/>
    <w:rsid w:val="7473539A"/>
    <w:rsid w:val="750059FD"/>
    <w:rsid w:val="750758DC"/>
    <w:rsid w:val="75111DAC"/>
    <w:rsid w:val="757C3BD5"/>
    <w:rsid w:val="75805743"/>
    <w:rsid w:val="75A7577F"/>
    <w:rsid w:val="75C567D4"/>
    <w:rsid w:val="75CF2777"/>
    <w:rsid w:val="75E44E88"/>
    <w:rsid w:val="7635099D"/>
    <w:rsid w:val="769E7B7B"/>
    <w:rsid w:val="76A6278C"/>
    <w:rsid w:val="76BC2F2B"/>
    <w:rsid w:val="76E00123"/>
    <w:rsid w:val="76F36118"/>
    <w:rsid w:val="76F74EF8"/>
    <w:rsid w:val="76FF686B"/>
    <w:rsid w:val="771F0CBB"/>
    <w:rsid w:val="77495D38"/>
    <w:rsid w:val="77495F99"/>
    <w:rsid w:val="775A7A90"/>
    <w:rsid w:val="775D17E4"/>
    <w:rsid w:val="77752C8F"/>
    <w:rsid w:val="77762421"/>
    <w:rsid w:val="77B56B1F"/>
    <w:rsid w:val="77D71596"/>
    <w:rsid w:val="780F09F4"/>
    <w:rsid w:val="7827516C"/>
    <w:rsid w:val="78463590"/>
    <w:rsid w:val="78526E6F"/>
    <w:rsid w:val="7864464F"/>
    <w:rsid w:val="78837E7B"/>
    <w:rsid w:val="788F2E8E"/>
    <w:rsid w:val="78960924"/>
    <w:rsid w:val="78A90480"/>
    <w:rsid w:val="78AA1F90"/>
    <w:rsid w:val="78C20A4C"/>
    <w:rsid w:val="78E35D19"/>
    <w:rsid w:val="795B7FA5"/>
    <w:rsid w:val="79607369"/>
    <w:rsid w:val="79AE12CA"/>
    <w:rsid w:val="79B44501"/>
    <w:rsid w:val="79BA116F"/>
    <w:rsid w:val="79DE65CF"/>
    <w:rsid w:val="79E87A8A"/>
    <w:rsid w:val="7A0B19CB"/>
    <w:rsid w:val="7A1C2587"/>
    <w:rsid w:val="7A364017"/>
    <w:rsid w:val="7A521897"/>
    <w:rsid w:val="7A587683"/>
    <w:rsid w:val="7A5F5873"/>
    <w:rsid w:val="7A8265E1"/>
    <w:rsid w:val="7AD1257F"/>
    <w:rsid w:val="7AE30252"/>
    <w:rsid w:val="7B263E7A"/>
    <w:rsid w:val="7B686D42"/>
    <w:rsid w:val="7B6F0D2E"/>
    <w:rsid w:val="7B841746"/>
    <w:rsid w:val="7B922932"/>
    <w:rsid w:val="7BC768CB"/>
    <w:rsid w:val="7C3C6667"/>
    <w:rsid w:val="7C493D07"/>
    <w:rsid w:val="7C6C5AC7"/>
    <w:rsid w:val="7C776EA4"/>
    <w:rsid w:val="7C920010"/>
    <w:rsid w:val="7C9F0B88"/>
    <w:rsid w:val="7CC6544B"/>
    <w:rsid w:val="7D0239FF"/>
    <w:rsid w:val="7D1776C0"/>
    <w:rsid w:val="7D301179"/>
    <w:rsid w:val="7D3E5C13"/>
    <w:rsid w:val="7D3F0E5A"/>
    <w:rsid w:val="7D5E40CD"/>
    <w:rsid w:val="7DC23A54"/>
    <w:rsid w:val="7DC425BD"/>
    <w:rsid w:val="7DCD56F2"/>
    <w:rsid w:val="7DD431FB"/>
    <w:rsid w:val="7E081DEB"/>
    <w:rsid w:val="7E21356B"/>
    <w:rsid w:val="7E3C65F7"/>
    <w:rsid w:val="7E48340D"/>
    <w:rsid w:val="7E486978"/>
    <w:rsid w:val="7E6A36E6"/>
    <w:rsid w:val="7E7223E0"/>
    <w:rsid w:val="7E8F564F"/>
    <w:rsid w:val="7E9864A5"/>
    <w:rsid w:val="7EA40397"/>
    <w:rsid w:val="7ECD4A8C"/>
    <w:rsid w:val="7F001CE7"/>
    <w:rsid w:val="7F083540"/>
    <w:rsid w:val="7F0F7867"/>
    <w:rsid w:val="7F1D2B51"/>
    <w:rsid w:val="7F286B7B"/>
    <w:rsid w:val="7F45772D"/>
    <w:rsid w:val="7F4A08A0"/>
    <w:rsid w:val="7F67739A"/>
    <w:rsid w:val="7F7E4319"/>
    <w:rsid w:val="7F7F6589"/>
    <w:rsid w:val="7F840255"/>
    <w:rsid w:val="7F983E48"/>
    <w:rsid w:val="7F985AAF"/>
    <w:rsid w:val="7F9C0CFD"/>
    <w:rsid w:val="7FB4040F"/>
    <w:rsid w:val="7FC27C35"/>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11"/>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keepLines/>
      <w:spacing w:before="120" w:after="120" w:line="360" w:lineRule="auto"/>
      <w:outlineLvl w:val="1"/>
    </w:pPr>
    <w:rPr>
      <w:rFonts w:ascii="Cambria" w:hAnsi="Cambria" w:eastAsia="宋体" w:cs="Times New Roman"/>
      <w:b/>
      <w:bCs/>
      <w:sz w:val="32"/>
      <w:szCs w:val="32"/>
    </w:rPr>
  </w:style>
  <w:style w:type="paragraph" w:styleId="4">
    <w:name w:val="heading 4"/>
    <w:basedOn w:val="1"/>
    <w:next w:val="1"/>
    <w:qFormat/>
    <w:uiPriority w:val="0"/>
    <w:pPr>
      <w:keepNext/>
      <w:keepLines/>
      <w:spacing w:before="280" w:after="290" w:line="372" w:lineRule="auto"/>
      <w:outlineLvl w:val="3"/>
    </w:pPr>
    <w:rPr>
      <w:rFonts w:ascii="Arial" w:hAnsi="Arial" w:eastAsia="黑体"/>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Layout w:type="fixed"/>
      <w:tblCellMar>
        <w:top w:w="0" w:type="dxa"/>
        <w:left w:w="108" w:type="dxa"/>
        <w:bottom w:w="0" w:type="dxa"/>
        <w:right w:w="108" w:type="dxa"/>
      </w:tblCellMar>
    </w:tblPr>
  </w:style>
  <w:style w:type="paragraph" w:styleId="5">
    <w:name w:val="Normal Indent"/>
    <w:basedOn w:val="1"/>
    <w:qFormat/>
    <w:uiPriority w:val="0"/>
    <w:pPr>
      <w:spacing w:line="460" w:lineRule="atLeast"/>
      <w:ind w:firstLine="420"/>
    </w:pPr>
    <w:rPr>
      <w:sz w:val="24"/>
      <w:szCs w:val="20"/>
    </w:rPr>
  </w:style>
  <w:style w:type="paragraph" w:styleId="6">
    <w:name w:val="caption"/>
    <w:basedOn w:val="1"/>
    <w:next w:val="1"/>
    <w:qFormat/>
    <w:uiPriority w:val="35"/>
    <w:pPr>
      <w:widowControl/>
      <w:adjustRightInd w:val="0"/>
      <w:snapToGrid w:val="0"/>
      <w:jc w:val="center"/>
    </w:pPr>
    <w:rPr>
      <w:rFonts w:eastAsia="黑体"/>
      <w:kern w:val="0"/>
      <w:sz w:val="24"/>
    </w:rPr>
  </w:style>
  <w:style w:type="paragraph" w:styleId="7">
    <w:name w:val="annotation text"/>
    <w:basedOn w:val="1"/>
    <w:link w:val="54"/>
    <w:semiHidden/>
    <w:qFormat/>
    <w:uiPriority w:val="0"/>
    <w:pPr>
      <w:jc w:val="left"/>
    </w:pPr>
    <w:rPr>
      <w:kern w:val="0"/>
      <w:sz w:val="24"/>
      <w:szCs w:val="20"/>
    </w:rPr>
  </w:style>
  <w:style w:type="paragraph" w:styleId="8">
    <w:name w:val="Body Text"/>
    <w:basedOn w:val="1"/>
    <w:next w:val="1"/>
    <w:link w:val="57"/>
    <w:qFormat/>
    <w:uiPriority w:val="0"/>
    <w:pPr>
      <w:widowControl/>
      <w:snapToGrid w:val="0"/>
      <w:spacing w:before="60" w:after="160" w:line="259" w:lineRule="auto"/>
      <w:ind w:right="113"/>
    </w:pPr>
    <w:rPr>
      <w:kern w:val="0"/>
      <w:sz w:val="18"/>
      <w:szCs w:val="20"/>
    </w:rPr>
  </w:style>
  <w:style w:type="paragraph" w:styleId="9">
    <w:name w:val="Body Text Indent"/>
    <w:basedOn w:val="1"/>
    <w:link w:val="47"/>
    <w:qFormat/>
    <w:uiPriority w:val="0"/>
    <w:pPr>
      <w:spacing w:after="120"/>
      <w:ind w:left="420" w:leftChars="200"/>
    </w:pPr>
    <w:rPr>
      <w:kern w:val="0"/>
      <w:sz w:val="24"/>
      <w:szCs w:val="20"/>
    </w:rPr>
  </w:style>
  <w:style w:type="paragraph" w:styleId="10">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11">
    <w:name w:val="Plain Text"/>
    <w:basedOn w:val="1"/>
    <w:link w:val="105"/>
    <w:qFormat/>
    <w:uiPriority w:val="0"/>
    <w:pPr>
      <w:widowControl/>
      <w:spacing w:before="100" w:beforeAutospacing="1" w:after="100" w:afterAutospacing="1"/>
      <w:jc w:val="left"/>
    </w:pPr>
    <w:rPr>
      <w:rFonts w:ascii="宋体" w:hAnsi="宋体"/>
      <w:color w:val="000000"/>
      <w:kern w:val="0"/>
      <w:sz w:val="24"/>
    </w:rPr>
  </w:style>
  <w:style w:type="paragraph" w:styleId="12">
    <w:name w:val="List Bullet 5"/>
    <w:basedOn w:val="1"/>
    <w:qFormat/>
    <w:uiPriority w:val="0"/>
    <w:pPr>
      <w:numPr>
        <w:ilvl w:val="0"/>
        <w:numId w:val="1"/>
      </w:numPr>
    </w:pPr>
  </w:style>
  <w:style w:type="paragraph" w:styleId="13">
    <w:name w:val="Date"/>
    <w:basedOn w:val="1"/>
    <w:next w:val="1"/>
    <w:link w:val="46"/>
    <w:qFormat/>
    <w:uiPriority w:val="0"/>
    <w:pPr>
      <w:ind w:left="100" w:leftChars="2500"/>
    </w:pPr>
    <w:rPr>
      <w:kern w:val="0"/>
      <w:sz w:val="24"/>
      <w:szCs w:val="20"/>
    </w:rPr>
  </w:style>
  <w:style w:type="paragraph" w:styleId="14">
    <w:name w:val="Body Text Indent 2"/>
    <w:basedOn w:val="1"/>
    <w:next w:val="1"/>
    <w:qFormat/>
    <w:uiPriority w:val="0"/>
    <w:pPr>
      <w:spacing w:after="120" w:line="480" w:lineRule="auto"/>
      <w:ind w:left="420" w:leftChars="200"/>
    </w:pPr>
  </w:style>
  <w:style w:type="paragraph" w:styleId="15">
    <w:name w:val="Balloon Text"/>
    <w:basedOn w:val="1"/>
    <w:link w:val="50"/>
    <w:semiHidden/>
    <w:qFormat/>
    <w:uiPriority w:val="0"/>
    <w:rPr>
      <w:kern w:val="0"/>
      <w:sz w:val="18"/>
      <w:szCs w:val="20"/>
    </w:rPr>
  </w:style>
  <w:style w:type="paragraph" w:styleId="16">
    <w:name w:val="footer"/>
    <w:basedOn w:val="1"/>
    <w:link w:val="48"/>
    <w:qFormat/>
    <w:uiPriority w:val="99"/>
    <w:pPr>
      <w:tabs>
        <w:tab w:val="center" w:pos="4153"/>
        <w:tab w:val="right" w:pos="8306"/>
      </w:tabs>
      <w:snapToGrid w:val="0"/>
      <w:jc w:val="left"/>
    </w:pPr>
    <w:rPr>
      <w:kern w:val="0"/>
      <w:sz w:val="18"/>
      <w:szCs w:val="20"/>
    </w:rPr>
  </w:style>
  <w:style w:type="paragraph" w:styleId="17">
    <w:name w:val="header"/>
    <w:basedOn w:val="1"/>
    <w:link w:val="53"/>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9">
    <w:name w:val="List"/>
    <w:basedOn w:val="1"/>
    <w:next w:val="8"/>
    <w:qFormat/>
    <w:uiPriority w:val="0"/>
    <w:pPr>
      <w:ind w:left="200" w:hanging="200" w:hangingChars="200"/>
    </w:pPr>
  </w:style>
  <w:style w:type="paragraph" w:styleId="20">
    <w:name w:val="Body Text Indent 3"/>
    <w:basedOn w:val="1"/>
    <w:qFormat/>
    <w:uiPriority w:val="0"/>
    <w:pPr>
      <w:spacing w:after="120"/>
      <w:ind w:left="420" w:leftChars="200"/>
    </w:pPr>
    <w:rPr>
      <w:sz w:val="16"/>
      <w:szCs w:val="16"/>
    </w:rPr>
  </w:style>
  <w:style w:type="paragraph" w:styleId="21">
    <w:name w:val="toc 2"/>
    <w:basedOn w:val="1"/>
    <w:next w:val="1"/>
    <w:qFormat/>
    <w:uiPriority w:val="39"/>
    <w:pPr>
      <w:ind w:left="210"/>
      <w:jc w:val="left"/>
    </w:pPr>
    <w:rPr>
      <w:smallCaps/>
      <w:sz w:val="20"/>
      <w:szCs w:val="20"/>
    </w:rPr>
  </w:style>
  <w:style w:type="paragraph" w:styleId="22">
    <w:name w:val="toc 9"/>
    <w:basedOn w:val="1"/>
    <w:next w:val="1"/>
    <w:qFormat/>
    <w:uiPriority w:val="39"/>
    <w:pPr>
      <w:ind w:left="1680"/>
    </w:pPr>
    <w:rPr>
      <w:sz w:val="18"/>
    </w:rPr>
  </w:style>
  <w:style w:type="paragraph" w:styleId="23">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24">
    <w:name w:val="Normal (Web)"/>
    <w:basedOn w:val="1"/>
    <w:link w:val="43"/>
    <w:qFormat/>
    <w:uiPriority w:val="99"/>
    <w:pPr>
      <w:widowControl/>
      <w:spacing w:before="100" w:beforeAutospacing="1" w:after="100" w:afterAutospacing="1"/>
      <w:jc w:val="left"/>
    </w:pPr>
    <w:rPr>
      <w:rFonts w:ascii="宋体" w:hAnsi="宋体"/>
      <w:kern w:val="0"/>
      <w:sz w:val="24"/>
      <w:szCs w:val="20"/>
    </w:rPr>
  </w:style>
  <w:style w:type="paragraph" w:styleId="25">
    <w:name w:val="Title"/>
    <w:basedOn w:val="1"/>
    <w:next w:val="1"/>
    <w:qFormat/>
    <w:uiPriority w:val="0"/>
    <w:pPr>
      <w:spacing w:before="240" w:after="60"/>
      <w:jc w:val="center"/>
      <w:outlineLvl w:val="0"/>
    </w:pPr>
    <w:rPr>
      <w:rFonts w:ascii="等线 Light" w:hAnsi="等线 Light"/>
      <w:b/>
      <w:bCs/>
      <w:sz w:val="32"/>
      <w:szCs w:val="32"/>
    </w:rPr>
  </w:style>
  <w:style w:type="paragraph" w:styleId="26">
    <w:name w:val="annotation subject"/>
    <w:basedOn w:val="7"/>
    <w:next w:val="7"/>
    <w:link w:val="56"/>
    <w:semiHidden/>
    <w:qFormat/>
    <w:uiPriority w:val="0"/>
    <w:rPr>
      <w:b/>
      <w:kern w:val="2"/>
    </w:rPr>
  </w:style>
  <w:style w:type="paragraph" w:styleId="27">
    <w:name w:val="Body Text First Indent"/>
    <w:basedOn w:val="8"/>
    <w:next w:val="1"/>
    <w:qFormat/>
    <w:uiPriority w:val="0"/>
    <w:pPr>
      <w:ind w:firstLine="420" w:firstLineChars="100"/>
    </w:pPr>
  </w:style>
  <w:style w:type="paragraph" w:styleId="28">
    <w:name w:val="Body Text First Indent 2"/>
    <w:basedOn w:val="9"/>
    <w:link w:val="102"/>
    <w:qFormat/>
    <w:uiPriority w:val="0"/>
    <w:pPr>
      <w:ind w:firstLine="420" w:firstLineChars="200"/>
    </w:pPr>
    <w:rPr>
      <w:rFonts w:ascii="Calibri" w:hAnsi="Calibri" w:cs="Calibri"/>
      <w:kern w:val="2"/>
      <w:sz w:val="21"/>
      <w:szCs w:val="24"/>
    </w:rPr>
  </w:style>
  <w:style w:type="table" w:styleId="30">
    <w:name w:val="Table Grid"/>
    <w:basedOn w:val="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2">
    <w:name w:val="page number"/>
    <w:basedOn w:val="31"/>
    <w:qFormat/>
    <w:uiPriority w:val="0"/>
  </w:style>
  <w:style w:type="character" w:styleId="33">
    <w:name w:val="Hyperlink"/>
    <w:basedOn w:val="31"/>
    <w:unhideWhenUsed/>
    <w:qFormat/>
    <w:uiPriority w:val="99"/>
    <w:rPr>
      <w:color w:val="0563C1" w:themeColor="hyperlink"/>
      <w:u w:val="single"/>
      <w14:textFill>
        <w14:solidFill>
          <w14:schemeClr w14:val="hlink"/>
        </w14:solidFill>
      </w14:textFill>
    </w:rPr>
  </w:style>
  <w:style w:type="character" w:styleId="34">
    <w:name w:val="annotation reference"/>
    <w:semiHidden/>
    <w:qFormat/>
    <w:uiPriority w:val="0"/>
    <w:rPr>
      <w:sz w:val="21"/>
    </w:rPr>
  </w:style>
  <w:style w:type="paragraph" w:customStyle="1" w:styleId="35">
    <w:name w:val="Normal (Web)1"/>
    <w:basedOn w:val="1"/>
    <w:next w:val="36"/>
    <w:qFormat/>
    <w:uiPriority w:val="0"/>
    <w:pPr>
      <w:widowControl/>
      <w:jc w:val="left"/>
    </w:pPr>
    <w:rPr>
      <w:rFonts w:ascii="宋体"/>
      <w:kern w:val="0"/>
      <w:sz w:val="24"/>
      <w:szCs w:val="21"/>
    </w:rPr>
  </w:style>
  <w:style w:type="paragraph" w:customStyle="1" w:styleId="36">
    <w:name w:val="Date1"/>
    <w:basedOn w:val="1"/>
    <w:next w:val="1"/>
    <w:qFormat/>
    <w:uiPriority w:val="99"/>
    <w:pPr>
      <w:ind w:left="2500" w:leftChars="2500"/>
    </w:pPr>
  </w:style>
  <w:style w:type="paragraph" w:customStyle="1" w:styleId="37">
    <w:name w:val="样式 正文首行缩进 + 首行缩进:  2 字符1"/>
    <w:basedOn w:val="1"/>
    <w:next w:val="18"/>
    <w:qFormat/>
    <w:uiPriority w:val="0"/>
    <w:pPr>
      <w:spacing w:line="360" w:lineRule="auto"/>
      <w:ind w:firstLine="480" w:firstLineChars="200"/>
    </w:pPr>
    <w:rPr>
      <w:sz w:val="24"/>
    </w:rPr>
  </w:style>
  <w:style w:type="paragraph" w:customStyle="1" w:styleId="38">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39">
    <w:name w:val="baby-正文"/>
    <w:basedOn w:val="8"/>
    <w:next w:val="15"/>
    <w:qFormat/>
    <w:uiPriority w:val="0"/>
    <w:pPr>
      <w:spacing w:after="120"/>
    </w:pPr>
    <w:rPr>
      <w:rFonts w:ascii="仿宋_GB2312"/>
      <w:bCs/>
      <w:sz w:val="30"/>
    </w:rPr>
  </w:style>
  <w:style w:type="paragraph" w:customStyle="1" w:styleId="40">
    <w:name w:val="11111"/>
    <w:basedOn w:val="1"/>
    <w:next w:val="1"/>
    <w:qFormat/>
    <w:uiPriority w:val="0"/>
    <w:pPr>
      <w:spacing w:line="360" w:lineRule="auto"/>
      <w:ind w:firstLine="200" w:firstLineChars="200"/>
    </w:pPr>
    <w:rPr>
      <w:rFonts w:ascii="宋体" w:hAnsi="宋体" w:cs="宋体"/>
      <w:sz w:val="24"/>
    </w:rPr>
  </w:style>
  <w:style w:type="character" w:customStyle="1" w:styleId="41">
    <w:name w:val="表格 Char"/>
    <w:link w:val="42"/>
    <w:qFormat/>
    <w:uiPriority w:val="0"/>
    <w:rPr>
      <w:rFonts w:ascii="宋体"/>
      <w:sz w:val="21"/>
    </w:rPr>
  </w:style>
  <w:style w:type="paragraph" w:customStyle="1" w:styleId="42">
    <w:name w:val="表格"/>
    <w:basedOn w:val="1"/>
    <w:next w:val="1"/>
    <w:link w:val="41"/>
    <w:qFormat/>
    <w:uiPriority w:val="0"/>
    <w:pPr>
      <w:adjustRightInd w:val="0"/>
      <w:snapToGrid w:val="0"/>
      <w:spacing w:beforeLines="10" w:afterLines="10" w:line="259" w:lineRule="auto"/>
      <w:jc w:val="center"/>
    </w:pPr>
    <w:rPr>
      <w:rFonts w:ascii="宋体"/>
      <w:kern w:val="0"/>
      <w:szCs w:val="20"/>
    </w:rPr>
  </w:style>
  <w:style w:type="character" w:customStyle="1" w:styleId="43">
    <w:name w:val="普通(网站) 字符"/>
    <w:link w:val="24"/>
    <w:qFormat/>
    <w:uiPriority w:val="0"/>
    <w:rPr>
      <w:rFonts w:ascii="宋体" w:hAnsi="宋体" w:eastAsia="宋体"/>
      <w:sz w:val="24"/>
    </w:rPr>
  </w:style>
  <w:style w:type="character" w:customStyle="1" w:styleId="44">
    <w:name w:val="日期 字符"/>
    <w:semiHidden/>
    <w:qFormat/>
    <w:uiPriority w:val="0"/>
    <w:rPr>
      <w:rFonts w:ascii="Times New Roman" w:hAnsi="Times New Roman" w:eastAsia="宋体"/>
      <w:sz w:val="24"/>
    </w:rPr>
  </w:style>
  <w:style w:type="character" w:customStyle="1" w:styleId="45">
    <w:name w:val="fontstyle01"/>
    <w:qFormat/>
    <w:uiPriority w:val="0"/>
    <w:rPr>
      <w:rFonts w:hint="eastAsia" w:ascii="宋体" w:hAnsi="宋体" w:eastAsia="宋体"/>
      <w:color w:val="000000"/>
      <w:sz w:val="24"/>
      <w:szCs w:val="24"/>
    </w:rPr>
  </w:style>
  <w:style w:type="character" w:customStyle="1" w:styleId="46">
    <w:name w:val="日期 字符1"/>
    <w:link w:val="13"/>
    <w:qFormat/>
    <w:uiPriority w:val="0"/>
    <w:rPr>
      <w:rFonts w:ascii="Times New Roman" w:hAnsi="Times New Roman" w:eastAsia="宋体"/>
      <w:sz w:val="24"/>
    </w:rPr>
  </w:style>
  <w:style w:type="character" w:customStyle="1" w:styleId="47">
    <w:name w:val="正文文本缩进 字符"/>
    <w:link w:val="9"/>
    <w:semiHidden/>
    <w:qFormat/>
    <w:uiPriority w:val="0"/>
    <w:rPr>
      <w:rFonts w:ascii="Times New Roman" w:hAnsi="Times New Roman" w:eastAsia="宋体"/>
      <w:sz w:val="24"/>
    </w:rPr>
  </w:style>
  <w:style w:type="character" w:customStyle="1" w:styleId="48">
    <w:name w:val="页脚 字符1"/>
    <w:link w:val="16"/>
    <w:qFormat/>
    <w:uiPriority w:val="99"/>
    <w:rPr>
      <w:sz w:val="18"/>
    </w:rPr>
  </w:style>
  <w:style w:type="character" w:customStyle="1" w:styleId="49">
    <w:name w:val="fontstyle21"/>
    <w:qFormat/>
    <w:uiPriority w:val="0"/>
    <w:rPr>
      <w:rFonts w:hint="default" w:ascii="Times New Roman" w:hAnsi="Times New Roman" w:cs="Times New Roman"/>
      <w:color w:val="000000"/>
      <w:sz w:val="24"/>
      <w:szCs w:val="24"/>
    </w:rPr>
  </w:style>
  <w:style w:type="character" w:customStyle="1" w:styleId="50">
    <w:name w:val="批注框文本 字符"/>
    <w:link w:val="15"/>
    <w:semiHidden/>
    <w:qFormat/>
    <w:uiPriority w:val="0"/>
    <w:rPr>
      <w:rFonts w:ascii="Times New Roman" w:hAnsi="Times New Roman" w:eastAsia="宋体"/>
      <w:sz w:val="18"/>
    </w:rPr>
  </w:style>
  <w:style w:type="character" w:customStyle="1" w:styleId="51">
    <w:name w:val="正文文本 字符1"/>
    <w:semiHidden/>
    <w:qFormat/>
    <w:uiPriority w:val="0"/>
    <w:rPr>
      <w:rFonts w:ascii="Times New Roman" w:hAnsi="Times New Roman" w:eastAsia="宋体"/>
      <w:sz w:val="24"/>
    </w:rPr>
  </w:style>
  <w:style w:type="character" w:customStyle="1" w:styleId="52">
    <w:name w:val="页脚 字符"/>
    <w:basedOn w:val="31"/>
    <w:qFormat/>
    <w:uiPriority w:val="99"/>
  </w:style>
  <w:style w:type="character" w:customStyle="1" w:styleId="53">
    <w:name w:val="页眉 字符"/>
    <w:link w:val="17"/>
    <w:qFormat/>
    <w:uiPriority w:val="0"/>
    <w:rPr>
      <w:sz w:val="18"/>
    </w:rPr>
  </w:style>
  <w:style w:type="character" w:customStyle="1" w:styleId="54">
    <w:name w:val="批注文字 字符"/>
    <w:link w:val="7"/>
    <w:qFormat/>
    <w:uiPriority w:val="0"/>
    <w:rPr>
      <w:rFonts w:ascii="Times New Roman" w:hAnsi="Times New Roman" w:eastAsia="宋体"/>
      <w:sz w:val="24"/>
    </w:rPr>
  </w:style>
  <w:style w:type="character" w:customStyle="1" w:styleId="55">
    <w:name w:val="批注文字 字符1"/>
    <w:semiHidden/>
    <w:qFormat/>
    <w:uiPriority w:val="0"/>
    <w:rPr>
      <w:rFonts w:ascii="Times New Roman" w:hAnsi="Times New Roman" w:eastAsia="宋体"/>
      <w:sz w:val="24"/>
    </w:rPr>
  </w:style>
  <w:style w:type="character" w:customStyle="1" w:styleId="56">
    <w:name w:val="批注主题 字符"/>
    <w:link w:val="26"/>
    <w:semiHidden/>
    <w:qFormat/>
    <w:uiPriority w:val="0"/>
    <w:rPr>
      <w:rFonts w:ascii="Times New Roman" w:hAnsi="Times New Roman" w:eastAsia="宋体"/>
      <w:b/>
      <w:kern w:val="2"/>
      <w:sz w:val="24"/>
    </w:rPr>
  </w:style>
  <w:style w:type="character" w:customStyle="1" w:styleId="57">
    <w:name w:val="正文文本 字符"/>
    <w:link w:val="8"/>
    <w:qFormat/>
    <w:uiPriority w:val="0"/>
    <w:rPr>
      <w:sz w:val="18"/>
    </w:rPr>
  </w:style>
  <w:style w:type="character" w:customStyle="1" w:styleId="58">
    <w:name w:val="font41"/>
    <w:basedOn w:val="31"/>
    <w:qFormat/>
    <w:uiPriority w:val="0"/>
    <w:rPr>
      <w:rFonts w:hint="eastAsia" w:ascii="宋体" w:hAnsi="宋体" w:eastAsia="宋体" w:cs="宋体"/>
      <w:color w:val="000000"/>
      <w:sz w:val="21"/>
      <w:szCs w:val="21"/>
      <w:u w:val="none"/>
    </w:rPr>
  </w:style>
  <w:style w:type="paragraph" w:customStyle="1" w:styleId="59">
    <w:name w:val="样式35"/>
    <w:basedOn w:val="1"/>
    <w:next w:val="60"/>
    <w:qFormat/>
    <w:uiPriority w:val="0"/>
    <w:pPr>
      <w:spacing w:line="312" w:lineRule="auto"/>
      <w:ind w:firstLine="567"/>
    </w:pPr>
    <w:rPr>
      <w:rFonts w:ascii="宋体"/>
      <w:sz w:val="28"/>
    </w:rPr>
  </w:style>
  <w:style w:type="paragraph" w:customStyle="1" w:styleId="60">
    <w:name w:val="font6"/>
    <w:basedOn w:val="1"/>
    <w:next w:val="21"/>
    <w:qFormat/>
    <w:uiPriority w:val="0"/>
    <w:pPr>
      <w:widowControl/>
      <w:spacing w:before="280" w:after="280"/>
    </w:pPr>
  </w:style>
  <w:style w:type="paragraph" w:customStyle="1" w:styleId="6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2">
    <w:name w:val="内容"/>
    <w:basedOn w:val="1"/>
    <w:qFormat/>
    <w:uiPriority w:val="0"/>
    <w:pPr>
      <w:spacing w:before="156" w:beforeLines="50" w:after="156" w:afterLines="50"/>
      <w:ind w:firstLine="200" w:firstLineChars="200"/>
    </w:pPr>
    <w:rPr>
      <w:color w:val="000000"/>
      <w:sz w:val="24"/>
    </w:rPr>
  </w:style>
  <w:style w:type="paragraph" w:customStyle="1" w:styleId="63">
    <w:name w:val="表中字"/>
    <w:qFormat/>
    <w:uiPriority w:val="0"/>
    <w:pPr>
      <w:jc w:val="center"/>
    </w:pPr>
    <w:rPr>
      <w:rFonts w:ascii="Times New Roman" w:hAnsi="Times New Roman" w:eastAsia="宋体" w:cs="Times New Roman"/>
      <w:kern w:val="2"/>
      <w:sz w:val="21"/>
      <w:szCs w:val="22"/>
      <w:lang w:val="zh-CN" w:eastAsia="zh-CN" w:bidi="ar-SA"/>
    </w:rPr>
  </w:style>
  <w:style w:type="paragraph" w:customStyle="1" w:styleId="64">
    <w:name w:val="我的正文"/>
    <w:basedOn w:val="1"/>
    <w:qFormat/>
    <w:uiPriority w:val="0"/>
    <w:pPr>
      <w:widowControl/>
      <w:adjustRightInd w:val="0"/>
      <w:snapToGrid w:val="0"/>
      <w:spacing w:line="360" w:lineRule="auto"/>
      <w:ind w:firstLine="200" w:firstLineChars="200"/>
    </w:pPr>
    <w:rPr>
      <w:color w:val="000000"/>
      <w:kern w:val="0"/>
      <w:sz w:val="24"/>
    </w:rPr>
  </w:style>
  <w:style w:type="paragraph" w:customStyle="1" w:styleId="65">
    <w:name w:val="正文00"/>
    <w:basedOn w:val="1"/>
    <w:qFormat/>
    <w:uiPriority w:val="0"/>
    <w:pPr>
      <w:spacing w:line="500" w:lineRule="exact"/>
      <w:ind w:firstLine="200" w:firstLineChars="200"/>
      <w:jc w:val="left"/>
    </w:pPr>
    <w:rPr>
      <w:sz w:val="28"/>
    </w:rPr>
  </w:style>
  <w:style w:type="paragraph" w:customStyle="1" w:styleId="66">
    <w:name w:val="表"/>
    <w:qFormat/>
    <w:uiPriority w:val="0"/>
    <w:pPr>
      <w:spacing w:line="440" w:lineRule="exact"/>
      <w:ind w:firstLine="200" w:firstLineChars="200"/>
      <w:jc w:val="both"/>
    </w:pPr>
    <w:rPr>
      <w:rFonts w:ascii="Times New Roman" w:hAnsi="Times New Roman" w:eastAsia="宋体" w:cs="Times New Roman"/>
      <w:sz w:val="24"/>
      <w:lang w:val="en-US" w:eastAsia="zh-CN" w:bidi="ar-SA"/>
    </w:rPr>
  </w:style>
  <w:style w:type="paragraph" w:customStyle="1" w:styleId="67">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68">
    <w:name w:val="正文格式"/>
    <w:basedOn w:val="1"/>
    <w:next w:val="1"/>
    <w:qFormat/>
    <w:uiPriority w:val="0"/>
    <w:pPr>
      <w:spacing w:line="360" w:lineRule="auto"/>
      <w:ind w:firstLine="482"/>
    </w:pPr>
    <w:rPr>
      <w:sz w:val="24"/>
    </w:rPr>
  </w:style>
  <w:style w:type="paragraph" w:customStyle="1" w:styleId="69">
    <w:name w:val="Default"/>
    <w:basedOn w:val="70"/>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0">
    <w:name w:val="纯文本1"/>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71">
    <w:name w:val="样式4"/>
    <w:basedOn w:val="1"/>
    <w:qFormat/>
    <w:uiPriority w:val="0"/>
    <w:pPr>
      <w:adjustRightInd w:val="0"/>
      <w:snapToGrid w:val="0"/>
      <w:jc w:val="center"/>
    </w:pPr>
    <w:rPr>
      <w:sz w:val="24"/>
    </w:rPr>
  </w:style>
  <w:style w:type="paragraph" w:customStyle="1" w:styleId="72">
    <w:name w:val="文本"/>
    <w:basedOn w:val="1"/>
    <w:qFormat/>
    <w:uiPriority w:val="0"/>
    <w:pPr>
      <w:adjustRightInd w:val="0"/>
      <w:jc w:val="left"/>
      <w:textAlignment w:val="baseline"/>
    </w:pPr>
    <w:rPr>
      <w:rFonts w:ascii="宋体"/>
      <w:kern w:val="0"/>
      <w:sz w:val="28"/>
      <w:szCs w:val="20"/>
    </w:rPr>
  </w:style>
  <w:style w:type="paragraph" w:customStyle="1" w:styleId="73">
    <w:name w:val="中文报告书样式"/>
    <w:basedOn w:val="1"/>
    <w:qFormat/>
    <w:uiPriority w:val="0"/>
    <w:pPr>
      <w:adjustRightInd w:val="0"/>
      <w:snapToGrid w:val="0"/>
      <w:spacing w:line="480" w:lineRule="atLeast"/>
      <w:ind w:firstLine="200" w:firstLineChars="200"/>
    </w:pPr>
    <w:rPr>
      <w:kern w:val="0"/>
      <w:szCs w:val="20"/>
    </w:rPr>
  </w:style>
  <w:style w:type="paragraph" w:customStyle="1" w:styleId="74">
    <w:name w:val="【表中文字】"/>
    <w:basedOn w:val="1"/>
    <w:link w:val="103"/>
    <w:qFormat/>
    <w:uiPriority w:val="0"/>
    <w:pPr>
      <w:jc w:val="center"/>
    </w:pPr>
    <w:rPr>
      <w:sz w:val="20"/>
      <w:szCs w:val="20"/>
    </w:rPr>
  </w:style>
  <w:style w:type="paragraph" w:customStyle="1" w:styleId="75">
    <w:name w:val="【正文】"/>
    <w:basedOn w:val="1"/>
    <w:link w:val="100"/>
    <w:qFormat/>
    <w:uiPriority w:val="0"/>
    <w:pPr>
      <w:ind w:firstLine="480"/>
    </w:pPr>
    <w:rPr>
      <w:sz w:val="24"/>
    </w:rPr>
  </w:style>
  <w:style w:type="paragraph" w:customStyle="1" w:styleId="76">
    <w:name w:val="表格内容"/>
    <w:basedOn w:val="5"/>
    <w:next w:val="1"/>
    <w:qFormat/>
    <w:uiPriority w:val="0"/>
    <w:pPr>
      <w:adjustRightInd w:val="0"/>
      <w:snapToGrid w:val="0"/>
      <w:spacing w:line="360" w:lineRule="exact"/>
      <w:jc w:val="center"/>
    </w:pPr>
    <w:rPr>
      <w:rFonts w:ascii="Times New Roman" w:hAnsi="Times New Roman" w:eastAsia="宋体" w:cs="Times New Roman"/>
      <w:color w:val="000000"/>
      <w:sz w:val="21"/>
      <w:szCs w:val="24"/>
      <w:lang w:val="en-US" w:eastAsia="zh-CN" w:bidi="ar-SA"/>
    </w:rPr>
  </w:style>
  <w:style w:type="paragraph" w:customStyle="1" w:styleId="77">
    <w:name w:val="正文12"/>
    <w:qFormat/>
    <w:uiPriority w:val="0"/>
    <w:pPr>
      <w:widowControl w:val="0"/>
      <w:adjustRightInd w:val="0"/>
      <w:spacing w:line="360" w:lineRule="atLeast"/>
    </w:pPr>
    <w:rPr>
      <w:rFonts w:ascii="宋体" w:hAnsi="Times New Roman" w:eastAsia="宋体" w:cs="Times New Roman"/>
      <w:sz w:val="24"/>
      <w:lang w:val="en-US" w:eastAsia="zh-CN" w:bidi="ar-SA"/>
    </w:rPr>
  </w:style>
  <w:style w:type="paragraph" w:customStyle="1" w:styleId="78">
    <w:name w:val="段落1"/>
    <w:basedOn w:val="1"/>
    <w:qFormat/>
    <w:uiPriority w:val="0"/>
    <w:pPr>
      <w:spacing w:before="120" w:after="120" w:line="440" w:lineRule="exact"/>
      <w:ind w:firstLine="200" w:firstLineChars="200"/>
    </w:pPr>
    <w:rPr>
      <w:spacing w:val="6"/>
      <w:sz w:val="24"/>
    </w:rPr>
  </w:style>
  <w:style w:type="paragraph" w:customStyle="1" w:styleId="79">
    <w:name w:val="表头"/>
    <w:basedOn w:val="25"/>
    <w:qFormat/>
    <w:uiPriority w:val="0"/>
    <w:rPr>
      <w:rFonts w:eastAsia="黑体"/>
      <w:szCs w:val="28"/>
    </w:rPr>
  </w:style>
  <w:style w:type="paragraph" w:customStyle="1" w:styleId="80">
    <w:name w:val="表1"/>
    <w:basedOn w:val="1"/>
    <w:next w:val="1"/>
    <w:qFormat/>
    <w:uiPriority w:val="0"/>
    <w:pPr>
      <w:adjustRightInd w:val="0"/>
      <w:spacing w:before="120" w:after="120" w:line="320" w:lineRule="atLeast"/>
      <w:jc w:val="center"/>
      <w:textAlignment w:val="baseline"/>
    </w:pPr>
    <w:rPr>
      <w:rFonts w:eastAsia="黑体"/>
      <w:spacing w:val="10"/>
      <w:kern w:val="0"/>
      <w:szCs w:val="20"/>
    </w:rPr>
  </w:style>
  <w:style w:type="paragraph" w:customStyle="1" w:styleId="81">
    <w:name w:val="四级标题"/>
    <w:basedOn w:val="4"/>
    <w:next w:val="1"/>
    <w:qFormat/>
    <w:uiPriority w:val="0"/>
    <w:pPr>
      <w:spacing w:before="0" w:after="0" w:line="480" w:lineRule="exact"/>
    </w:pPr>
    <w:rPr>
      <w:rFonts w:ascii="Times New Roman" w:hAnsi="Times New Roman"/>
      <w:color w:val="0070C0"/>
      <w:sz w:val="24"/>
    </w:rPr>
  </w:style>
  <w:style w:type="paragraph" w:customStyle="1" w:styleId="82">
    <w:name w:val="正文缩进1"/>
    <w:basedOn w:val="1"/>
    <w:next w:val="83"/>
    <w:qFormat/>
    <w:uiPriority w:val="0"/>
    <w:pPr>
      <w:spacing w:line="520" w:lineRule="exact"/>
      <w:ind w:firstLine="624"/>
    </w:pPr>
    <w:rPr>
      <w:sz w:val="28"/>
    </w:rPr>
  </w:style>
  <w:style w:type="paragraph" w:customStyle="1" w:styleId="83">
    <w:name w:val="td1"/>
    <w:basedOn w:val="1"/>
    <w:next w:val="1"/>
    <w:qFormat/>
    <w:uiPriority w:val="0"/>
    <w:pPr>
      <w:widowControl/>
      <w:spacing w:before="280" w:after="280" w:line="300" w:lineRule="atLeast"/>
      <w:ind w:firstLine="200"/>
    </w:pPr>
    <w:rPr>
      <w:color w:val="000000"/>
      <w:sz w:val="18"/>
    </w:rPr>
  </w:style>
  <w:style w:type="paragraph" w:customStyle="1" w:styleId="84">
    <w:name w:val="表格正文"/>
    <w:basedOn w:val="1"/>
    <w:qFormat/>
    <w:uiPriority w:val="0"/>
    <w:pPr>
      <w:spacing w:line="320" w:lineRule="exact"/>
      <w:jc w:val="center"/>
    </w:pPr>
    <w:rPr>
      <w:rFonts w:cs="宋体"/>
    </w:rPr>
  </w:style>
  <w:style w:type="paragraph" w:customStyle="1" w:styleId="8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6">
    <w:name w:val="表头1"/>
    <w:basedOn w:val="79"/>
    <w:qFormat/>
    <w:uiPriority w:val="0"/>
  </w:style>
  <w:style w:type="paragraph" w:customStyle="1" w:styleId="87">
    <w:name w:val="表中文字（工大）"/>
    <w:basedOn w:val="1"/>
    <w:qFormat/>
    <w:uiPriority w:val="0"/>
    <w:pPr>
      <w:spacing w:line="440" w:lineRule="exact"/>
      <w:jc w:val="center"/>
    </w:pPr>
    <w:rPr>
      <w:szCs w:val="20"/>
    </w:rPr>
  </w:style>
  <w:style w:type="paragraph" w:customStyle="1" w:styleId="88">
    <w:name w:val="正文样式1"/>
    <w:basedOn w:val="1"/>
    <w:qFormat/>
    <w:uiPriority w:val="0"/>
    <w:pPr>
      <w:adjustRightInd w:val="0"/>
      <w:spacing w:line="288" w:lineRule="auto"/>
      <w:ind w:firstLine="360" w:firstLineChars="150"/>
      <w:textAlignment w:val="baseline"/>
    </w:pPr>
    <w:rPr>
      <w:kern w:val="0"/>
      <w:sz w:val="24"/>
    </w:rPr>
  </w:style>
  <w:style w:type="paragraph" w:customStyle="1" w:styleId="89">
    <w:name w:val="表格文字"/>
    <w:basedOn w:val="79"/>
    <w:qFormat/>
    <w:uiPriority w:val="0"/>
    <w:pPr>
      <w:adjustRightInd w:val="0"/>
      <w:snapToGrid w:val="0"/>
      <w:ind w:left="-76" w:leftChars="-33" w:hanging="17" w:hangingChars="8"/>
      <w:jc w:val="center"/>
    </w:pPr>
    <w:rPr>
      <w:rFonts w:hAnsi="宋体"/>
      <w:kern w:val="0"/>
      <w:szCs w:val="20"/>
    </w:rPr>
  </w:style>
  <w:style w:type="paragraph" w:customStyle="1" w:styleId="90">
    <w:name w:val="报告书正文"/>
    <w:basedOn w:val="1"/>
    <w:qFormat/>
    <w:uiPriority w:val="0"/>
    <w:pPr>
      <w:adjustRightInd w:val="0"/>
      <w:snapToGrid w:val="0"/>
      <w:spacing w:line="360" w:lineRule="auto"/>
      <w:ind w:firstLine="425"/>
      <w:textAlignment w:val="baseline"/>
    </w:pPr>
    <w:rPr>
      <w:rFonts w:ascii="Arial" w:hAnsi="Arial"/>
      <w:sz w:val="24"/>
    </w:rPr>
  </w:style>
  <w:style w:type="paragraph" w:customStyle="1" w:styleId="91">
    <w:name w:val="内容列表"/>
    <w:basedOn w:val="1"/>
    <w:qFormat/>
    <w:uiPriority w:val="0"/>
    <w:pPr>
      <w:ind w:firstLine="560" w:firstLineChars="200"/>
    </w:pPr>
    <w:rPr>
      <w:rFonts w:ascii="仿宋_GB2312" w:hAnsi="宋体" w:eastAsia="仿宋_GB2312"/>
      <w:color w:val="000000"/>
      <w:sz w:val="28"/>
    </w:rPr>
  </w:style>
  <w:style w:type="paragraph" w:customStyle="1" w:styleId="92">
    <w:name w:val="正文（首行缩进两字） Char"/>
    <w:basedOn w:val="1"/>
    <w:qFormat/>
    <w:uiPriority w:val="0"/>
    <w:pPr>
      <w:widowControl/>
      <w:spacing w:line="360" w:lineRule="auto"/>
      <w:ind w:firstLine="420"/>
    </w:pPr>
    <w:rPr>
      <w:kern w:val="0"/>
      <w:sz w:val="24"/>
      <w:szCs w:val="20"/>
    </w:rPr>
  </w:style>
  <w:style w:type="paragraph" w:customStyle="1" w:styleId="93">
    <w:name w:val="【表头】"/>
    <w:basedOn w:val="94"/>
    <w:next w:val="1"/>
    <w:link w:val="108"/>
    <w:qFormat/>
    <w:uiPriority w:val="0"/>
    <w:pPr>
      <w:spacing w:line="460" w:lineRule="exact"/>
      <w:jc w:val="center"/>
    </w:pPr>
    <w:rPr>
      <w:rFonts w:eastAsia="黑体"/>
      <w:sz w:val="24"/>
    </w:rPr>
  </w:style>
  <w:style w:type="paragraph" w:customStyle="1" w:styleId="94">
    <w:name w:val="0"/>
    <w:basedOn w:val="1"/>
    <w:qFormat/>
    <w:uiPriority w:val="99"/>
    <w:pPr>
      <w:widowControl/>
      <w:snapToGrid w:val="0"/>
      <w:jc w:val="left"/>
    </w:pPr>
    <w:rPr>
      <w:rFonts w:ascii="宋体"/>
      <w:kern w:val="0"/>
      <w:sz w:val="20"/>
      <w:szCs w:val="20"/>
    </w:rPr>
  </w:style>
  <w:style w:type="paragraph" w:customStyle="1" w:styleId="95">
    <w:name w:val="表头和图片"/>
    <w:basedOn w:val="1"/>
    <w:next w:val="1"/>
    <w:qFormat/>
    <w:uiPriority w:val="0"/>
    <w:pPr>
      <w:spacing w:line="520" w:lineRule="exact"/>
      <w:ind w:firstLine="880" w:firstLineChars="200"/>
      <w:jc w:val="center"/>
    </w:pPr>
    <w:rPr>
      <w:rFonts w:ascii="仿宋_GB2312" w:eastAsia="仿宋_GB2312"/>
      <w:b/>
      <w:sz w:val="24"/>
      <w:szCs w:val="28"/>
    </w:rPr>
  </w:style>
  <w:style w:type="paragraph" w:customStyle="1" w:styleId="96">
    <w:name w:val="【表中文字】-"/>
    <w:basedOn w:val="1"/>
    <w:qFormat/>
    <w:uiPriority w:val="0"/>
    <w:pPr>
      <w:widowControl/>
      <w:jc w:val="center"/>
    </w:pPr>
    <w:rPr>
      <w:kern w:val="0"/>
      <w:sz w:val="20"/>
      <w:szCs w:val="20"/>
    </w:rPr>
  </w:style>
  <w:style w:type="paragraph" w:customStyle="1" w:styleId="97">
    <w:name w:val="WW-纯文本"/>
    <w:basedOn w:val="1"/>
    <w:qFormat/>
    <w:uiPriority w:val="0"/>
    <w:pPr>
      <w:suppressAutoHyphens/>
      <w:spacing w:line="312" w:lineRule="atLeast"/>
      <w:textAlignment w:val="baseline"/>
    </w:pPr>
    <w:rPr>
      <w:rFonts w:ascii="宋体" w:hAnsi="宋体" w:eastAsia="楷体_GB2312" w:cs="Courier New"/>
      <w:kern w:val="0"/>
      <w:szCs w:val="21"/>
    </w:rPr>
  </w:style>
  <w:style w:type="paragraph" w:customStyle="1" w:styleId="98">
    <w:name w:val="样式"/>
    <w:qFormat/>
    <w:uiPriority w:val="0"/>
    <w:pPr>
      <w:widowControl w:val="0"/>
      <w:autoSpaceDE w:val="0"/>
      <w:autoSpaceDN w:val="0"/>
      <w:adjustRightInd w:val="0"/>
    </w:pPr>
    <w:rPr>
      <w:rFonts w:ascii="宋体" w:hAnsi="宋体" w:eastAsia="宋体" w:cs="Times New Roman"/>
      <w:sz w:val="24"/>
      <w:szCs w:val="24"/>
      <w:lang w:val="en-US" w:eastAsia="zh-CN" w:bidi="ar-SA"/>
    </w:rPr>
  </w:style>
  <w:style w:type="paragraph" w:styleId="99">
    <w:name w:val="List Paragraph"/>
    <w:basedOn w:val="1"/>
    <w:qFormat/>
    <w:uiPriority w:val="0"/>
    <w:pPr>
      <w:ind w:firstLine="420" w:firstLineChars="200"/>
    </w:pPr>
  </w:style>
  <w:style w:type="character" w:customStyle="1" w:styleId="100">
    <w:name w:val="【正文】 Char"/>
    <w:link w:val="75"/>
    <w:qFormat/>
    <w:uiPriority w:val="0"/>
    <w:rPr>
      <w:kern w:val="2"/>
      <w:sz w:val="24"/>
      <w:szCs w:val="24"/>
    </w:rPr>
  </w:style>
  <w:style w:type="paragraph" w:customStyle="1" w:styleId="101">
    <w:name w:val="TOC Heading"/>
    <w:basedOn w:val="2"/>
    <w:next w:val="1"/>
    <w:unhideWhenUsed/>
    <w:qFormat/>
    <w:uiPriority w:val="39"/>
    <w:pPr>
      <w:keepLines/>
      <w:widowControl/>
      <w:overflowPunct/>
      <w:snapToGrid/>
      <w:spacing w:before="240" w:after="0"/>
      <w:ind w:left="0" w:firstLine="0"/>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02">
    <w:name w:val="正文文本首行缩进 2 字符"/>
    <w:basedOn w:val="47"/>
    <w:link w:val="28"/>
    <w:qFormat/>
    <w:uiPriority w:val="0"/>
    <w:rPr>
      <w:rFonts w:ascii="Calibri" w:hAnsi="Calibri" w:eastAsia="宋体" w:cs="Calibri"/>
      <w:kern w:val="2"/>
      <w:sz w:val="21"/>
      <w:szCs w:val="24"/>
    </w:rPr>
  </w:style>
  <w:style w:type="character" w:customStyle="1" w:styleId="103">
    <w:name w:val="【表中文字】 Char"/>
    <w:link w:val="74"/>
    <w:qFormat/>
    <w:uiPriority w:val="0"/>
    <w:rPr>
      <w:kern w:val="2"/>
    </w:rPr>
  </w:style>
  <w:style w:type="paragraph" w:customStyle="1" w:styleId="104">
    <w:name w:val="表内字"/>
    <w:qFormat/>
    <w:uiPriority w:val="0"/>
    <w:pPr>
      <w:spacing w:line="312" w:lineRule="auto"/>
      <w:jc w:val="center"/>
    </w:pPr>
    <w:rPr>
      <w:rFonts w:ascii="Times New Roman" w:hAnsi="Times New Roman" w:eastAsia="宋体" w:cs="Times New Roman"/>
      <w:color w:val="000000"/>
      <w:sz w:val="21"/>
      <w:lang w:val="en-US" w:eastAsia="zh-CN" w:bidi="ar-SA"/>
    </w:rPr>
  </w:style>
  <w:style w:type="character" w:customStyle="1" w:styleId="105">
    <w:name w:val="纯文本 字符"/>
    <w:link w:val="11"/>
    <w:qFormat/>
    <w:uiPriority w:val="0"/>
    <w:rPr>
      <w:rFonts w:ascii="宋体" w:hAnsi="宋体"/>
      <w:color w:val="000000"/>
      <w:sz w:val="24"/>
      <w:szCs w:val="24"/>
    </w:rPr>
  </w:style>
  <w:style w:type="paragraph" w:customStyle="1" w:styleId="106">
    <w:name w:val="正文1"/>
    <w:basedOn w:val="107"/>
    <w:next w:val="1"/>
    <w:qFormat/>
    <w:uiPriority w:val="0"/>
    <w:pPr>
      <w:tabs>
        <w:tab w:val="left" w:pos="567"/>
      </w:tabs>
      <w:adjustRightInd w:val="0"/>
      <w:spacing w:line="410" w:lineRule="atLeast"/>
      <w:textAlignment w:val="baseline"/>
    </w:pPr>
    <w:rPr>
      <w:rFonts w:ascii="宋体" w:hAnsi="Calibri"/>
      <w:kern w:val="0"/>
      <w:sz w:val="24"/>
      <w:szCs w:val="22"/>
    </w:rPr>
  </w:style>
  <w:style w:type="paragraph" w:customStyle="1" w:styleId="107">
    <w:name w:val="正文11"/>
    <w:qFormat/>
    <w:uiPriority w:val="0"/>
    <w:pPr>
      <w:widowControl w:val="0"/>
      <w:tabs>
        <w:tab w:val="left" w:pos="567"/>
      </w:tabs>
      <w:adjustRightInd w:val="0"/>
      <w:spacing w:line="360" w:lineRule="atLeast"/>
      <w:ind w:left="567" w:hanging="567"/>
      <w:textAlignment w:val="baseline"/>
    </w:pPr>
    <w:rPr>
      <w:rFonts w:ascii="宋体" w:hAnsi="Times New Roman" w:eastAsia="宋体" w:cs="Times New Roman"/>
      <w:sz w:val="24"/>
      <w:lang w:val="en-US" w:eastAsia="zh-CN" w:bidi="ar-SA"/>
    </w:rPr>
  </w:style>
  <w:style w:type="character" w:customStyle="1" w:styleId="108">
    <w:name w:val="【表头】 Char"/>
    <w:link w:val="93"/>
    <w:qFormat/>
    <w:uiPriority w:val="0"/>
    <w:rPr>
      <w:rFonts w:eastAsia="黑体"/>
      <w:kern w:val="2"/>
      <w:sz w:val="24"/>
      <w:szCs w:val="24"/>
    </w:rPr>
  </w:style>
  <w:style w:type="paragraph" w:customStyle="1" w:styleId="109">
    <w:name w:val="样式 Times New Roman 五号 居中1"/>
    <w:basedOn w:val="1"/>
    <w:qFormat/>
    <w:uiPriority w:val="0"/>
    <w:pPr>
      <w:jc w:val="center"/>
    </w:pPr>
    <w:rPr>
      <w:rFonts w:hAnsi="Calibri" w:cs="宋体"/>
    </w:rPr>
  </w:style>
  <w:style w:type="paragraph" w:customStyle="1" w:styleId="110">
    <w:name w:val="Table Paragraph"/>
    <w:basedOn w:val="1"/>
    <w:qFormat/>
    <w:uiPriority w:val="0"/>
    <w:pPr>
      <w:autoSpaceDE w:val="0"/>
      <w:autoSpaceDN w:val="0"/>
      <w:jc w:val="center"/>
    </w:pPr>
    <w:rPr>
      <w:rFonts w:hint="eastAsia" w:ascii="仿宋" w:hAnsi="仿宋" w:eastAsia="仿宋"/>
      <w:kern w:val="0"/>
      <w:sz w:val="22"/>
      <w:szCs w:val="22"/>
    </w:rPr>
  </w:style>
  <w:style w:type="character" w:customStyle="1" w:styleId="111">
    <w:name w:val="NormalCharacter"/>
    <w:link w:val="1"/>
    <w:semiHidden/>
    <w:qFormat/>
    <w:uiPriority w:val="0"/>
    <w:rPr>
      <w:rFonts w:ascii="Times New Roman" w:hAnsi="Times New Roman" w:eastAsia="宋体" w:cs="Times New Roman"/>
      <w:kern w:val="2"/>
      <w:sz w:val="21"/>
      <w:szCs w:val="24"/>
      <w:lang w:val="en-US" w:eastAsia="zh-CN" w:bidi="ar-SA"/>
    </w:rPr>
  </w:style>
  <w:style w:type="paragraph" w:customStyle="1" w:styleId="112">
    <w:name w:val="正文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13">
    <w:name w:val="a正文"/>
    <w:basedOn w:val="68"/>
    <w:qFormat/>
    <w:uiPriority w:val="0"/>
    <w:pPr>
      <w:spacing w:line="520" w:lineRule="exact"/>
      <w:ind w:firstLine="200"/>
    </w:pPr>
    <w:rPr>
      <w:sz w:val="24"/>
    </w:rPr>
  </w:style>
  <w:style w:type="paragraph" w:customStyle="1" w:styleId="114">
    <w:name w:val="表中的文字"/>
    <w:basedOn w:val="25"/>
    <w:qFormat/>
    <w:uiPriority w:val="0"/>
    <w:pPr>
      <w:spacing w:before="0" w:after="0"/>
      <w:outlineLvl w:val="9"/>
    </w:pPr>
    <w:rPr>
      <w:rFonts w:ascii="Times New Roman" w:hAnsi="Times New Roman"/>
      <w:b w:val="0"/>
      <w:sz w:val="21"/>
      <w:szCs w:val="21"/>
    </w:rPr>
  </w:style>
  <w:style w:type="paragraph" w:customStyle="1" w:styleId="115">
    <w:name w:val="表格内文字"/>
    <w:basedOn w:val="1"/>
    <w:next w:val="1"/>
    <w:qFormat/>
    <w:uiPriority w:val="0"/>
    <w:pPr>
      <w:widowControl/>
      <w:tabs>
        <w:tab w:val="left" w:pos="3345"/>
      </w:tabs>
      <w:adjustRightInd w:val="0"/>
      <w:snapToGrid w:val="0"/>
      <w:jc w:val="center"/>
    </w:pPr>
    <w:rPr>
      <w:iCs/>
      <w:kern w:val="0"/>
      <w:szCs w:val="18"/>
    </w:rPr>
  </w:style>
  <w:style w:type="paragraph" w:customStyle="1" w:styleId="116">
    <w:name w:val="表中文字"/>
    <w:basedOn w:val="1"/>
    <w:qFormat/>
    <w:uiPriority w:val="0"/>
    <w:pPr>
      <w:widowControl w:val="0"/>
      <w:spacing w:line="240" w:lineRule="auto"/>
      <w:ind w:firstLine="0" w:firstLineChars="0"/>
      <w:jc w:val="center"/>
    </w:pPr>
    <w:rPr>
      <w:rFonts w:ascii="Times New Roman" w:hAnsi="Times New Roman" w:cs="Times New Roman"/>
      <w:kern w:val="2"/>
      <w:sz w:val="21"/>
    </w:rPr>
  </w:style>
  <w:style w:type="paragraph" w:customStyle="1" w:styleId="117">
    <w:name w:val="Char Char Char Char Char Char Char2"/>
    <w:basedOn w:val="1"/>
    <w:qFormat/>
    <w:uiPriority w:val="0"/>
    <w:pPr>
      <w:snapToGrid w:val="0"/>
      <w:spacing w:line="360" w:lineRule="auto"/>
      <w:ind w:firstLine="529" w:firstLineChars="200"/>
    </w:pPr>
    <w:rPr>
      <w:rFonts w:ascii="Times New Roman" w:hAnsi="Times New Roman" w:cs="Times New Roman"/>
      <w:szCs w:val="24"/>
    </w:rPr>
  </w:style>
  <w:style w:type="table" w:customStyle="1" w:styleId="118">
    <w:name w:val="[表格样式]"/>
    <w:basedOn w:val="29"/>
    <w:qFormat/>
    <w:uiPriority w:val="99"/>
    <w:pPr>
      <w:adjustRightInd w:val="0"/>
      <w:snapToGrid w:val="0"/>
      <w:jc w:val="center"/>
    </w:pPr>
    <w:rPr>
      <w:rFonts w:ascii="Times New Roman" w:hAnsi="Times New Roman" w:eastAsia="宋体"/>
      <w:snapToGrid w:val="0"/>
    </w:rPr>
    <w:tblPr>
      <w:tblBorders>
        <w:top w:val="single" w:color="auto" w:sz="12" w:space="0"/>
        <w:bottom w:val="single" w:color="auto" w:sz="12" w:space="0"/>
        <w:insideH w:val="single" w:color="auto" w:sz="4" w:space="0"/>
        <w:insideV w:val="single" w:color="auto" w:sz="4" w:space="0"/>
      </w:tblBorders>
      <w:tblLayout w:type="fixed"/>
    </w:tblPr>
    <w:tcPr>
      <w:vAlign w:val="center"/>
    </w:tcPr>
  </w:style>
  <w:style w:type="paragraph" w:customStyle="1" w:styleId="119">
    <w:name w:val="②JM正文"/>
    <w:basedOn w:val="120"/>
    <w:qFormat/>
    <w:uiPriority w:val="0"/>
    <w:pPr>
      <w:ind w:firstLine="720" w:firstLineChars="200"/>
    </w:pPr>
  </w:style>
  <w:style w:type="paragraph" w:customStyle="1" w:styleId="120">
    <w:name w:val="②JM正文 顶格"/>
    <w:basedOn w:val="121"/>
    <w:next w:val="119"/>
    <w:qFormat/>
    <w:uiPriority w:val="0"/>
    <w:pPr>
      <w:jc w:val="left"/>
    </w:pPr>
  </w:style>
  <w:style w:type="paragraph" w:customStyle="1" w:styleId="121">
    <w:name w:val="①JM表格 居中"/>
    <w:basedOn w:val="1"/>
    <w:next w:val="1"/>
    <w:qFormat/>
    <w:uiPriority w:val="0"/>
    <w:pPr>
      <w:spacing w:line="240" w:lineRule="auto"/>
      <w:ind w:firstLine="0" w:firstLineChars="0"/>
      <w:jc w:val="center"/>
    </w:pPr>
    <w:rPr>
      <w:rFonts w:ascii="Times New Roman" w:hAnsi="Times New Roman"/>
      <w:sz w:val="21"/>
    </w:rPr>
  </w:style>
  <w:style w:type="paragraph" w:customStyle="1" w:styleId="122">
    <w:name w:val="②JM表格小标题 仿宋"/>
    <w:basedOn w:val="121"/>
    <w:next w:val="119"/>
    <w:qFormat/>
    <w:uiPriority w:val="0"/>
    <w:rPr>
      <w:rFonts w:eastAsia="仿宋"/>
      <w:b/>
    </w:rPr>
  </w:style>
  <w:style w:type="paragraph" w:customStyle="1" w:styleId="123">
    <w:name w:val="②JM表格 居中 仿宋"/>
    <w:basedOn w:val="122"/>
    <w:next w:val="119"/>
    <w:qFormat/>
    <w:uiPriority w:val="0"/>
    <w:rPr>
      <w:b w:val="0"/>
    </w:rPr>
  </w:style>
  <w:style w:type="paragraph" w:customStyle="1" w:styleId="124">
    <w:name w:val="②JM表格 左齐 仿宋"/>
    <w:basedOn w:val="119"/>
    <w:qFormat/>
    <w:uiPriority w:val="0"/>
    <w:pPr>
      <w:ind w:firstLine="0" w:firstLineChars="0"/>
      <w:jc w:val="left"/>
    </w:pPr>
    <w:rPr>
      <w:rFonts w:eastAsia="仿宋"/>
    </w:rPr>
  </w:style>
  <w:style w:type="paragraph" w:customStyle="1" w:styleId="125">
    <w:name w:val="表格中文字"/>
    <w:basedOn w:val="126"/>
    <w:qFormat/>
    <w:uiPriority w:val="0"/>
    <w:pPr>
      <w:spacing w:line="360" w:lineRule="exact"/>
    </w:pPr>
    <w:rPr>
      <w:szCs w:val="21"/>
    </w:rPr>
  </w:style>
  <w:style w:type="paragraph" w:customStyle="1" w:styleId="126">
    <w:name w:val="填表正文"/>
    <w:basedOn w:val="1"/>
    <w:qFormat/>
    <w:uiPriority w:val="0"/>
    <w:pPr>
      <w:adjustRightInd w:val="0"/>
      <w:snapToGrid w:val="0"/>
      <w:jc w:val="center"/>
    </w:pPr>
    <w:rPr>
      <w:rFonts w:ascii="宋体" w:hAnsi="Calibri"/>
      <w:color w:val="000000"/>
      <w:kern w:val="0"/>
      <w:szCs w:val="44"/>
    </w:rPr>
  </w:style>
  <w:style w:type="paragraph" w:customStyle="1" w:styleId="127">
    <w:name w:val="⑩JMFY编制单位和编制人员 标题"/>
    <w:basedOn w:val="1"/>
    <w:qFormat/>
    <w:uiPriority w:val="0"/>
    <w:pPr>
      <w:spacing w:line="360" w:lineRule="auto"/>
      <w:jc w:val="center"/>
    </w:pPr>
    <w:rPr>
      <w:b/>
      <w:sz w:val="36"/>
    </w:rPr>
  </w:style>
  <w:style w:type="paragraph" w:customStyle="1" w:styleId="128">
    <w:name w:val="①JM正文 加粗"/>
    <w:basedOn w:val="1"/>
    <w:next w:val="1"/>
    <w:qFormat/>
    <w:uiPriority w:val="0"/>
    <w:rPr>
      <w:b/>
      <w:kern w:val="0"/>
      <w:sz w:val="24"/>
      <w:szCs w:val="20"/>
    </w:rPr>
  </w:style>
  <w:style w:type="paragraph" w:customStyle="1" w:styleId="129">
    <w:name w:val="①JM表格小标题"/>
    <w:basedOn w:val="1"/>
    <w:next w:val="1"/>
    <w:qFormat/>
    <w:uiPriority w:val="0"/>
    <w:pPr>
      <w:jc w:val="center"/>
    </w:pPr>
    <w:rPr>
      <w:b/>
      <w:kern w:val="0"/>
      <w:szCs w:val="18"/>
    </w:rPr>
  </w:style>
  <w:style w:type="paragraph" w:customStyle="1" w:styleId="130">
    <w:name w:val="BodyText"/>
    <w:basedOn w:val="1"/>
    <w:qFormat/>
    <w:uiPriority w:val="0"/>
    <w:pPr>
      <w:textAlignment w:val="baseline"/>
    </w:pPr>
    <w:rPr>
      <w:rFonts w:ascii="宋体" w:hAnsi="宋体"/>
      <w:szCs w:val="21"/>
    </w:rPr>
  </w:style>
  <w:style w:type="paragraph" w:customStyle="1" w:styleId="131">
    <w:name w:val="JM正文 表格  居中"/>
    <w:basedOn w:val="1"/>
    <w:next w:val="1"/>
    <w:qFormat/>
    <w:uiPriority w:val="0"/>
    <w:pPr>
      <w:spacing w:line="240" w:lineRule="auto"/>
      <w:ind w:firstLine="0" w:firstLineChars="0"/>
      <w:jc w:val="center"/>
    </w:pPr>
    <w:rPr>
      <w:rFonts w:ascii="Times New Roman" w:hAnsi="Times New Roman"/>
      <w:sz w:val="21"/>
    </w:rPr>
  </w:style>
  <w:style w:type="paragraph" w:customStyle="1" w:styleId="132">
    <w:name w:val="JM正文 表格 左齐"/>
    <w:basedOn w:val="131"/>
    <w:next w:val="1"/>
    <w:qFormat/>
    <w:uiPriority w:val="0"/>
    <w:pPr>
      <w:jc w:val="left"/>
    </w:pPr>
  </w:style>
  <w:style w:type="paragraph" w:customStyle="1" w:styleId="133">
    <w:name w:val="正文内容"/>
    <w:basedOn w:val="8"/>
    <w:qFormat/>
    <w:uiPriority w:val="1"/>
    <w:pPr>
      <w:autoSpaceDE w:val="0"/>
      <w:autoSpaceDN w:val="0"/>
      <w:spacing w:after="0"/>
    </w:pPr>
    <w:rPr>
      <w:rFonts w:eastAsia="Times New Roman"/>
      <w:szCs w:val="24"/>
      <w:lang w:val="zh-CN" w:eastAsia="en-US" w:bidi="zh-CN"/>
    </w:rPr>
  </w:style>
  <w:style w:type="character" w:customStyle="1" w:styleId="134">
    <w:name w:val="font11"/>
    <w:basedOn w:val="31"/>
    <w:qFormat/>
    <w:uiPriority w:val="0"/>
    <w:rPr>
      <w:rFonts w:hint="eastAsia" w:ascii="宋体" w:hAnsi="宋体" w:eastAsia="宋体" w:cs="宋体"/>
      <w:b/>
      <w:bCs/>
      <w:color w:val="000000"/>
      <w:sz w:val="21"/>
      <w:szCs w:val="21"/>
      <w:u w:val="none"/>
    </w:rPr>
  </w:style>
  <w:style w:type="character" w:customStyle="1" w:styleId="135">
    <w:name w:val="font21"/>
    <w:basedOn w:val="31"/>
    <w:qFormat/>
    <w:uiPriority w:val="0"/>
    <w:rPr>
      <w:rFonts w:hint="default" w:ascii="Times New Roman" w:hAnsi="Times New Roman" w:cs="Times New Roman"/>
      <w:b/>
      <w:bCs/>
      <w:color w:val="000000"/>
      <w:sz w:val="21"/>
      <w:szCs w:val="21"/>
      <w:u w:val="none"/>
    </w:rPr>
  </w:style>
  <w:style w:type="character" w:customStyle="1" w:styleId="136">
    <w:name w:val="font61"/>
    <w:basedOn w:val="31"/>
    <w:qFormat/>
    <w:uiPriority w:val="0"/>
    <w:rPr>
      <w:rFonts w:hint="default" w:ascii="Times New Roman" w:hAnsi="Times New Roman" w:cs="Times New Roman"/>
      <w:b/>
      <w:bCs/>
      <w:color w:val="000000"/>
      <w:sz w:val="18"/>
      <w:szCs w:val="18"/>
      <w:u w:val="none"/>
    </w:rPr>
  </w:style>
  <w:style w:type="character" w:customStyle="1" w:styleId="137">
    <w:name w:val="font31"/>
    <w:basedOn w:val="31"/>
    <w:qFormat/>
    <w:uiPriority w:val="0"/>
    <w:rPr>
      <w:rFonts w:hint="eastAsia" w:ascii="宋体" w:hAnsi="宋体" w:eastAsia="宋体" w:cs="宋体"/>
      <w:b/>
      <w:bCs/>
      <w:color w:val="000000"/>
      <w:sz w:val="18"/>
      <w:szCs w:val="18"/>
      <w:u w:val="none"/>
    </w:rPr>
  </w:style>
  <w:style w:type="character" w:customStyle="1" w:styleId="138">
    <w:name w:val="font51"/>
    <w:basedOn w:val="31"/>
    <w:qFormat/>
    <w:uiPriority w:val="0"/>
    <w:rPr>
      <w:rFonts w:hint="eastAsia" w:ascii="宋体" w:hAnsi="宋体" w:eastAsia="宋体" w:cs="宋体"/>
      <w:color w:val="000000"/>
      <w:sz w:val="21"/>
      <w:szCs w:val="21"/>
      <w:u w:val="none"/>
    </w:rPr>
  </w:style>
  <w:style w:type="character" w:customStyle="1" w:styleId="139">
    <w:name w:val="font71"/>
    <w:basedOn w:val="31"/>
    <w:qFormat/>
    <w:uiPriority w:val="0"/>
    <w:rPr>
      <w:rFonts w:hint="default" w:ascii="Times New Roman" w:hAnsi="Times New Roman" w:cs="Times New Roman"/>
      <w:color w:val="000000"/>
      <w:sz w:val="21"/>
      <w:szCs w:val="21"/>
      <w:u w:val="none"/>
      <w:vertAlign w:val="superscript"/>
    </w:rPr>
  </w:style>
  <w:style w:type="character" w:customStyle="1" w:styleId="140">
    <w:name w:val="font81"/>
    <w:basedOn w:val="31"/>
    <w:qFormat/>
    <w:uiPriority w:val="0"/>
    <w:rPr>
      <w:rFonts w:hint="default" w:ascii="Times New Roman" w:hAnsi="Times New Roman" w:cs="Times New Roman"/>
      <w:color w:val="000000"/>
      <w:sz w:val="21"/>
      <w:szCs w:val="21"/>
      <w:u w:val="none"/>
      <w:vertAlign w:val="subscript"/>
    </w:rPr>
  </w:style>
  <w:style w:type="paragraph" w:customStyle="1" w:styleId="141">
    <w:name w:val="表格内容2"/>
    <w:basedOn w:val="76"/>
    <w:qFormat/>
    <w:uiPriority w:val="0"/>
    <w:pPr>
      <w:jc w:val="left"/>
    </w:pPr>
  </w:style>
  <w:style w:type="paragraph" w:customStyle="1" w:styleId="142">
    <w:name w:val="表格2"/>
    <w:basedOn w:val="1"/>
    <w:next w:val="1"/>
    <w:qFormat/>
    <w:uiPriority w:val="0"/>
    <w:pPr>
      <w:spacing w:line="400" w:lineRule="atLeast"/>
      <w:jc w:val="center"/>
    </w:pPr>
    <w:rPr>
      <w:szCs w:val="20"/>
    </w:rPr>
  </w:style>
  <w:style w:type="paragraph" w:customStyle="1" w:styleId="143">
    <w:name w:val="本文表格"/>
    <w:basedOn w:val="144"/>
    <w:qFormat/>
    <w:uiPriority w:val="0"/>
    <w:rPr>
      <w:szCs w:val="21"/>
    </w:rPr>
  </w:style>
  <w:style w:type="paragraph" w:customStyle="1" w:styleId="144">
    <w:name w:val="表文字"/>
    <w:basedOn w:val="1"/>
    <w:qFormat/>
    <w:uiPriority w:val="0"/>
    <w:pPr>
      <w:overflowPunct w:val="0"/>
      <w:autoSpaceDE w:val="0"/>
      <w:autoSpaceDN w:val="0"/>
      <w:jc w:val="center"/>
    </w:pPr>
    <w:rPr>
      <w:kern w:val="0"/>
      <w:szCs w:val="20"/>
    </w:rPr>
  </w:style>
  <w:style w:type="paragraph" w:customStyle="1" w:styleId="145">
    <w:name w:val="0正文"/>
    <w:basedOn w:val="1"/>
    <w:qFormat/>
    <w:uiPriority w:val="0"/>
    <w:pPr>
      <w:spacing w:line="360" w:lineRule="auto"/>
      <w:ind w:firstLine="480" w:firstLineChars="200"/>
    </w:pPr>
    <w:rPr>
      <w:rFonts w:ascii="Calibri" w:hAnsi="Calibri"/>
      <w:sz w:val="24"/>
      <w:szCs w:val="20"/>
    </w:rPr>
  </w:style>
  <w:style w:type="paragraph" w:customStyle="1" w:styleId="146">
    <w:name w:val="Table Text"/>
    <w:basedOn w:val="1"/>
    <w:semiHidden/>
    <w:qFormat/>
    <w:uiPriority w:val="0"/>
    <w:rPr>
      <w:rFonts w:ascii="宋体" w:hAnsi="宋体" w:eastAsia="宋体" w:cs="宋体"/>
      <w:sz w:val="10"/>
      <w:szCs w:val="10"/>
      <w:lang w:val="en-US" w:eastAsia="en-US" w:bidi="ar-SA"/>
    </w:rPr>
  </w:style>
  <w:style w:type="table" w:customStyle="1" w:styleId="147">
    <w:name w:val="Table Normal"/>
    <w:semiHidden/>
    <w:unhideWhenUsed/>
    <w:qFormat/>
    <w:uiPriority w:val="0"/>
    <w:tblPr>
      <w:tblLayout w:type="fixed"/>
      <w:tblCellMar>
        <w:top w:w="0" w:type="dxa"/>
        <w:left w:w="0" w:type="dxa"/>
        <w:bottom w:w="0" w:type="dxa"/>
        <w:right w:w="0" w:type="dxa"/>
      </w:tblCellMar>
    </w:tblPr>
  </w:style>
  <w:style w:type="paragraph" w:customStyle="1" w:styleId="148">
    <w:name w:val="表格里"/>
    <w:basedOn w:val="106"/>
    <w:next w:val="106"/>
    <w:qFormat/>
    <w:uiPriority w:val="0"/>
    <w:pPr>
      <w:spacing w:line="240" w:lineRule="auto"/>
      <w:ind w:left="0" w:firstLine="0" w:firstLineChars="0"/>
      <w:jc w:val="center"/>
    </w:pPr>
    <w:rPr>
      <w:rFonts w:ascii="Times New Roman" w:hAnsi="Times New Roman" w:cs="Times New Roman"/>
      <w:snapToGrid w:val="0"/>
    </w:rPr>
  </w:style>
  <w:style w:type="paragraph" w:customStyle="1" w:styleId="149">
    <w:name w:val="表格标题"/>
    <w:basedOn w:val="106"/>
    <w:next w:val="106"/>
    <w:qFormat/>
    <w:uiPriority w:val="0"/>
    <w:pPr>
      <w:keepNext/>
      <w:widowControl/>
      <w:jc w:val="center"/>
    </w:pPr>
    <w:rPr>
      <w:rFonts w:ascii="Times New Roman" w:hAnsi="Times New Roman" w:eastAsia="宋体" w:cs="Times New Roman"/>
      <w:b/>
      <w:kern w:val="0"/>
      <w:sz w:val="21"/>
      <w:szCs w:val="24"/>
    </w:rPr>
  </w:style>
  <w:style w:type="paragraph" w:customStyle="1" w:styleId="150">
    <w:name w:val="环评2"/>
    <w:basedOn w:val="1"/>
    <w:qFormat/>
    <w:uiPriority w:val="0"/>
    <w:pPr>
      <w:spacing w:before="120" w:after="120" w:line="440" w:lineRule="exact"/>
      <w:outlineLvl w:val="1"/>
    </w:pPr>
    <w:rPr>
      <w:b/>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footer" Target="foot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wmf"/><Relationship Id="rId25" Type="http://schemas.openxmlformats.org/officeDocument/2006/relationships/oleObject" Target="embeddings/oleObject5.bin"/><Relationship Id="rId24" Type="http://schemas.openxmlformats.org/officeDocument/2006/relationships/image" Target="media/image10.wmf"/><Relationship Id="rId23" Type="http://schemas.openxmlformats.org/officeDocument/2006/relationships/oleObject" Target="embeddings/oleObject4.bin"/><Relationship Id="rId22" Type="http://schemas.openxmlformats.org/officeDocument/2006/relationships/image" Target="media/image9.wmf"/><Relationship Id="rId21" Type="http://schemas.openxmlformats.org/officeDocument/2006/relationships/oleObject" Target="embeddings/oleObject3.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7.wmf"/><Relationship Id="rId17" Type="http://schemas.openxmlformats.org/officeDocument/2006/relationships/oleObject" Target="embeddings/oleObject1.bin"/><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TA4OTg4MjYwNTU4IiwKCSJHcm91cElkIiA6ICI3MzUxMzk3ODE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NjU4MDMzMDY5IiwKCSJWZXJzaW9uIiA6ICIxOSIKfQo="/>
    </extobj>
    <extobj name="ECB019B1-382A-4266-B25C-5B523AA43C14-2">
      <extobjdata type="ECB019B1-382A-4266-B25C-5B523AA43C14" data="ewoJIkZpbGVJZCIgOiAiNTA4MDkwMTUzNTAzIiwKCSJHcm91cElkIiA6ICI3MzUxMzk3ODE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NjU4MDMzMDY5IiwKCSJWZXJzaW9uIiA6ICIyNiIKfQo="/>
    </extobj>
  </extobjs>
</s:customData>
</file>

<file path=customXml/item2.xml><?xml version="1.0" encoding="utf-8"?>
<contractReview xmlns="http://schemas.wps.cn/vas-ai-hub/contract-review">
  <reviewItems>
    <reviewItem>
      <errorID>a3628a83-7708-4149-be1b-2a0a4df1eb82</errorID>
      <errorWord>十一：</errorWord>
      <group>L1_Format</group>
      <groupName>格式问题</groupName>
      <ability>L2_Ordinal</ability>
      <abilityName>序号格式</abilityName>
      <candidateList>
        <item>十一、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1712E1C7</paraID>
      <start>0</start>
      <end>3</end>
      <status>modified</status>
      <modifiedWord>十一、</modifiedWord>
      <trackRevisions>false</trackRevisions>
    </reviewItem>
    <reviewItem>
      <errorID>4f85c721-1ccb-4eb2-bbb0-3c785d6541cc</errorID>
      <errorWord>发改发</errorWord>
      <group>L1_Knowledge</group>
      <groupName>知识性问题</groupName>
      <ability>L2_Knowledge</ability>
      <abilityName>其他知识</abilityName>
      <candidateList>
        <item>发改委</item>
      </candidateList>
      <explain/>
      <paraID>72E1E9B4</paraID>
      <start>1</start>
      <end>4</end>
      <status>ignored</status>
      <modifiedWord/>
      <trackRevisions>false</trackRevisions>
    </reviewItem>
    <reviewItem>
      <errorID>31a79222-579f-490c-b378-7fa2972646e2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27D73D87</paraID>
      <start>0</start>
      <end>2</end>
      <status>ignored</status>
      <modifiedWord/>
      <trackRevisions>false</trackRevisions>
    </reviewItem>
    <reviewItem>
      <errorID>29e2240b-f7d2-4e7b-8814-e8210edf1871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1C15B36D</paraID>
      <start>0</start>
      <end>2</end>
      <status>ignored</status>
      <modifiedWord/>
      <trackRevisions>false</trackRevisions>
    </reviewItem>
    <reviewItem>
      <errorID>11162110-699d-48ba-86cd-43030402d043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1E1B3908</paraID>
      <start>0</start>
      <end>2</end>
      <status>ignored</status>
      <modifiedWord/>
      <trackRevisions>false</trackRevisions>
    </reviewItem>
    <reviewItem>
      <errorID>884ca228-cb7c-43aa-84db-47218ab4c7f0</errorID>
      <errorWord>与</errorWord>
      <group>L1_Word</group>
      <groupName>字词问题</groupName>
      <ability>L2_Typo</ability>
      <abilityName>字词错误</abilityName>
      <candidateList>
        <item>，</item>
      </candidateList>
      <explain/>
      <paraID>2FF0AC0C</paraID>
      <start>213</start>
      <end>214</end>
      <status>ignored</status>
      <modifiedWord/>
      <trackRevisions>false</trackRevisions>
    </reviewItem>
    <reviewItem>
      <errorID>34faf639-58e6-4fd3-a420-258e3d92fc55</errorID>
      <errorWord>满足</errorWord>
      <group>L1_Punc</group>
      <groupName>标点问题</groupName>
      <ability>L2_Punc</ability>
      <abilityName>标点符号检查</abilityName>
      <candidateList>
        <item>，满足</item>
      </candidateList>
      <explain/>
      <paraID>2FF0AC0C</paraID>
      <start>225</start>
      <end>228</end>
      <status>modified</status>
      <modifiedWord>，满足</modifiedWord>
      <trackRevisions>false</trackRevisions>
    </reviewItem>
    <reviewItem>
      <errorID>df2f47ae-d48d-4d69-825f-57c54df4ac06</errorID>
      <errorWord>；</errorWord>
      <group>L1_Punc</group>
      <groupName>标点问题</groupName>
      <ability>L2_Punc</ability>
      <abilityName>标点符号检查</abilityName>
      <candidateList>
        <item>。</item>
      </candidateList>
      <explain/>
      <paraID>2FF0AC0C</paraID>
      <start>279</start>
      <end>280</end>
      <status>modified</status>
      <modifiedWord>。</modifiedWord>
      <trackRevisions>false</trackRevisions>
    </reviewItem>
    <reviewItem>
      <errorID>264d38a0-e5b1-45a1-96d7-71818d048185</errorID>
      <errorWord>上线</errorWord>
      <group>L1_Word</group>
      <groupName>字词问题</groupName>
      <ability>L2_Typo</ability>
      <abilityName>字词错误</abilityName>
      <candidateList>
        <item>上限</item>
      </candidateList>
      <explain/>
      <paraID>332C327A</paraID>
      <start>89</start>
      <end>91</end>
      <status>ignored</status>
      <modifiedWord/>
      <trackRevisions>false</trackRevisions>
    </reviewItem>
    <reviewItem>
      <errorID>ecdde493-17a1-40e8-b562-dc436e3c74ed</errorID>
      <errorWord>环境影响评价</errorWord>
      <group>L1_Punc</group>
      <groupName>标点问题</groupName>
      <ability>L2_Punc</ability>
      <abilityName>标点符号检查</abilityName>
      <candidateList>
        <item>（环境影响评价）</item>
      </candidateList>
      <explain/>
      <paraID> 34956FE</paraID>
      <start>21</start>
      <end>27</end>
      <status>ignored</status>
      <modifiedWord/>
      <trackRevisions>false</trackRevisions>
    </reviewItem>
    <reviewItem>
      <errorID>0186384b-d93b-428e-ac24-dfdfaed94751</errorID>
      <errorWord>“三线一单”</errorWord>
      <group>L1_Punc</group>
      <groupName>标点问题</groupName>
      <ability>L2_Punc</ability>
      <abilityName>标点符号检查</abilityName>
      <candidateList>
        <item>‘三线一单’</item>
      </candidateList>
      <explain/>
      <paraID> 34956FE</paraID>
      <start>41</start>
      <end>47</end>
      <status>ignored</status>
      <modifiedWord/>
      <trackRevisions>false</trackRevisions>
    </reviewItem>
    <reviewItem>
      <errorID>d72a8e70-ce7c-4cf2-a8a3-1cfc61466d6e</errorID>
      <errorWord>“一图一表一说明”</errorWord>
      <group>L1_Punc</group>
      <groupName>标点问题</groupName>
      <ability>L2_Punc</ability>
      <abilityName>标点符号检查</abilityName>
      <candidateList>
        <item>‘一图一表一说明’</item>
      </candidateList>
      <explain/>
      <paraID> 34956FE</paraID>
      <start>62</start>
      <end>71</end>
      <status>ignored</status>
      <modifiedWord/>
      <trackRevisions>false</trackRevisions>
    </reviewItem>
    <reviewItem>
      <errorID>422883e1-1823-4cc1-b14c-1d523780d746</errorID>
      <errorWord>”。</errorWord>
      <group>L1_Punc</group>
      <groupName>标点问题</groupName>
      <ability>L2_Punc</ability>
      <abilityName>标点符号检查</abilityName>
      <candidateList>
        <item>。”</item>
      </candidateList>
      <explain/>
      <paraID> 34956FE</paraID>
      <start>76</start>
      <end>78</end>
      <status>modified</status>
      <modifiedWord>。”</modifiedWord>
      <trackRevisions>false</trackRevisions>
    </reviewItem>
    <reviewItem>
      <errorID>c023caca-c1b9-44fe-8a12-6bf89cfb7093</errorID>
      <errorWord>等</errorWord>
      <group>L1_Word</group>
      <groupName>字词问题</groupName>
      <ability>L2_Typo</ability>
      <abilityName>字词错误</abilityName>
      <candidateList>
        <item>的</item>
      </candidateList>
      <explain/>
      <paraID>56185922</paraID>
      <start>165</start>
      <end>166</end>
      <status>ignored</status>
      <modifiedWord/>
      <trackRevisions>false</trackRevisions>
    </reviewItem>
    <reviewItem>
      <errorID>c58e5df2-a6e3-490b-8b08-d496d9be0992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799E47AD</paraID>
      <start>0</start>
      <end>2</end>
      <status>ignored</status>
      <modifiedWord/>
      <trackRevisions>false</trackRevisions>
    </reviewItem>
    <reviewItem>
      <errorID>b0699029-3345-43f1-b6b0-d3266ee027c5</errorID>
      <errorWord> </errorWord>
      <group>L1_Punc</group>
      <groupName>标点问题</groupName>
      <ability>L2_Punc</ability>
      <abilityName>标点符号检查</abilityName>
      <candidateList>
        <item/>
      </candidateList>
      <explain>此处空格冗余，建议删除。</explain>
      <paraID>799E47AD</paraID>
      <start>3</start>
      <end>3</end>
      <status>modified</status>
      <modifiedWord/>
      <trackRevisions>false</trackRevisions>
    </reviewItem>
    <reviewItem>
      <errorID>ad405b18-9ba5-4794-b9ad-4e0de7ce1774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5585F5</paraID>
      <start>0</start>
      <end>2</end>
      <status>ignored</status>
      <modifiedWord/>
      <trackRevisions>false</trackRevisions>
    </reviewItem>
    <reviewItem>
      <errorID>ffe33598-62b3-4a41-8752-53ab78e1a01a</errorID>
      <errorWord>严守</errorWord>
      <group>L1_Punc</group>
      <groupName>标点问题</groupName>
      <ability>L2_Punc</ability>
      <abilityName>标点符号检查</abilityName>
      <candidateList>
        <item>，严守</item>
      </candidateList>
      <explain/>
      <paraID>480D60FD</paraID>
      <start>28</start>
      <end>30</end>
      <status>ignored</status>
      <modifiedWord/>
      <trackRevisions>false</trackRevisions>
    </reviewItem>
    <reviewItem>
      <errorID>285fe31e-2f43-4373-8641-fdceae1b4de5</errorID>
      <errorWord>功能级</errorWord>
      <group>L1_Word</group>
      <groupName>字词问题</groupName>
      <ability>L2_Typo</ability>
      <abilityName>字词错误</abilityName>
      <candidateList>
        <item>功能</item>
      </candidateList>
      <explain/>
      <paraID>480D60FD</paraID>
      <start>70</start>
      <end>72</end>
      <status>modified</status>
      <modifiedWord>功能</modifiedWord>
      <trackRevisions>false</trackRevisions>
    </reviewItem>
    <reviewItem>
      <errorID>11ae080c-54ee-4e82-a13b-1feb088449fb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572D1C0F</paraID>
      <start>0</start>
      <end>2</end>
      <status>ignored</status>
      <modifiedWord/>
      <trackRevisions>false</trackRevisions>
    </reviewItem>
    <reviewItem>
      <errorID>bfe17ce7-caaf-47c8-a2bc-099c9fac0619</errorID>
      <errorWord>;</errorWord>
      <group>L1_Format</group>
      <groupName>格式问题</groupName>
      <ability>L2_HalfPunc</ability>
      <abilityName>全半角检查</abilityName>
      <candidateList>
        <item>；</item>
      </candidateList>
      <explain>文本全半角错误。</explain>
      <paraID>7E36B7C6</paraID>
      <start>65</start>
      <end>66</end>
      <status>modified</status>
      <modifiedWord>；</modifiedWord>
      <trackRevisions>false</trackRevisions>
    </reviewItem>
    <reviewItem>
      <errorID>dd6252e6-4ac7-4959-8f3c-56dd49839222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59396843</paraID>
      <start>0</start>
      <end>2</end>
      <status>ignored</status>
      <modifiedWord/>
      <trackRevisions>false</trackRevisions>
    </reviewItem>
    <reviewItem>
      <errorID>682802b5-7845-4444-b7ac-383c1492ec21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50BE8DEC</paraID>
      <start>0</start>
      <end>2</end>
      <status>ignored</status>
      <modifiedWord/>
      <trackRevisions>false</trackRevisions>
    </reviewItem>
    <reviewItem>
      <errorID>f9d621a3-83d3-4292-9648-b08af2dc54fa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7F8B62D4</paraID>
      <start>0</start>
      <end>2</end>
      <status>ignored</status>
      <modifiedWord/>
      <trackRevisions>false</trackRevisions>
    </reviewItem>
    <reviewItem>
      <errorID>35732911-5c9a-49bf-a26a-0218c809638f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16CBF854</paraID>
      <start>0</start>
      <end>2</end>
      <status>ignored</status>
      <modifiedWord/>
      <trackRevisions>false</trackRevisions>
    </reviewItem>
    <reviewItem>
      <errorID>08915cad-14a3-4964-9394-5a0717c955df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25AEF3A4</paraID>
      <start>0</start>
      <end>2</end>
      <status>ignored</status>
      <modifiedWord/>
      <trackRevisions>false</trackRevisions>
    </reviewItem>
    <reviewItem>
      <errorID>7819a915-7739-479e-9496-3faab308eac1</errorID>
      <errorWord>计</errorWord>
      <group>L1_Word</group>
      <groupName>字词问题</groupName>
      <ability>L2_Typo</ability>
      <abilityName>字词错误</abilityName>
      <candidateList>
        <item>计算</item>
      </candidateList>
      <explain/>
      <paraID>12A0C164</paraID>
      <start>17</start>
      <end>19</end>
      <status>modified</status>
      <modifiedWord>计算</modifiedWord>
      <trackRevisions>false</trackRevisions>
    </reviewItem>
    <reviewItem>
      <errorID>32c7dc42-4889-43c3-8b62-866874265fbe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77FA0EB3</paraID>
      <start>0</start>
      <end>2</end>
      <status>ignored</status>
      <modifiedWord/>
      <trackRevisions>false</trackRevisions>
    </reviewItem>
    <reviewItem>
      <errorID>24bf3308-536d-48b6-892d-738dd0f104ba</errorID>
      <errorWord>所由</errorWord>
      <group>L1_Word</group>
      <groupName>字词问题</groupName>
      <ability>L2_Typo</ability>
      <abilityName>字词错误</abilityName>
      <candidateList>
        <item>所有</item>
      </candidateList>
      <explain/>
      <paraID>37E8653B</paraID>
      <start>6</start>
      <end>8</end>
      <status>modified</status>
      <modifiedWord>所有</modifiedWord>
      <trackRevisions>false</trackRevisions>
    </reviewItem>
    <reviewItem>
      <errorID>88e83f99-1dd7-4208-a422-4d3fcffeebb7</errorID>
      <errorWord>，</errorWord>
      <group>L1_Punc</group>
      <groupName>标点问题</groupName>
      <ability>L2_Punc</ability>
      <abilityName>标点符号检查</abilityName>
      <candidateList>
        <item>、</item>
      </candidateList>
      <explain/>
      <paraID> B72E870</paraID>
      <start>25</start>
      <end>26</end>
      <status>modified</status>
      <modifiedWord>、</modifiedWord>
      <trackRevisions>false</trackRevisions>
    </reviewItem>
    <reviewItem>
      <errorID>b81bfa02-45ac-4d89-a748-19e31ae73e04</errorID>
      <errorWord> </errorWord>
      <group>L1_Punc</group>
      <groupName>标点问题</groupName>
      <ability>L2_Punc</ability>
      <abilityName>标点符号检查</abilityName>
      <candidateList>
        <item/>
      </candidateList>
      <explain>此处空格冗余，建议删除。</explain>
      <paraID> B72E870</paraID>
      <start>28</start>
      <end>28</end>
      <status>modified</status>
      <modifiedWord/>
      <trackRevisions>false</trackRevisions>
    </reviewItem>
    <reviewItem>
      <errorID>5ebcb9df-32a5-42af-891b-dee296ae70bf</errorID>
      <errorWord>》</errorWord>
      <group>L1_Punc</group>
      <groupName>标点问题</groupName>
      <ability>L2_Punc</ability>
      <abilityName>标点符号检查</abilityName>
      <candidateList>
        <item>》。</item>
      </candidateList>
      <explain/>
      <paraID>2D778B18</paraID>
      <start>47</start>
      <end>49</end>
      <status>modified</status>
      <modifiedWord>》。</modifiedWord>
      <trackRevisions>false</trackRevisions>
    </reviewItem>
    <reviewItem>
      <errorID>efdfae2a-5baa-42d9-909a-75b5ba3a9e6b</errorID>
      <errorWord>检测点位</errorWord>
      <group>L1_Word</group>
      <groupName>字词问题</groupName>
      <ability>L2_Typo</ability>
      <abilityName>字词错误</abilityName>
      <candidateList>
        <item>监测点位</item>
      </candidateList>
      <explain/>
      <paraID>7B395F4A</paraID>
      <start>0</start>
      <end>4</end>
      <status>ignored</status>
      <modifiedWord/>
      <trackRevisions>false</trackRevisions>
    </reviewItem>
    <reviewItem>
      <errorID>e9241257-d3c4-4d4c-b122-9360cb04d26e</errorID>
      <errorWord>(</errorWord>
      <group>L1_Format</group>
      <groupName>格式问题</groupName>
      <ability>L2_HalfPunc</ability>
      <abilityName>全半角检查</abilityName>
      <candidateList>
        <item>（</item>
      </candidateList>
      <explain>文本全半角错误。</explain>
      <paraID>3948D0DE</paraID>
      <start>28</start>
      <end>29</end>
      <status>modified</status>
      <modifiedWord>（</modifiedWord>
      <trackRevisions>false</trackRevisions>
    </reviewItem>
    <reviewItem>
      <errorID>d9fa65e2-3b2e-4d17-b621-db0f2057e8cd</errorID>
      <errorWord>)</errorWord>
      <group>L1_Format</group>
      <groupName>格式问题</groupName>
      <ability>L2_HalfPunc</ability>
      <abilityName>全半角检查</abilityName>
      <candidateList>
        <item>）</item>
      </candidateList>
      <explain>文本全半角错误。</explain>
      <paraID>3948D0DE</paraID>
      <start>40</start>
      <end>41</end>
      <status>modified</status>
      <modifiedWord>）</modifiedWord>
      <trackRevisions>false</trackRevisions>
    </reviewItem>
    <reviewItem>
      <errorID>90a41543-6065-4d64-8236-ced02ff88e44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66EB4805</paraID>
      <start>0</start>
      <end>2</end>
      <status>ignored</status>
      <modifiedWord/>
      <trackRevisions>false</trackRevisions>
    </reviewItem>
    <reviewItem>
      <errorID>63235e73-f623-411d-9362-8a7602708488</errorID>
      <errorWord>3</errorWord>
      <group>L1_Word</group>
      <groupName>字词问题</groupName>
      <ability>L2_Typo</ability>
      <abilityName>字词错误</abilityName>
      <candidateList>
        <item>4</item>
      </candidateList>
      <explain/>
      <paraID>6B3EFB6E</paraID>
      <start>3</start>
      <end>4</end>
      <status>modified</status>
      <modifiedWord>4</modifiedWord>
      <trackRevisions>false</trackRevisions>
    </reviewItem>
    <reviewItem>
      <errorID>01125bb8-499f-4048-b4b3-a1305f6bb2e4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76343CE3</paraID>
      <start>0</start>
      <end>2</end>
      <status>ignored</status>
      <modifiedWord/>
      <trackRevisions>false</trackRevisions>
    </reviewItem>
    <reviewItem>
      <errorID>b7181a70-b2cf-45da-8f3d-5854541ba693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39586CF2</paraID>
      <start>0</start>
      <end>2</end>
      <status>ignored</status>
      <modifiedWord/>
      <trackRevisions>false</trackRevisions>
    </reviewItem>
    <reviewItem>
      <errorID>4e3f3547-624d-4584-a9b0-a9a2ea32e63d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2EB2BBAF</paraID>
      <start>0</start>
      <end>2</end>
      <status>ignored</status>
      <modifiedWord/>
      <trackRevisions>false</trackRevisions>
    </reviewItem>
    <reviewItem>
      <errorID>3e175f93-3d62-49b3-9a46-40b28e6c361c</errorID>
      <errorWord>GB46817</errorWord>
      <group>L1_Word</group>
      <groupName>字词问题</groupName>
      <ability>L2_Typo</ability>
      <abilityName>字词错误</abilityName>
      <candidateList>
        <item>GB 46817</item>
      </candidateList>
      <explain/>
      <paraID>50CA90E7</paraID>
      <start>24</start>
      <end>32</end>
      <status>modified</status>
      <modifiedWord>GB 46817</modifiedWord>
      <trackRevisions>false</trackRevisions>
    </reviewItem>
    <reviewItem>
      <errorID>6f91c483-c140-4856-abcd-884f175042e3</errorID>
      <errorWord>～</errorWord>
      <group>L1_Format</group>
      <groupName>格式问题</groupName>
      <ability>L2_HalfPunc</ability>
      <abilityName>全半角检查</abilityName>
      <candidateList>
        <item>~</item>
      </candidateList>
      <explain>文本全半角错误。</explain>
      <paraID>3CAEE6EF</paraID>
      <start>1</start>
      <end>2</end>
      <status>ignored</status>
      <modifiedWord/>
      <trackRevisions>false</trackRevisions>
    </reviewItem>
    <reviewItem>
      <errorID>1c4f016b-2fe3-4a61-b311-c684f404b24f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681FB8B9</paraID>
      <start>0</start>
      <end>2</end>
      <status>ignored</status>
      <modifiedWord/>
      <trackRevisions>false</trackRevisions>
    </reviewItem>
    <reviewItem>
      <errorID>e66ed1cd-9cfe-4925-a08f-a6cb65c2b082</errorID>
      <errorWord>3</errorWord>
      <group>L1_Word</group>
      <groupName>字词问题</groupName>
      <ability>L2_Typo</ability>
      <abilityName>字词错误</abilityName>
      <candidateList>
        <item>表3</item>
      </candidateList>
      <explain/>
      <paraID>576A5F2D</paraID>
      <start>0</start>
      <end>2</end>
      <status>modified</status>
      <modifiedWord>表3</modifiedWord>
      <trackRevisions>false</trackRevisions>
    </reviewItem>
    <reviewItem>
      <errorID>510320ff-d66b-4a28-96e6-6dae4ed84709</errorID>
      <errorWord>GB12523</errorWord>
      <group>L1_Word</group>
      <groupName>字词问题</groupName>
      <ability>L2_Typo</ability>
      <abilityName>字词错误</abilityName>
      <candidateList>
        <item>GB 12523</item>
      </candidateList>
      <explain/>
      <paraID>576A5F2D</paraID>
      <start>18</start>
      <end>26</end>
      <status>modified</status>
      <modifiedWord>GB 12523</modifiedWord>
      <trackRevisions>false</trackRevisions>
    </reviewItem>
    <reviewItem>
      <errorID>07c616e7-a437-48a0-bffe-83d4164ab1ee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354C81F3</paraID>
      <start>0</start>
      <end>2</end>
      <status>ignored</status>
      <modifiedWord/>
      <trackRevisions>false</trackRevisions>
    </reviewItem>
    <reviewItem>
      <errorID>aa35314b-da15-4961-8b34-8c1f47445358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49469626</paraID>
      <start>0</start>
      <end>2</end>
      <status>ignored</status>
      <modifiedWord/>
      <trackRevisions>false</trackRevisions>
    </reviewItem>
    <reviewItem>
      <errorID>022e04af-bf09-47d6-9870-6cc556c4a845</errorID>
      <errorWord>伴随</errorWord>
      <group>L1_Word</group>
      <groupName>字词问题</groupName>
      <ability>L2_Typo</ability>
      <abilityName>字词错误</abilityName>
      <candidateList>
        <item>随着</item>
      </candidateList>
      <explain/>
      <paraID>33FAFBC8</paraID>
      <start>164</start>
      <end>166</end>
      <status>modified</status>
      <modifiedWord>随着</modifiedWord>
      <trackRevisions>false</trackRevisions>
    </reviewItem>
    <reviewItem>
      <errorID>d1d0fc0c-9f99-4c5a-adf8-377293b8ab89</errorID>
      <errorWord>也</errorWord>
      <group>L1_Grammar</group>
      <groupName>语法问题</groupName>
      <ability>L2_Grammar</ability>
      <abilityName>语法错误</abilityName>
      <candidateList>
        <item>，影响也</item>
      </candidateList>
      <explain/>
      <paraID>33FAFBC8</paraID>
      <start>172</start>
      <end>176</end>
      <status>modified</status>
      <modifiedWord>，影响也</modifiedWord>
      <trackRevisions>false</trackRevisions>
    </reviewItem>
    <reviewItem>
      <errorID>f6b9e4da-df23-4ac8-8b16-3b05ecab71d9</errorID>
      <errorWord>结束</errorWord>
      <group>L1_Word</group>
      <groupName>字词问题</groupName>
      <ability>L2_Typo</ability>
      <abilityName>字词错误</abilityName>
      <candidateList>
        <item>消失</item>
      </candidateList>
      <explain/>
      <paraID>33FAFBC8</paraID>
      <start>177</start>
      <end>179</end>
      <status>modified</status>
      <modifiedWord>消失</modifiedWord>
      <trackRevisions>false</trackRevisions>
    </reviewItem>
    <reviewItem>
      <errorID>51016a05-2a8d-4a14-a55d-741c096aa075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3E9A088A</paraID>
      <start>0</start>
      <end>2</end>
      <status>ignored</status>
      <modifiedWord/>
      <trackRevisions>false</trackRevisions>
    </reviewItem>
    <reviewItem>
      <errorID>9e066ef1-310c-4ffb-b386-5760465e0280</errorID>
      <errorWord>最小</errorWord>
      <group>L1_Word</group>
      <groupName>字词问题</groupName>
      <ability>L2_Typo</ability>
      <abilityName>字词错误</abilityName>
      <candidateList>
        <item>最低</item>
      </candidateList>
      <explain/>
      <paraID>36466AA7</paraID>
      <start>28</start>
      <end>30</end>
      <status>modified</status>
      <modifiedWord>最低</modifiedWord>
      <trackRevisions>false</trackRevisions>
    </reviewItem>
    <reviewItem>
      <errorID>d16be1c4-89d9-440f-a89e-1157e7ba2d33</errorID>
      <errorWord>防止</errorWord>
      <group>L1_Punc</group>
      <groupName>标点问题</groupName>
      <ability>L2_Punc</ability>
      <abilityName>标点符号检查</abilityName>
      <candidateList>
        <item>，防止</item>
      </candidateList>
      <explain/>
      <paraID>46765E50</paraID>
      <start>62</start>
      <end>65</end>
      <status>modified</status>
      <modifiedWord>，防止</modifiedWord>
      <trackRevisions>false</trackRevisions>
    </reviewItem>
    <reviewItem>
      <errorID>d43cf168-cc2f-48df-9816-7f9d2fdc4b05</errorID>
      <errorWord>、扬尘</errorWord>
      <group>L1_Word</group>
      <groupName>字词问题</groupName>
      <ability>L2_Typo</ability>
      <abilityName>字词错误</abilityName>
      <candidateList>
        <item>扬起</item>
      </candidateList>
      <explain/>
      <paraID>46765E50</paraID>
      <start>67</start>
      <end>69</end>
      <status>modified</status>
      <modifiedWord>扬起</modifiedWord>
      <trackRevisions>false</trackRevisions>
    </reviewItem>
    <reviewItem>
      <errorID>7af28a5f-e554-4cf9-8d63-624aa8d6d636</errorID>
      <errorWord>制定</errorWord>
      <group>L1_Word</group>
      <groupName>字词问题</groupName>
      <ability>L2_Typo</ability>
      <abilityName>字词错误</abilityName>
      <candidateList>
        <item>采取</item>
      </candidateList>
      <explain/>
      <paraID>460CEE24</paraID>
      <start>15</start>
      <end>17</end>
      <status>modified</status>
      <modifiedWord>采取</modifiedWord>
      <trackRevisions>false</trackRevisions>
    </reviewItem>
    <reviewItem>
      <errorID>f126c925-df7c-4fa0-8425-cc1caea871e5</errorID>
      <errorWord>加蓬</errorWord>
      <group>L1_Word</group>
      <groupName>字词问题</groupName>
      <ability>L2_Typo</ability>
      <abilityName>字词错误</abilityName>
      <candidateList>
        <item>应加蓬</item>
      </candidateList>
      <explain/>
      <paraID>43E72CC9</paraID>
      <start>5</start>
      <end>8</end>
      <status>modified</status>
      <modifiedWord>应加蓬</modifiedWord>
      <trackRevisions>false</trackRevisions>
    </reviewItem>
    <reviewItem>
      <errorID>728ad022-8a9d-4fe0-bf93-7eaee54901c3</errorID>
      <errorWord>出</errorWord>
      <group>L1_Word</group>
      <groupName>字词问题</groupName>
      <ability>L2_Typo</ability>
      <abilityName>字词错误</abilityName>
      <candidateList>
        <item>在出</item>
      </candidateList>
      <explain/>
      <paraID>43E72CC9</paraID>
      <start>11</start>
      <end>13</end>
      <status>modified</status>
      <modifiedWord>在出</modifiedWord>
      <trackRevisions>false</trackRevisions>
    </reviewItem>
    <reviewItem>
      <errorID>60f51299-e746-4c2c-8aff-b13dac759ff2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519E8C60</paraID>
      <start>0</start>
      <end>2</end>
      <status>ignored</status>
      <modifiedWord/>
      <trackRevisions>false</trackRevisions>
    </reviewItem>
    <reviewItem>
      <errorID>021e4723-490c-45e2-80ce-4bac692b6733</errorID>
      <errorWord>使用</errorWord>
      <group>L1_Grammar</group>
      <groupName>语法问题</groupName>
      <ability>L2_Grammar</ability>
      <abilityName>语法错误</abilityName>
      <candidateList>
        <item>采取</item>
      </candidateList>
      <explain>“使用～措施”搭配不当，建议修改为“采取～措施”。</explain>
      <paraID>4A7C2381</paraID>
      <start>52</start>
      <end>54</end>
      <status>modified</status>
      <modifiedWord>采取</modifiedWord>
      <trackRevisions>false</trackRevisions>
    </reviewItem>
    <reviewItem>
      <errorID>d577a80b-50a4-493a-8d1e-554a7aa41c8c</errorID>
      <errorWord>，可</errorWord>
      <group>L1_Word</group>
      <groupName>字词问题</groupName>
      <ability>L2_Typo</ability>
      <abilityName>字词错误</abilityName>
      <candidateList>
        <item>，</item>
      </candidateList>
      <explain/>
      <paraID>176AE388</paraID>
      <start>11</start>
      <end>12</end>
      <status>modified</status>
      <modifiedWord>，</modifiedWord>
      <trackRevisions>false</trackRevisions>
    </reviewItem>
    <reviewItem>
      <errorID>4151ad21-9905-4cb5-9ba8-17330fbeab61</errorID>
      <errorWord>）中</errorWord>
      <group>L1_Word</group>
      <groupName>字词问题</groupName>
      <ability>L2_Typo</ability>
      <abilityName>字词错误</abilityName>
      <candidateList>
        <item>）</item>
      </candidateList>
      <explain/>
      <paraID> BAACC60</paraID>
      <start>42</start>
      <end>43</end>
      <status>modified</status>
      <modifiedWord>）</modifiedWord>
      <trackRevisions>false</trackRevisions>
    </reviewItem>
    <reviewItem>
      <errorID>870b2995-7387-4bce-9cc8-6bb445017e57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326F423D</paraID>
      <start>0</start>
      <end>2</end>
      <status>ignored</status>
      <modifiedWord/>
      <trackRevisions>false</trackRevisions>
    </reviewItem>
    <reviewItem>
      <errorID>8bd3fecb-49fb-4e23-a13b-3d270f2da66b</errorID>
      <errorWord>AO处理工艺</errorWord>
      <group>L1_Grammar</group>
      <groupName>语法问题</groupName>
      <ability>L2_Grammar</ability>
      <abilityName>语法错误</abilityName>
      <candidateList>
        <item>AO</item>
      </candidateList>
      <explain/>
      <paraID>300F0858</paraID>
      <start>71</start>
      <end>77</end>
      <status>ignored</status>
      <modifiedWord/>
      <trackRevisions>false</trackRevisions>
    </reviewItem>
    <reviewItem>
      <errorID>eb19ffd9-5fc2-47ff-934e-e5863b2fef4b</errorID>
      <errorWord>中</errorWord>
      <group>L1_Word</group>
      <groupName>字词问题</groupName>
      <ability>L2_Typo</ability>
      <abilityName>字词错误</abilityName>
      <candidateList>
        <item>，</item>
      </candidateList>
      <explain/>
      <paraID>3B73D8FE</paraID>
      <start>32</start>
      <end>33</end>
      <status>modified</status>
      <modifiedWord>，</modifiedWord>
      <trackRevisions>false</trackRevisions>
    </reviewItem>
    <reviewItem>
      <errorID>ba0a25e2-92f3-4bc5-a45f-1814f06b90a0</errorID>
      <errorWord>COD</errorWord>
      <group>L1_Word</group>
      <groupName>字词问题</groupName>
      <ability>L2_Typo</ability>
      <abilityName>字词错误</abilityName>
      <candidateList>
        <item>的COD</item>
      </candidateList>
      <explain/>
      <paraID>3B73D8FE</paraID>
      <start>60</start>
      <end>64</end>
      <status>modified</status>
      <modifiedWord>的COD</modifiedWord>
      <trackRevisions>false</trackRevisions>
    </reviewItem>
    <reviewItem>
      <errorID>df48d4de-edd4-46b7-92aa-77e82f141a7e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3B73D8FE</paraID>
      <start>72</start>
      <end>73</end>
      <status>ignored</status>
      <modifiedWord/>
      <trackRevisions>false</trackRevisions>
    </reviewItem>
    <reviewItem>
      <errorID>52ecf593-c8fc-4e75-8e0b-8affee5246f6</errorID>
      <errorWord>BOD5300</errorWord>
      <group>L1_Word</group>
      <groupName>字词问题</groupName>
      <ability>L2_Typo</ability>
      <abilityName>字词错误</abilityName>
      <candidateList>
        <item>BOD5为300</item>
      </candidateList>
      <explain/>
      <paraID>3B73D8FE</paraID>
      <start>82</start>
      <end>90</end>
      <status>modified</status>
      <modifiedWord>BOD5为300</modifiedWord>
      <trackRevisions>false</trackRevisions>
    </reviewItem>
    <reviewItem>
      <errorID>a519b800-6114-4ba6-b9eb-7938b15e021c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3B73D8FE</paraID>
      <start>108</start>
      <end>109</end>
      <status>ignored</status>
      <modifiedWord/>
      <trackRevisions>false</trackRevisions>
    </reviewItem>
    <reviewItem>
      <errorID>aeda4c54-c5c3-4b9f-9a0e-f990bd633bb4</errorID>
      <errorWord>，</errorWord>
      <group>L1_Punc</group>
      <groupName>标点问题</groupName>
      <ability>L2_Punc</ability>
      <abilityName>标点符号检查</abilityName>
      <candidateList>
        <item>。</item>
      </candidateList>
      <explain/>
      <paraID>3B73D8FE</paraID>
      <start>115</start>
      <end>116</end>
      <status>modified</status>
      <modifiedWord>。</modifiedWord>
      <trackRevisions>false</trackRevisions>
    </reviewItem>
    <reviewItem>
      <errorID>118870d0-1c62-4a3a-ac04-b6fae78ae3fd</errorID>
      <errorWord>伊春市中心城污水处理厂</errorWord>
      <group>L1_Other</group>
      <groupName>其他问题</groupName>
      <ability>L2_Consistency</ability>
      <abilityName>一致性检查</abilityName>
      <candidateList>
        <item>伊春市嘉荫县污水处理厂</item>
      </candidateList>
      <explain>实体一致性问题，文本中关于废水排放去向前后表述不一致，应统一为伊春市嘉荫县污水处理厂</explain>
      <paraID>282922A7</paraID>
      <start>0</start>
      <end>11</end>
      <status>modified</status>
      <modifiedWord>伊春市嘉荫县污水处理厂</modifiedWord>
      <trackRevisions>false</trackRevisions>
    </reviewItem>
    <reviewItem>
      <errorID>315ad23b-fe0d-4c8d-98ac-bf1202ddceed</errorID>
      <errorWord>下</errorWord>
      <group>L1_Word</group>
      <groupName>字词问题</groupName>
      <ability>L2_Typo</ability>
      <abilityName>字词错误</abilityName>
      <candidateList>
        <item>见下</item>
      </candidateList>
      <explain/>
      <paraID> 1E39384</paraID>
      <start>13</start>
      <end>15</end>
      <status>modified</status>
      <modifiedWord>见下</modifiedWord>
      <trackRevisions>false</trackRevisions>
    </reviewItem>
    <reviewItem>
      <errorID>cc59a0fd-3235-4a04-a2d8-7e79fe58db9c</errorID>
      <errorWord>后与</errorWord>
      <group>L1_Word</group>
      <groupName>字词问题</groupName>
      <ability>L2_Typo</ability>
      <abilityName>字词错误</abilityName>
      <candidateList>
        <item>，</item>
      </candidateList>
      <explain/>
      <paraID>32C9C464</paraID>
      <start>19</start>
      <end>21</end>
      <status>ignored</status>
      <modifiedWord/>
      <trackRevisions>false</trackRevisions>
    </reviewItem>
    <reviewItem>
      <errorID>1ac3578a-5352-4984-80ed-6e4cb67602e3</errorID>
      <errorWord>定期</errorWord>
      <group>L1_Punc</group>
      <groupName>标点问题</groupName>
      <ability>L2_Punc</ability>
      <abilityName>标点符号检查</abilityName>
      <candidateList>
        <item>，定期</item>
      </candidateList>
      <explain/>
      <paraID>32C9C464</paraID>
      <start>32</start>
      <end>35</end>
      <status>modified</status>
      <modifiedWord>，定期</modifiedWord>
      <trackRevisions>false</trackRevisions>
    </reviewItem>
    <reviewItem>
      <errorID>6a31545c-e24f-44f0-8305-bc6db3379c34</errorID>
      <errorWord>，</errorWord>
      <group>L1_Punc</group>
      <groupName>标点问题</groupName>
      <ability>L2_Punc</ability>
      <abilityName>标点符号检查</abilityName>
      <candidateList>
        <item>。</item>
      </candidateList>
      <explain/>
      <paraID>32C9C464</paraID>
      <start>49</start>
      <end>50</end>
      <status>modified</status>
      <modifiedWord>。</modifiedWord>
      <trackRevisions>false</trackRevisions>
    </reviewItem>
    <reviewItem>
      <errorID>931451e9-5eca-4cae-91fe-6564250c095b</errorID>
      <errorWord>为</errorWord>
      <group>L1_Word</group>
      <groupName>字词问题</groupName>
      <ability>L2_Typo</ability>
      <abilityName>字词错误</abilityName>
      <candidateList>
        <item>是</item>
      </candidateList>
      <explain/>
      <paraID>4CB3B3F5</paraID>
      <start>13</start>
      <end>14</end>
      <status>modified</status>
      <modifiedWord>是</modifiedWord>
      <trackRevisions>false</trackRevisions>
    </reviewItem>
    <reviewItem>
      <errorID>50ed45b1-e3e6-46de-bf6e-7d9318706ab2</errorID>
      <errorWord>时会</errorWord>
      <group>L1_Word</group>
      <groupName>字词问题</groupName>
      <ability>L2_Typo</ability>
      <abilityName>字词错误</abilityName>
      <candidateList>
        <item>时</item>
      </candidateList>
      <explain/>
      <paraID>4CB3B3F5</paraID>
      <start>27</start>
      <end>28</end>
      <status>modified</status>
      <modifiedWord>时</modifiedWord>
      <trackRevisions>false</trackRevisions>
    </reviewItem>
    <reviewItem>
      <errorID>9d59c3d3-0b42-4327-905e-b37aa398e47e</errorID>
      <errorWord>恶臭</errorWord>
      <group>L1_Word</group>
      <groupName>字词问题</groupName>
      <ability>L2_Typo</ability>
      <abilityName>字词错误</abilityName>
      <candidateList>
        <item>的恶臭</item>
      </candidateList>
      <explain/>
      <paraID>4CB3B3F5</paraID>
      <start>30</start>
      <end>33</end>
      <status>modified</status>
      <modifiedWord>的恶臭</modifiedWord>
      <trackRevisions>false</trackRevisions>
    </reviewItem>
    <reviewItem>
      <errorID>351a887e-7753-4522-a83a-b63429666cce</errorID>
      <errorWord>氨、臭气浓度</errorWord>
      <group>L1_Grammar</group>
      <groupName>语法问题</groupName>
      <ability>L2_Grammar</ability>
      <abilityName>语法错误</abilityName>
      <candidateList>
        <item>氨</item>
      </candidateList>
      <explain/>
      <paraID>73A2A4EA</paraID>
      <start>54</start>
      <end>60</end>
      <status>ignored</status>
      <modifiedWord/>
      <trackRevisions>false</trackRevisions>
    </reviewItem>
    <reviewItem>
      <errorID>8c376c64-8849-4ddf-b251-2a51705e3ab7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1152A138</paraID>
      <start>145</start>
      <end>146</end>
      <status>ignored</status>
      <modifiedWord/>
      <trackRevisions>false</trackRevisions>
    </reviewItem>
    <reviewItem>
      <errorID>2f98d065-9166-4f03-8888-06f0fd558383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1152A138</paraID>
      <start>166</start>
      <end>167</end>
      <status>ignored</status>
      <modifiedWord/>
      <trackRevisions>false</trackRevisions>
    </reviewItem>
    <reviewItem>
      <errorID>2656f4a4-4fbb-419b-9a07-5d35ae83e1e6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1152A138</paraID>
      <start>282</start>
      <end>283</end>
      <status>ignored</status>
      <modifiedWord/>
      <trackRevisions>false</trackRevisions>
    </reviewItem>
    <reviewItem>
      <errorID>a65d6490-8b70-4fa0-acf0-ab4e2306544d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1152A138</paraID>
      <start>296</start>
      <end>297</end>
      <status>ignored</status>
      <modifiedWord/>
      <trackRevisions>false</trackRevisions>
    </reviewItem>
    <reviewItem>
      <errorID>6de1c52b-cc27-4731-a979-aee2c47eb180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1152A138</paraID>
      <start>335</start>
      <end>336</end>
      <status>ignored</status>
      <modifiedWord/>
      <trackRevisions>false</trackRevisions>
    </reviewItem>
    <reviewItem>
      <errorID>00e8e2ee-30b3-4406-aa1a-95747f1dde83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1152A138</paraID>
      <start>349</start>
      <end>350</end>
      <status>ignored</status>
      <modifiedWord/>
      <trackRevisions>false</trackRevisions>
    </reviewItem>
    <reviewItem>
      <errorID>252a9b79-f448-4880-a9ee-fc6a259cc029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1152A138</paraID>
      <start>389</start>
      <end>390</end>
      <status>ignored</status>
      <modifiedWord/>
      <trackRevisions>false</trackRevisions>
    </reviewItem>
    <reviewItem>
      <errorID>feede94a-d22d-4902-a1fc-06f3e6876470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1152A138</paraID>
      <start>403</start>
      <end>404</end>
      <status>ignored</status>
      <modifiedWord/>
      <trackRevisions>false</trackRevisions>
    </reviewItem>
    <reviewItem>
      <errorID>68f5e5f9-71ea-4b3f-9e66-550f8bc5e75d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1152A138</paraID>
      <start>442</start>
      <end>443</end>
      <status>ignored</status>
      <modifiedWord/>
      <trackRevisions>false</trackRevisions>
    </reviewItem>
    <reviewItem>
      <errorID>2d823083-6d50-4e41-89b7-d1b01b89fd2c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1152A138</paraID>
      <start>456</start>
      <end>457</end>
      <status>ignored</status>
      <modifiedWord/>
      <trackRevisions>false</trackRevisions>
    </reviewItem>
    <reviewItem>
      <errorID>55dbf0d6-4c52-4955-85f0-b1ae55fcfbb5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1152A138</paraID>
      <start>496</start>
      <end>497</end>
      <status>ignored</status>
      <modifiedWord/>
      <trackRevisions>false</trackRevisions>
    </reviewItem>
    <reviewItem>
      <errorID>c61f056b-f732-4227-b4f7-988331a1c1fe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1152A138</paraID>
      <start>510</start>
      <end>511</end>
      <status>ignored</status>
      <modifiedWord/>
      <trackRevisions>false</trackRevisions>
    </reviewItem>
    <reviewItem>
      <errorID>9919d9ca-0c34-422e-95fc-46756d7b04b0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1152A138</paraID>
      <start>529</start>
      <end>530</end>
      <status>ignored</status>
      <modifiedWord/>
      <trackRevisions>false</trackRevisions>
    </reviewItem>
    <reviewItem>
      <errorID>8bb90704-8e0b-4438-9903-915a00c55e1d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1152A138</paraID>
      <start>542</start>
      <end>543</end>
      <status>ignored</status>
      <modifiedWord/>
      <trackRevisions>false</trackRevisions>
    </reviewItem>
    <reviewItem>
      <errorID>b51029f8-4504-4c33-8408-e02b86e48b42</errorID>
      <errorWord>次本项目</errorWord>
      <group>L1_Grammar</group>
      <groupName>语法问题</groupName>
      <ability>L2_Grammar</ability>
      <abilityName>语法错误</abilityName>
      <candidateList>
        <item>次</item>
      </candidateList>
      <explain/>
      <paraID>26878F38</paraID>
      <start>116</start>
      <end>117</end>
      <status>modified</status>
      <modifiedWord>次</modifiedWord>
      <trackRevisions>false</trackRevisions>
    </reviewItem>
    <reviewItem>
      <errorID>54dbe073-390d-4994-ab1f-23a4ec748c4f</errorID>
      <errorWord>为</errorWord>
      <group>L1_Grammar</group>
      <groupName>语法问题</groupName>
      <ability>L2_Grammar</ability>
      <abilityName>语法错误</abilityName>
      <candidateList>
        <item>，该处理方式为</item>
      </candidateList>
      <explain/>
      <paraID>4ACA8B50</paraID>
      <start>45</start>
      <end>46</end>
      <status>ignored</status>
      <modifiedWord/>
      <trackRevisions>false</trackRevisions>
    </reviewItem>
    <reviewItem>
      <errorID>7c852d90-2ded-4fa9-8947-e8876d204a33</errorID>
      <errorWord>(</errorWord>
      <group>L1_Format</group>
      <groupName>格式问题</groupName>
      <ability>L2_HalfPunc</ability>
      <abilityName>全半角检查</abilityName>
      <candidateList>
        <item>（</item>
      </candidateList>
      <explain>文本全半角错误。</explain>
      <paraID>4FDC2DF4</paraID>
      <start>37</start>
      <end>38</end>
      <status>modified</status>
      <modifiedWord>（</modifiedWord>
      <trackRevisions>false</trackRevisions>
    </reviewItem>
    <reviewItem>
      <errorID>9b122cbb-a884-47b9-ad1f-3cd259a068d2</errorID>
      <errorWord>)</errorWord>
      <group>L1_Format</group>
      <groupName>格式问题</groupName>
      <ability>L2_HalfPunc</ability>
      <abilityName>全半角检查</abilityName>
      <candidateList>
        <item>）</item>
      </candidateList>
      <explain>文本全半角错误。</explain>
      <paraID>2A4AB6DD</paraID>
      <start>21</start>
      <end>22</end>
      <status>modified</status>
      <modifiedWord>）</modifiedWord>
      <trackRevisions>false</trackRevisions>
    </reviewItem>
    <reviewItem>
      <errorID>f16ceb18-f7a4-4b72-a7e3-d51aaf3b580e</errorID>
      <errorWord>(</errorWord>
      <group>L1_Format</group>
      <groupName>格式问题</groupName>
      <ability>L2_HalfPunc</ability>
      <abilityName>全半角检查</abilityName>
      <candidateList>
        <item>（</item>
      </candidateList>
      <explain>文本全半角错误。</explain>
      <paraID>6212E29C</paraID>
      <start>21</start>
      <end>22</end>
      <status>modified</status>
      <modifiedWord>（</modifiedWord>
      <trackRevisions>false</trackRevisions>
    </reviewItem>
    <reviewItem>
      <errorID>d9738040-d94a-4854-92bc-1d433c4133db</errorID>
      <errorWord>)</errorWord>
      <group>L1_Format</group>
      <groupName>格式问题</groupName>
      <ability>L2_HalfPunc</ability>
      <abilityName>全半角检查</abilityName>
      <candidateList>
        <item>）</item>
      </candidateList>
      <explain>文本全半角错误。</explain>
      <paraID>6212E29C</paraID>
      <start>26</start>
      <end>27</end>
      <status>modified</status>
      <modifiedWord>）</modifiedWord>
      <trackRevisions>false</trackRevisions>
    </reviewItem>
    <reviewItem>
      <errorID>6ac3abf9-0806-42dc-b77f-88b134ef951b</errorID>
      <errorWord>)</errorWord>
      <group>L1_Format</group>
      <groupName>格式问题</groupName>
      <ability>L2_HalfPunc</ability>
      <abilityName>全半角检查</abilityName>
      <candidateList>
        <item>）</item>
      </candidateList>
      <explain>文本全半角错误。</explain>
      <paraID>22C111C2</paraID>
      <start>31</start>
      <end>32</end>
      <status>modified</status>
      <modifiedWord>）</modifiedWord>
      <trackRevisions>false</trackRevisions>
    </reviewItem>
    <reviewItem>
      <errorID>e0928bd7-12db-4c00-a2e6-185bd3a39fc3</errorID>
      <errorWord>)</errorWord>
      <group>L1_Format</group>
      <groupName>格式问题</groupName>
      <ability>L2_HalfPunc</ability>
      <abilityName>全半角检查</abilityName>
      <candidateList>
        <item>）</item>
      </candidateList>
      <explain>文本全半角错误。</explain>
      <paraID>  176EF1</paraID>
      <start>28</start>
      <end>29</end>
      <status>modified</status>
      <modifiedWord>）</modifiedWord>
      <trackRevisions>false</trackRevisions>
    </reviewItem>
    <reviewItem>
      <errorID>e28d2d47-7961-4d1a-b8bc-2101970a752a</errorID>
      <errorWord>(</errorWord>
      <group>L1_Format</group>
      <groupName>格式问题</groupName>
      <ability>L2_HalfPunc</ability>
      <abilityName>全半角检查</abilityName>
      <candidateList>
        <item>（</item>
      </candidateList>
      <explain>文本全半角错误。</explain>
      <paraID>6CDCA40D</paraID>
      <start>10</start>
      <end>11</end>
      <status>modified</status>
      <modifiedWord>（</modifiedWord>
      <trackRevisions>false</trackRevisions>
    </reviewItem>
    <reviewItem>
      <errorID>c126eae7-187d-4ddb-8e3d-95ec1e4c18ae</errorID>
      <errorWord>)</errorWord>
      <group>L1_Format</group>
      <groupName>格式问题</groupName>
      <ability>L2_HalfPunc</ability>
      <abilityName>全半角检查</abilityName>
      <candidateList>
        <item>）</item>
      </candidateList>
      <explain>文本全半角错误。</explain>
      <paraID>6CDCA40D</paraID>
      <start>14</start>
      <end>15</end>
      <status>modified</status>
      <modifiedWord>）</modifiedWord>
      <trackRevisions>false</trackRevisions>
    </reviewItem>
    <reviewItem>
      <errorID>1970d74a-1b11-4e69-80c8-8c2cc02ba69b</errorID>
      <errorWord>)</errorWord>
      <group>L1_Format</group>
      <groupName>格式问题</groupName>
      <ability>L2_HalfPunc</ability>
      <abilityName>全半角检查</abilityName>
      <candidateList>
        <item>）</item>
      </candidateList>
      <explain>文本全半角错误。</explain>
      <paraID>650E762E</paraID>
      <start>31</start>
      <end>32</end>
      <status>modified</status>
      <modifiedWord>）</modifiedWord>
      <trackRevisions>false</trackRevisions>
    </reviewItem>
    <reviewItem>
      <errorID>777bc4a4-ccb6-4b94-b5a4-231f7c7c4cba</errorID>
      <errorWord>)</errorWord>
      <group>L1_Format</group>
      <groupName>格式问题</groupName>
      <ability>L2_HalfPunc</ability>
      <abilityName>全半角检查</abilityName>
      <candidateList>
        <item>）</item>
      </candidateList>
      <explain>文本全半角错误。</explain>
      <paraID>47378FB9</paraID>
      <start>17</start>
      <end>18</end>
      <status>modified</status>
      <modifiedWord>）</modifiedWord>
      <trackRevisions>false</trackRevisions>
    </reviewItem>
    <reviewItem>
      <errorID>631ac667-543a-42dc-a73d-0dc2a02cc7e7</errorID>
      <errorWord>《工业企业厂界噪声排放标准》</errorWord>
      <group>L1_Other</group>
      <groupName>其他问题</groupName>
      <ability>L2_Consistency</ability>
      <abilityName>一致性检查</abilityName>
      <candidateList>
        <item>《工业企业厂界环境噪声排放标准》</item>
      </candidateList>
      <explain>术语一致性问题，标准名称前后表述不一致，应统一为《工业企业厂界环境噪声排放标准》</explain>
      <paraID>3D034510</paraID>
      <start>54</start>
      <end>70</end>
      <status>modified</status>
      <modifiedWord>《工业企业厂界环境噪声排放标准》</modifiedWord>
      <trackRevisions>false</trackRevisions>
    </reviewItem>
    <reviewItem>
      <errorID>f635c38a-fcc6-4b23-b64d-25f0423637b8</errorID>
      <errorWord>》</errorWord>
      <group>L1_Punc</group>
      <groupName>标点问题</groupName>
      <ability>L2_Punc</ability>
      <abilityName>标点符号检查</abilityName>
      <candidateList>
        <item/>
      </candidateList>
      <explain/>
      <paraID>3C5553E6</paraID>
      <start>30</start>
      <end>31</end>
      <status>ignored</status>
      <modifiedWord/>
      <trackRevisions>false</trackRevisions>
    </reviewItem>
    <reviewItem>
      <errorID>9dcddfac-ded7-4fe2-ab87-0ed952fb046f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4703D70D</paraID>
      <start>0</start>
      <end>2</end>
      <status>ignored</status>
      <modifiedWord/>
      <trackRevisions>false</trackRevisions>
    </reviewItem>
    <reviewItem>
      <errorID>a85a87b8-6548-462a-9a9c-d24a175ded92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60986B0A</paraID>
      <start>0</start>
      <end>2</end>
      <status>ignored</status>
      <modifiedWord/>
      <trackRevisions>false</trackRevisions>
    </reviewItem>
    <reviewItem>
      <errorID>1d42000b-2ed5-4918-b249-6bf278b2a761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49199095</paraID>
      <start>0</start>
      <end>2</end>
      <status>ignored</status>
      <modifiedWord/>
      <trackRevisions>false</trackRevisions>
    </reviewItem>
    <reviewItem>
      <errorID>93e9660f-b049-4820-a525-c35f4cc0b36b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1369D1AC</paraID>
      <start>0</start>
      <end>2</end>
      <status>ignored</status>
      <modifiedWord/>
      <trackRevisions>false</trackRevisions>
    </reviewItem>
    <reviewItem>
      <errorID>9d9d920a-2a99-4b4b-a454-1b1b71b0b372</errorID>
      <errorWord>一废</errorWord>
      <group>L1_Word</group>
      <groupName>字词问题</groupName>
      <ability>L2_Typo</ability>
      <abilityName>字词错误</abilityName>
      <candidateList>
        <item>废</item>
      </candidateList>
      <explain/>
      <paraID>78ED0FD1</paraID>
      <start>46</start>
      <end>47</end>
      <status>modified</status>
      <modifiedWord>废</modifiedWord>
      <trackRevisions>false</trackRevisions>
    </reviewItem>
    <reviewItem>
      <errorID>a29dd795-465b-4e29-b89d-994e32910953</errorID>
      <errorWord>处理</errorWord>
      <group>L1_Word</group>
      <groupName>字词问题</groupName>
      <ability>L2_Typo</ability>
      <abilityName>字词错误</abilityName>
      <candidateList>
        <item>方法</item>
      </candidateList>
      <explain/>
      <paraID>19107E1A</paraID>
      <start>95</start>
      <end>97</end>
      <status>modified</status>
      <modifiedWord>方法</modifiedWord>
      <trackRevisions>false</trackRevisions>
    </reviewItem>
    <reviewItem>
      <errorID>df6713cd-4f65-4660-92ec-1ce483dba1f5</errorID>
      <errorWord>本</errorWord>
      <group>L1_Punc</group>
      <groupName>标点问题</groupName>
      <ability>L2_Punc</ability>
      <abilityName>标点符号检查</abilityName>
      <candidateList>
        <item>，本</item>
      </candidateList>
      <explain/>
      <paraID>57A5E7CE</paraID>
      <start>2</start>
      <end>4</end>
      <status>modified</status>
      <modifiedWord>，本</modifiedWord>
      <trackRevisions>false</trackRevisions>
    </reviewItem>
    <reviewItem>
      <errorID>efdd689b-326b-4584-9068-a158cbc514da</errorID>
      <errorWord>如下</errorWord>
      <group>L1_Punc</group>
      <groupName>标点问题</groupName>
      <ability>L2_Punc</ability>
      <abilityName>标点符号检查</abilityName>
      <candidateList>
        <item>如下：</item>
      </candidateList>
      <explain/>
      <paraID>57A5E7CE</paraID>
      <start>10</start>
      <end>13</end>
      <status>modified</status>
      <modifiedWord>如下：</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0d47d8-1377-41cc-bf31-f808a2f01fc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50</Pages>
  <Words>15091</Words>
  <Characters>18049</Characters>
  <Lines>173</Lines>
  <Paragraphs>48</Paragraphs>
  <TotalTime>1</TotalTime>
  <ScaleCrop>false</ScaleCrop>
  <LinksUpToDate>false</LinksUpToDate>
  <CharactersWithSpaces>18653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2021-09-14T04:35:00Z</dcterms:created>
  <dc:creator>lhj</dc:creator>
  <cp:lastModifiedBy>Administrator</cp:lastModifiedBy>
  <cp:lastPrinted>2021-09-17T07:18:00Z</cp:lastPrinted>
  <dcterms:modified xsi:type="dcterms:W3CDTF">2026-04-09T08:00:58Z</dcterms:modified>
  <dc:title>附件2</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A8F448D487134D63810F0B952542D331</vt:lpwstr>
  </property>
  <property fmtid="{D5CDD505-2E9C-101B-9397-08002B2CF9AE}" pid="4" name="KSOTemplateDocerSaveRecord">
    <vt:lpwstr>eyJoZGlkIjoiMWMxYjE0ODY0YzUzMzU2N2EyOTFkYjA4ZWVlNmY4NDEiLCJ1c2VySWQiOiI2NTgwMzMwNjkifQ==</vt:lpwstr>
  </property>
</Properties>
</file>