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9272"/>
      <w:bookmarkStart w:id="1" w:name="_Toc8870"/>
      <w:bookmarkStart w:id="2" w:name="_Toc142"/>
      <w:bookmarkStart w:id="3" w:name="_Toc6848"/>
      <w:bookmarkStart w:id="4" w:name="_Toc20068"/>
      <w:bookmarkStart w:id="5" w:name="_Toc21359"/>
      <w:bookmarkStart w:id="6" w:name="_Toc31034"/>
      <w:bookmarkStart w:id="7" w:name="_Toc21136"/>
      <w:bookmarkStart w:id="8" w:name="_Toc31887"/>
      <w:bookmarkStart w:id="9" w:name="_Toc27019"/>
      <w:bookmarkStart w:id="10" w:name="_Toc2904"/>
      <w:bookmarkStart w:id="11" w:name="_Toc30575"/>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bidi w:val="0"/>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300"/>
        <w:jc w:val="both"/>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bookmarkStart w:id="12" w:name="OLE_LINK1"/>
      <w:r>
        <w:rPr>
          <w:rFonts w:hint="eastAsia" w:cs="Times New Roman"/>
          <w:color w:val="auto"/>
          <w:sz w:val="32"/>
          <w:szCs w:val="32"/>
          <w:u w:val="single"/>
          <w:lang w:eastAsia="zh-CN"/>
        </w:rPr>
        <w:t>嘉荫县晨露种植家庭农场</w:t>
      </w:r>
      <w:r>
        <w:rPr>
          <w:rFonts w:hint="eastAsia" w:cs="Times New Roman"/>
          <w:color w:val="auto"/>
          <w:sz w:val="32"/>
          <w:szCs w:val="32"/>
          <w:u w:val="single"/>
          <w:lang w:val="en-US" w:eastAsia="zh-CN"/>
        </w:rPr>
        <w:t>建设</w:t>
      </w:r>
      <w:r>
        <w:rPr>
          <w:rFonts w:hint="eastAsia" w:cs="Times New Roman"/>
          <w:color w:val="auto"/>
          <w:sz w:val="32"/>
          <w:szCs w:val="32"/>
          <w:u w:val="single"/>
          <w:lang w:eastAsia="zh-CN"/>
        </w:rPr>
        <w:t>项目</w:t>
      </w:r>
    </w:p>
    <w:bookmarkEnd w:id="12"/>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300"/>
        <w:jc w:val="both"/>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嘉荫县晨露种植家庭农场（</w:t>
      </w:r>
      <w:r>
        <w:rPr>
          <w:rFonts w:hint="eastAsia" w:cs="Times New Roman"/>
          <w:color w:val="auto"/>
          <w:sz w:val="32"/>
          <w:szCs w:val="32"/>
          <w:u w:val="single"/>
          <w:lang w:val="en-US" w:eastAsia="zh-CN"/>
        </w:rPr>
        <w:t>个体工商户</w:t>
      </w:r>
      <w:r>
        <w:rPr>
          <w:rFonts w:hint="eastAsia" w:cs="Times New Roman"/>
          <w:color w:val="auto"/>
          <w:sz w:val="32"/>
          <w:szCs w:val="32"/>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6</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4</w:t>
      </w:r>
      <w:r>
        <w:rPr>
          <w:rFonts w:hint="default" w:ascii="Times New Roman" w:hAnsi="Times New Roman" w:eastAsia="宋体" w:cs="Times New Roman"/>
          <w:color w:val="auto"/>
          <w:sz w:val="32"/>
          <w:szCs w:val="32"/>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3"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cs="Times New Roman"/>
          <w:color w:val="auto"/>
        </w:rPr>
      </w:pPr>
    </w:p>
    <w:p>
      <w:pPr>
        <w:pStyle w:val="12"/>
        <w:rPr>
          <w:rFonts w:hint="default" w:ascii="Times New Roman" w:hAnsi="Times New Roman" w:cs="Times New Roman"/>
          <w:color w:val="auto"/>
        </w:rPr>
      </w:pPr>
    </w:p>
    <w:bookmarkEnd w:id="13"/>
    <w:p>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pPr>
        <w:jc w:val="center"/>
        <w:rPr>
          <w:rFonts w:hint="eastAsia" w:ascii="Times New Roman" w:hAnsi="Times New Roman" w:eastAsia="宋体" w:cs="Times New Roman"/>
          <w:color w:val="auto"/>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drawing>
          <wp:inline distT="0" distB="0" distL="114300" distR="114300">
            <wp:extent cx="5229225" cy="6438900"/>
            <wp:effectExtent l="0" t="0" r="9525"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9"/>
                    <a:stretch>
                      <a:fillRect/>
                    </a:stretch>
                  </pic:blipFill>
                  <pic:spPr>
                    <a:xfrm>
                      <a:off x="0" y="0"/>
                      <a:ext cx="5229225" cy="6438900"/>
                    </a:xfrm>
                    <a:prstGeom prst="rect">
                      <a:avLst/>
                    </a:prstGeom>
                    <a:noFill/>
                    <a:ln>
                      <a:noFill/>
                    </a:ln>
                  </pic:spPr>
                </pic:pic>
              </a:graphicData>
            </a:graphic>
          </wp:inline>
        </w:drawing>
      </w: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_Toc25765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_Toc25765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_Toc31158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_Toc28470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_Toc2506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_Toc19727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_Toc10988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_Toc29721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_Toc29721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_Toc10746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_Toc26382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lang w:eastAsia="zh-CN"/>
        </w:rPr>
        <w:t>图</w:t>
      </w:r>
      <w:r>
        <w:rPr>
          <w:rFonts w:hint="default" w:ascii="Times New Roman" w:hAnsi="Times New Roman" w:eastAsia="宋体" w:cs="Times New Roman"/>
          <w:snapToGrid w:val="0"/>
          <w:sz w:val="24"/>
          <w:szCs w:val="24"/>
          <w:lang w:val="en-US" w:eastAsia="zh-CN"/>
        </w:rPr>
        <w:t>1 本项目地理位置图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_Toc6874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highlight w:val="none"/>
          <w:lang w:eastAsia="zh-CN"/>
        </w:rPr>
        <w:t>图</w:t>
      </w:r>
      <w:r>
        <w:rPr>
          <w:rFonts w:hint="default" w:ascii="Times New Roman" w:hAnsi="Times New Roman" w:eastAsia="宋体" w:cs="Times New Roman"/>
          <w:snapToGrid w:val="0"/>
          <w:sz w:val="24"/>
          <w:szCs w:val="24"/>
          <w:highlight w:val="none"/>
          <w:lang w:val="en-US" w:eastAsia="zh-CN"/>
        </w:rPr>
        <w:t>2 厂区总平面布置图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_Toc26831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附件1 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_Toc918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kern w:val="44"/>
          <w:sz w:val="24"/>
          <w:szCs w:val="24"/>
          <w:lang w:val="en-US" w:eastAsia="zh-CN" w:bidi="ar-SA"/>
        </w:rPr>
        <w:t>附件2 土地相关文件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_Toc9020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附件3 燃料分析单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_Toc14983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附件4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_Toc14983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_Toc32608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5 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3"/>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_Toc2135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6 生态环境分区管控分析报告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pPr>
        <w:pStyle w:val="27"/>
        <w:jc w:val="center"/>
        <w:outlineLvl w:val="0"/>
        <w:rPr>
          <w:rFonts w:hint="default" w:ascii="Times New Roman" w:hAnsi="Times New Roman" w:eastAsia="黑体" w:cs="Times New Roman"/>
          <w:snapToGrid w:val="0"/>
          <w:color w:val="auto"/>
          <w:sz w:val="30"/>
          <w:szCs w:val="30"/>
        </w:rPr>
      </w:pPr>
      <w:bookmarkStart w:id="14" w:name="_Toc25765"/>
      <w:bookmarkStart w:id="15" w:name="_Toc15523"/>
      <w:r>
        <w:rPr>
          <w:rFonts w:hint="default" w:ascii="Times New Roman" w:hAnsi="Times New Roman" w:eastAsia="黑体" w:cs="Times New Roman"/>
          <w:snapToGrid w:val="0"/>
          <w:color w:val="auto"/>
          <w:sz w:val="30"/>
          <w:szCs w:val="30"/>
        </w:rPr>
        <w:t>一、建设项目基本情况</w:t>
      </w:r>
      <w:bookmarkEnd w:id="14"/>
      <w:bookmarkEnd w:id="15"/>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eastAsia="zh-CN"/>
              </w:rPr>
              <w:t>嘉荫县晨露种植家庭农场</w:t>
            </w:r>
            <w:r>
              <w:rPr>
                <w:rFonts w:hint="eastAsia" w:cs="Times New Roman"/>
                <w:b w:val="0"/>
                <w:bCs w:val="0"/>
                <w:color w:val="auto"/>
                <w:sz w:val="24"/>
                <w:szCs w:val="24"/>
                <w:lang w:val="en-US"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2239"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联系方式</w:t>
            </w:r>
          </w:p>
        </w:tc>
        <w:tc>
          <w:tcPr>
            <w:tcW w:w="2867"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伊春市嘉荫县</w:t>
            </w:r>
            <w:r>
              <w:rPr>
                <w:rFonts w:hint="eastAsia" w:cs="Times New Roman"/>
                <w:color w:val="auto"/>
                <w:sz w:val="24"/>
                <w:szCs w:val="24"/>
                <w:lang w:val="en-US" w:eastAsia="zh-CN"/>
              </w:rPr>
              <w:t>乌拉嘎镇金水</w:t>
            </w:r>
            <w:r>
              <w:rPr>
                <w:rFonts w:hint="default" w:ascii="Times New Roman" w:hAnsi="Times New Roman" w:cs="Times New Roman"/>
                <w:color w:val="auto"/>
                <w:sz w:val="24"/>
                <w:szCs w:val="24"/>
                <w:lang w:val="en-US"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09</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32.319</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度</w:t>
            </w:r>
            <w:r>
              <w:rPr>
                <w:rFonts w:hint="eastAsia" w:cs="Times New Roman"/>
                <w:color w:val="auto"/>
                <w:sz w:val="24"/>
                <w:szCs w:val="24"/>
                <w:highlight w:val="none"/>
                <w:u w:val="single"/>
                <w:lang w:val="en-US" w:eastAsia="zh-CN"/>
              </w:rPr>
              <w:t>23</w:t>
            </w:r>
            <w:r>
              <w:rPr>
                <w:rFonts w:hint="default" w:ascii="Times New Roman" w:hAnsi="Times New Roman" w:cs="Times New Roman"/>
                <w:color w:val="auto"/>
                <w:sz w:val="24"/>
                <w:szCs w:val="24"/>
                <w:highlight w:val="none"/>
                <w:u w:val="single"/>
              </w:rPr>
              <w:t>分</w:t>
            </w:r>
            <w:r>
              <w:rPr>
                <w:rFonts w:hint="eastAsia" w:cs="Times New Roman"/>
                <w:color w:val="auto"/>
                <w:sz w:val="24"/>
                <w:szCs w:val="24"/>
                <w:highlight w:val="none"/>
                <w:u w:val="single"/>
                <w:lang w:val="en-US" w:eastAsia="zh-CN"/>
              </w:rPr>
              <w:t>57.898</w:t>
            </w:r>
            <w:r>
              <w:rPr>
                <w:rFonts w:hint="default" w:ascii="Times New Roman" w:hAnsi="Times New Roman" w:cs="Times New Roman"/>
                <w:color w:val="auto"/>
                <w:sz w:val="24"/>
                <w:szCs w:val="24"/>
                <w:highlight w:val="none"/>
                <w:u w:val="singl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pPr>
              <w:pStyle w:val="29"/>
              <w:ind w:left="0" w:leftChars="0" w:firstLine="0" w:firstLineChars="0"/>
              <w:jc w:val="center"/>
              <w:rPr>
                <w:rFonts w:hint="default"/>
                <w:color w:val="auto"/>
                <w:lang w:val="en-US" w:eastAsia="zh-CN"/>
              </w:rPr>
            </w:pPr>
            <w:r>
              <w:rPr>
                <w:rFonts w:hint="eastAsia"/>
                <w:color w:val="auto"/>
                <w:sz w:val="24"/>
                <w:szCs w:val="24"/>
                <w:lang w:val="en-US" w:eastAsia="zh-CN"/>
              </w:rPr>
              <w:t>A0514农产品初加工活动</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 （包括建设单位自建 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2</w:t>
            </w:r>
            <w:r>
              <w:rPr>
                <w:rFonts w:hint="eastAsia" w:ascii="Times New Roman" w:hAnsi="Times New Roman" w:cs="Times New Roman"/>
                <w:bCs/>
                <w:color w:val="auto"/>
                <w:kern w:val="0"/>
                <w:sz w:val="24"/>
                <w:szCs w:val="24"/>
                <w:highlight w:val="none"/>
                <w:lang w:val="en-US" w:eastAsia="zh-CN"/>
              </w:rPr>
              <w:t>00</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5.00</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7</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4"/>
                <w:lang w:val="en-US" w:eastAsia="zh-CN"/>
              </w:rPr>
              <w:t>4250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82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38"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.与生态环境分区管控</w:t>
            </w:r>
            <w:r>
              <w:rPr>
                <w:rFonts w:hint="default" w:ascii="Times New Roman" w:hAnsi="Times New Roman" w:cs="Times New Roman"/>
                <w:color w:val="auto"/>
                <w:kern w:val="0"/>
                <w:sz w:val="24"/>
                <w:szCs w:val="24"/>
                <w:highlight w:val="none"/>
                <w:lang w:val="en-US" w:eastAsia="zh-CN"/>
              </w:rPr>
              <w:t>符合性分析：</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color w:val="auto"/>
                <w:kern w:val="0"/>
                <w:sz w:val="24"/>
                <w:szCs w:val="21"/>
              </w:rPr>
              <w:t>（1）生态保护红线符合性</w:t>
            </w:r>
            <w:r>
              <w:rPr>
                <w:rFonts w:hint="default" w:ascii="Times New Roman" w:hAnsi="Times New Roman" w:cs="Times New Roman"/>
                <w:color w:val="auto"/>
                <w:kern w:val="0"/>
                <w:sz w:val="24"/>
                <w:szCs w:val="24"/>
                <w:highlight w:val="none"/>
              </w:rPr>
              <w:t>：</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本项目厂址所在区域不属于生态保护红线范围内。</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不外排</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对周围环境影响不大。厂界噪声满足《工业企业厂界环境噪声排放标准》（GB12348-2008）</w:t>
            </w:r>
            <w:r>
              <w:rPr>
                <w:rFonts w:hint="eastAsia" w:cs="Times New Roman"/>
                <w:color w:val="auto"/>
                <w:kern w:val="0"/>
                <w:sz w:val="24"/>
                <w:szCs w:val="21"/>
                <w:lang w:val="en-US" w:eastAsia="zh-CN"/>
              </w:rPr>
              <w:t>中2类</w:t>
            </w:r>
            <w:r>
              <w:rPr>
                <w:rFonts w:hint="default" w:ascii="Times New Roman" w:hAnsi="Times New Roman" w:eastAsia="宋体" w:cs="Times New Roman"/>
                <w:color w:val="auto"/>
                <w:kern w:val="0"/>
                <w:sz w:val="24"/>
                <w:szCs w:val="21"/>
              </w:rPr>
              <w:t>标准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本项目建成后用水量较小，不属于高耗水项目，燃料选用生物质燃料，不新增煤炭资源消耗，本项目不新增占地，符合资源利用上线要求。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（4）环境准入负面清单符合性</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w:t>
            </w:r>
            <w:r>
              <w:rPr>
                <w:rFonts w:hint="eastAsia" w:cs="Times New Roman"/>
                <w:color w:val="auto"/>
                <w:sz w:val="24"/>
                <w:lang w:val="en-US" w:eastAsia="zh-CN"/>
              </w:rPr>
              <w:t>·</w:t>
            </w:r>
            <w:r>
              <w:rPr>
                <w:rFonts w:hint="eastAsia" w:ascii="Times New Roman" w:hAnsi="Times New Roman" w:eastAsia="宋体" w:cs="Times New Roman"/>
                <w:color w:val="auto"/>
                <w:sz w:val="24"/>
              </w:rPr>
              <w:t>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jc w:val="center"/>
            </w:pPr>
            <w:r>
              <w:drawing>
                <wp:inline distT="0" distB="0" distL="114300" distR="114300">
                  <wp:extent cx="3611880" cy="1849120"/>
                  <wp:effectExtent l="0" t="0" r="7620" b="1778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10"/>
                          <a:stretch>
                            <a:fillRect/>
                          </a:stretch>
                        </pic:blipFill>
                        <pic:spPr>
                          <a:xfrm>
                            <a:off x="0" y="0"/>
                            <a:ext cx="3611880" cy="184912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2"/>
              <w:tblW w:w="759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864"/>
              <w:gridCol w:w="667"/>
              <w:gridCol w:w="667"/>
              <w:gridCol w:w="2337"/>
              <w:gridCol w:w="19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环境管控单元编码</w:t>
                  </w:r>
                </w:p>
              </w:tc>
              <w:tc>
                <w:tcPr>
                  <w:tcW w:w="86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单元名称</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管控单</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元类别</w:t>
                  </w:r>
                </w:p>
              </w:tc>
              <w:tc>
                <w:tcPr>
                  <w:tcW w:w="3004" w:type="dxa"/>
                  <w:gridSpan w:val="2"/>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管控要求</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0"/>
                      <w:sz w:val="22"/>
                      <w:szCs w:val="22"/>
                      <w:lang w:val="en-US" w:eastAsia="zh-CN" w:bidi="ar"/>
                    </w:rPr>
                    <w:t>ZH23072230002</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宋体"/>
                      <w:color w:val="auto"/>
                      <w:sz w:val="21"/>
                      <w:szCs w:val="21"/>
                      <w:lang w:val="en-US" w:eastAsia="zh-CN"/>
                    </w:rPr>
                  </w:pPr>
                </w:p>
              </w:tc>
              <w:tc>
                <w:tcPr>
                  <w:tcW w:w="86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PingFangSC-Light" w:hAnsi="PingFangSC-Light" w:eastAsia="PingFangSC-Light" w:cs="PingFangSC-Light"/>
                      <w:color w:val="auto"/>
                      <w:kern w:val="0"/>
                      <w:sz w:val="22"/>
                      <w:szCs w:val="22"/>
                      <w:lang w:val="en-US" w:eastAsia="zh-CN" w:bidi="ar"/>
                    </w:rPr>
                    <w:t>嘉荫县其</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default" w:ascii="PingFangSC-Light" w:hAnsi="PingFangSC-Light" w:eastAsia="PingFangSC-Light" w:cs="PingFangSC-Light"/>
                      <w:color w:val="auto"/>
                      <w:kern w:val="0"/>
                      <w:sz w:val="22"/>
                      <w:szCs w:val="22"/>
                      <w:lang w:val="en-US" w:eastAsia="zh-CN" w:bidi="ar"/>
                    </w:rPr>
                    <w:t>他区域</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一般管控单元</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空间布局约束</w:t>
                  </w:r>
                </w:p>
              </w:tc>
              <w:tc>
                <w:tcPr>
                  <w:tcW w:w="2337" w:type="dxa"/>
                  <w:noWrap w:val="0"/>
                  <w:vAlign w:val="center"/>
                </w:tcPr>
                <w:p>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color w:val="auto"/>
                      <w:sz w:val="21"/>
                      <w:szCs w:val="21"/>
                    </w:rPr>
                  </w:pPr>
                  <w:r>
                    <w:rPr>
                      <w:rFonts w:hint="eastAsia" w:ascii="Times New Roman" w:hAnsi="Times New Roman"/>
                      <w:color w:val="auto"/>
                      <w:sz w:val="21"/>
                      <w:szCs w:val="21"/>
                    </w:rPr>
                    <w:t>执行本清单全市准入要求中“6.1一般管控单元总体要求”准入要求。</w:t>
                  </w:r>
                </w:p>
                <w:p>
                  <w:pPr>
                    <w:pStyle w:val="48"/>
                    <w:keepNext w:val="0"/>
                    <w:keepLines w:val="0"/>
                    <w:suppressLineNumbers w:val="0"/>
                    <w:spacing w:before="0" w:beforeAutospacing="0" w:after="0" w:afterAutospacing="0" w:line="276" w:lineRule="auto"/>
                    <w:ind w:left="0" w:right="0" w:firstLine="420"/>
                    <w:textAlignment w:val="center"/>
                    <w:rPr>
                      <w:rFonts w:hint="eastAsia" w:ascii="Times New Roman" w:hAnsi="Times New Roman"/>
                      <w:color w:val="auto"/>
                      <w:sz w:val="21"/>
                      <w:szCs w:val="21"/>
                    </w:rPr>
                  </w:pPr>
                  <w:r>
                    <w:rPr>
                      <w:rFonts w:hint="eastAsia" w:ascii="Times New Roman" w:hAnsi="Times New Roman"/>
                      <w:color w:val="auto"/>
                      <w:sz w:val="21"/>
                      <w:szCs w:val="21"/>
                    </w:rPr>
                    <w:t>1.贯彻实施国家与黑龙江省大气、水污染相关各项标准，深化重点行业污染治理，推进国家和地方确定的各项产业结构调整措施。</w:t>
                  </w:r>
                </w:p>
                <w:p>
                  <w:pPr>
                    <w:pStyle w:val="48"/>
                    <w:keepNext w:val="0"/>
                    <w:keepLines w:val="0"/>
                    <w:suppressLineNumbers w:val="0"/>
                    <w:spacing w:before="0" w:beforeAutospacing="0" w:after="0" w:afterAutospacing="0" w:line="276" w:lineRule="auto"/>
                    <w:ind w:left="0" w:right="0" w:firstLine="420"/>
                    <w:textAlignment w:val="center"/>
                    <w:rPr>
                      <w:rFonts w:hint="eastAsia" w:ascii="Times New Roman" w:hAnsi="Times New Roman"/>
                      <w:color w:val="auto"/>
                      <w:sz w:val="21"/>
                      <w:szCs w:val="21"/>
                    </w:rPr>
                  </w:pPr>
                  <w:r>
                    <w:rPr>
                      <w:rFonts w:hint="eastAsia" w:ascii="Times New Roman" w:hAnsi="Times New Roman"/>
                      <w:color w:val="auto"/>
                      <w:sz w:val="21"/>
                      <w:szCs w:val="21"/>
                    </w:rPr>
                    <w:t>2.引导工业项目向开发区集中，促进产业集聚、资源集约、绿色发展。</w:t>
                  </w:r>
                </w:p>
                <w:p>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color w:val="auto"/>
                      <w:sz w:val="21"/>
                      <w:szCs w:val="21"/>
                    </w:rPr>
                  </w:pPr>
                  <w:r>
                    <w:rPr>
                      <w:rFonts w:hint="eastAsia" w:ascii="Times New Roman" w:hAnsi="Times New Roman"/>
                      <w:color w:val="auto"/>
                      <w:sz w:val="21"/>
                      <w:szCs w:val="21"/>
                    </w:rPr>
                    <w:t>3.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color w:val="auto"/>
                      <w:sz w:val="21"/>
                      <w:szCs w:val="21"/>
                    </w:rPr>
                  </w:pPr>
                  <w:r>
                    <w:rPr>
                      <w:rFonts w:hint="eastAsia" w:ascii="Times New Roman" w:hAnsi="Times New Roman"/>
                      <w:color w:val="auto"/>
                      <w:sz w:val="21"/>
                      <w:szCs w:val="21"/>
                    </w:rPr>
                    <w:t>1</w:t>
                  </w:r>
                  <w:r>
                    <w:rPr>
                      <w:rFonts w:hint="default" w:ascii="Times New Roman" w:hAnsi="Times New Roman"/>
                      <w:color w:val="auto"/>
                      <w:sz w:val="21"/>
                      <w:szCs w:val="21"/>
                    </w:rPr>
                    <w:t>.</w:t>
                  </w:r>
                  <w:r>
                    <w:rPr>
                      <w:rFonts w:hint="eastAsia" w:ascii="Times New Roman" w:hAnsi="Times New Roman"/>
                      <w:color w:val="auto"/>
                      <w:sz w:val="21"/>
                      <w:szCs w:val="21"/>
                    </w:rPr>
                    <w:t>本项目在采取各项保护措施后，污染物排放能够达到相应的排放标准；本项目符合产业政策，为</w:t>
                  </w:r>
                  <w:r>
                    <w:rPr>
                      <w:rFonts w:hint="eastAsia" w:ascii="Times New Roman" w:hAnsi="Times New Roman"/>
                      <w:color w:val="auto"/>
                      <w:sz w:val="21"/>
                      <w:szCs w:val="21"/>
                      <w:lang w:eastAsia="zh-CN"/>
                    </w:rPr>
                    <w:t>允许</w:t>
                  </w:r>
                  <w:r>
                    <w:rPr>
                      <w:rFonts w:hint="eastAsia" w:ascii="Times New Roman" w:hAnsi="Times New Roman"/>
                      <w:color w:val="auto"/>
                      <w:sz w:val="21"/>
                      <w:szCs w:val="21"/>
                    </w:rPr>
                    <w:t>类项目。</w:t>
                  </w:r>
                </w:p>
                <w:p>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color w:val="auto"/>
                      <w:sz w:val="21"/>
                      <w:szCs w:val="21"/>
                    </w:rPr>
                  </w:pPr>
                  <w:r>
                    <w:rPr>
                      <w:rFonts w:hint="eastAsia" w:ascii="Times New Roman" w:hAnsi="Times New Roman"/>
                      <w:color w:val="auto"/>
                      <w:sz w:val="21"/>
                      <w:szCs w:val="21"/>
                    </w:rPr>
                    <w:t>2</w:t>
                  </w:r>
                  <w:r>
                    <w:rPr>
                      <w:rFonts w:hint="default" w:ascii="Times New Roman" w:hAnsi="Times New Roman"/>
                      <w:color w:val="auto"/>
                      <w:sz w:val="21"/>
                      <w:szCs w:val="21"/>
                    </w:rPr>
                    <w:t>.</w:t>
                  </w:r>
                  <w:r>
                    <w:rPr>
                      <w:rFonts w:hint="eastAsia" w:ascii="Times New Roman" w:hAnsi="Times New Roman"/>
                      <w:color w:val="auto"/>
                      <w:sz w:val="21"/>
                      <w:szCs w:val="21"/>
                    </w:rPr>
                    <w:t>本项目不属于电力、钢铁、建材、有色、化工、石油石化、船舶、煤炭、印染、造纸、制革、染料、焦化、电镀等行业。</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本项目选址位于项目位于</w:t>
            </w:r>
            <w:r>
              <w:rPr>
                <w:rFonts w:hint="eastAsia" w:cs="Times New Roman"/>
                <w:color w:val="auto"/>
                <w:kern w:val="0"/>
                <w:sz w:val="24"/>
                <w:szCs w:val="24"/>
                <w:highlight w:val="none"/>
                <w:lang w:val="en-US" w:eastAsia="zh-CN"/>
              </w:rPr>
              <w:t>伊春市嘉荫县乌拉嘎镇金水村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snapToGrid w:val="0"/>
                <w:color w:val="auto"/>
                <w:kern w:val="0"/>
                <w:sz w:val="24"/>
                <w:szCs w:val="24"/>
                <w:highlight w:val="none"/>
              </w:rPr>
              <w:t>本项目选址占地性质为</w:t>
            </w:r>
            <w:r>
              <w:rPr>
                <w:rFonts w:hint="eastAsia" w:cs="Times New Roman"/>
                <w:snapToGrid w:val="0"/>
                <w:color w:val="auto"/>
                <w:kern w:val="0"/>
                <w:sz w:val="24"/>
                <w:szCs w:val="24"/>
                <w:highlight w:val="none"/>
                <w:lang w:val="en-US" w:eastAsia="zh-CN"/>
              </w:rPr>
              <w:t>设施农</w:t>
            </w:r>
            <w:r>
              <w:rPr>
                <w:rFonts w:hint="default" w:ascii="Times New Roman" w:hAnsi="Times New Roman" w:cs="Times New Roman"/>
                <w:snapToGrid w:val="0"/>
                <w:color w:val="auto"/>
                <w:kern w:val="0"/>
                <w:sz w:val="24"/>
                <w:szCs w:val="24"/>
                <w:highlight w:val="none"/>
                <w:lang w:eastAsia="zh-CN"/>
              </w:rPr>
              <w:t>用地</w:t>
            </w:r>
            <w:r>
              <w:rPr>
                <w:rFonts w:hint="default" w:ascii="Times New Roman" w:hAnsi="Times New Roman" w:cs="Times New Roman"/>
                <w:snapToGrid w:val="0"/>
                <w:color w:val="auto"/>
                <w:kern w:val="0"/>
                <w:sz w:val="24"/>
                <w:szCs w:val="24"/>
                <w:highlight w:val="none"/>
              </w:rPr>
              <w:t>，并采取了有效、可行的污染治理措施，各项污染物均可达标排放，本项目建设对周围环境影响较小，因此本项目符合</w:t>
            </w:r>
            <w:r>
              <w:rPr>
                <w:rFonts w:hint="eastAsia" w:ascii="Times New Roman" w:hAnsi="Times New Roman" w:cs="Times New Roman"/>
                <w:color w:val="auto"/>
                <w:kern w:val="0"/>
                <w:sz w:val="24"/>
                <w:szCs w:val="24"/>
                <w:highlight w:val="none"/>
              </w:rPr>
              <w:t>《伊春市人民政府 关于实施“三线一单”生态环境分区管控意见》伊政规〔2021〕6号</w:t>
            </w:r>
            <w:r>
              <w:rPr>
                <w:rFonts w:hint="default" w:ascii="Times New Roman" w:hAnsi="Times New Roman" w:cs="Times New Roman"/>
                <w:snapToGrid w:val="0"/>
                <w:color w:val="auto"/>
                <w:kern w:val="0"/>
                <w:sz w:val="24"/>
                <w:szCs w:val="24"/>
                <w:highlight w:val="none"/>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snapToGrid w:val="0"/>
                <w:color w:val="auto"/>
                <w:kern w:val="0"/>
                <w:sz w:val="24"/>
                <w:szCs w:val="24"/>
                <w:highlight w:val="none"/>
              </w:rPr>
              <w:t>中要求。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根据《产业结构调整指导目录》(2024年本)，本项目属于第一类 鼓励类中一、农林业 26 农林牧渔产品储运、保鲜、加工与综合利用，因此本项目的建设符合国家产业政策。</w:t>
            </w:r>
            <w:r>
              <w:rPr>
                <w:rFonts w:hint="eastAsia"/>
                <w:color w:val="auto"/>
                <w:sz w:val="24"/>
                <w:lang w:val="en-US" w:eastAsia="zh-CN"/>
              </w:rPr>
              <w:t>本项目热风炉为6t/h燃生物质热风炉，不属于淘汰类设备，因此本</w:t>
            </w:r>
            <w:r>
              <w:rPr>
                <w:color w:val="auto"/>
                <w:sz w:val="24"/>
              </w:rPr>
              <w:t>项目建设符合国家产业政策。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本项目位于黑龙江省</w:t>
            </w:r>
            <w:r>
              <w:rPr>
                <w:rFonts w:hint="eastAsia" w:cs="Times New Roman"/>
                <w:color w:val="auto"/>
                <w:sz w:val="24"/>
                <w:szCs w:val="24"/>
                <w:highlight w:val="none"/>
                <w:lang w:val="en-US" w:eastAsia="zh-CN"/>
              </w:rPr>
              <w:t>伊春市嘉荫县乌拉嘎镇金水村</w:t>
            </w:r>
            <w:r>
              <w:rPr>
                <w:rFonts w:hint="default" w:ascii="Times New Roman" w:hAnsi="Times New Roman" w:eastAsia="宋体" w:cs="Times New Roman"/>
                <w:color w:val="auto"/>
                <w:kern w:val="2"/>
                <w:sz w:val="24"/>
                <w:szCs w:val="24"/>
                <w:highlight w:val="none"/>
                <w:lang w:val="en-US" w:eastAsia="zh-CN" w:bidi="ar"/>
              </w:rPr>
              <w:t>，用地性质为</w:t>
            </w:r>
            <w:r>
              <w:rPr>
                <w:rFonts w:hint="eastAsia" w:cs="Times New Roman"/>
                <w:color w:val="auto"/>
                <w:kern w:val="2"/>
                <w:sz w:val="24"/>
                <w:szCs w:val="24"/>
                <w:highlight w:val="none"/>
                <w:lang w:val="en-US" w:eastAsia="zh-CN" w:bidi="ar"/>
              </w:rPr>
              <w:t>设施农</w:t>
            </w:r>
            <w:r>
              <w:rPr>
                <w:rFonts w:hint="default" w:ascii="Times New Roman" w:hAnsi="Times New Roman" w:eastAsia="宋体" w:cs="Times New Roman"/>
                <w:color w:val="auto"/>
                <w:kern w:val="2"/>
                <w:sz w:val="24"/>
                <w:szCs w:val="24"/>
                <w:highlight w:val="none"/>
                <w:lang w:val="en-US" w:eastAsia="zh-CN" w:bidi="ar"/>
              </w:rPr>
              <w:t>用地，行业类别与用地性质相符</w:t>
            </w:r>
            <w:r>
              <w:rPr>
                <w:rFonts w:hint="eastAsia" w:ascii="Times New Roman" w:hAnsi="Times New Roman" w:eastAsia="宋体" w:cs="Times New Roman"/>
                <w:color w:val="auto"/>
                <w:kern w:val="2"/>
                <w:sz w:val="24"/>
                <w:szCs w:val="24"/>
                <w:highlight w:val="none"/>
                <w:lang w:val="en-US" w:eastAsia="zh-CN" w:bidi="ar"/>
              </w:rPr>
              <w:t>，土地相关文件见附件2，项目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Y036乡路</w:t>
            </w:r>
            <w:r>
              <w:rPr>
                <w:rFonts w:hint="default" w:ascii="Times New Roman" w:hAnsi="Times New Roman" w:eastAsia="宋体" w:cs="Times New Roman"/>
                <w:color w:val="auto"/>
                <w:kern w:val="2"/>
                <w:sz w:val="24"/>
                <w:szCs w:val="24"/>
                <w:highlight w:val="none"/>
                <w:lang w:val="en-US" w:eastAsia="zh-CN" w:bidi="ar-SA"/>
              </w:rPr>
              <w:t>，西侧为</w:t>
            </w:r>
            <w:r>
              <w:rPr>
                <w:rFonts w:hint="eastAsia" w:cs="Times New Roman"/>
                <w:color w:val="auto"/>
                <w:kern w:val="2"/>
                <w:sz w:val="24"/>
                <w:szCs w:val="24"/>
                <w:highlight w:val="none"/>
                <w:lang w:val="en-US" w:eastAsia="zh-CN" w:bidi="ar-SA"/>
              </w:rPr>
              <w:t>金水村居民</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村路</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金水村居民</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本项目燃生物质热风炉烟气经除尘效率为99%的布袋除尘器处理后经15m高烟囱排放，颗粒物排放浓度满足《工业炉窑大气污染物排放标准》（GB9078-1996）中的表2中的二级标准，SO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满足《工业炉窑大气污染物排放标准》（GB9078-1996）中的表4中的二级标准。烟气黑度满足《工业炉窑大气污染物排放标准》（GB9078-1996）中的表2中的二级标准。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lang w:val="en-US" w:eastAsia="zh-CN"/>
              </w:rPr>
              <w:t>4、与《黑龙江省工业炉窑大气污染综合治理方案》（黑环发[2019]144号）符合性分析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黑龙江省工业炉窑大气污染综合治理方案》（黑环发〔2019〕144号），本项目不属于钢铁、焦化、电解铝、铸造、水泥和平板玻璃等产能过剩行业，符合文件中“二、重点任务：（一）加大产业结构调整力度”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本项目烘干塔热风炉燃用生物质压块燃料，不涉及燃煤及煤气发生炉设备，符合文件中“二、重点任务：（二）加快燃料清洁低碳化替代”中的相关要求。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配设布袋除尘器及15m排气筒，可使热风炉烟气达标排放；本项目粮食仓库封闭，输送传送带封闭设置，运输车辆进入粮食仓库内装卸料，装卸区设置遮挡设施，清选工艺采用封闭式清理筛，通过上述措施可使厂界颗粒物无组织达标排放，符合文件中“二、重点任务：（三）实施污染深度治理。推进工业炉窑全面达标排放。”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综上所述，本项目符合《黑龙江省工业炉窑大气污染综合治理方案》（黑环发[2019]144号）中的相关要求。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sz w:val="24"/>
                <w:szCs w:val="24"/>
                <w:highlight w:val="none"/>
                <w:lang w:val="en-US" w:eastAsia="zh-CN"/>
              </w:rPr>
              <w:t>与《工业炉窑大气污染综合治理方案》(环大气[2019]56号)符合性分析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业炉窑大气污染综合治理方案》中提出：（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 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热风炉属于工业炉窑，但由于项目为区域粮食服务，不属于《工业炉窑大气污染综合治理方案》中所列的行业，结合黑龙江省现有粮食烘干企业的情况，目前均未要求粮食烘干企业进驻工业园区的要求。热风炉燃料为生物质，燃生物质热风炉烟气经除尘效率为99%的布袋除尘器处理后经15m高烟囱排放，颗粒物排放浓度执行《工业炉窑大气污染物排放标准》（GB9078-1996）中的表2中的二级标准，汞、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综上分析，本项目符合《工业炉窑大气污染综合治理方案》相关要求。</w:t>
            </w:r>
          </w:p>
          <w:p>
            <w:pPr>
              <w:pStyle w:val="38"/>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6、与《黑龙江省大气污染防治行动计划实施细则》符合性分析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热力生产和供应、农产品初加工类项目，不属于电力、冶金、石油石化、建材、焦化等重点行业，不属于钢铁、水泥、平板玻璃、电解铝等严重过剩产能项目，不属于上述高污染、高耗能行业，本项目燃生物质热风炉烟气经除尘效率为99%的布袋除尘器处理后经15m高烟囱排放，颗粒物排放浓度执行《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，烘干塔烘干废气经折流挡板和塔顶排气孔滤尘网过滤后排放。采取措施后厂区内污染物排放量小，对环境空气影响较小，因此本项目符合《黑龙江省大气污染防治行动计划实施细则》要求。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、与《环境空气细颗粒物污染综合防治技术政策》（中华人民共和国环境保护部公告2013年第59号）符合性分析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（十一）应加强对各类污染源的监管，确保污染治理设施稳定运行，切实落实企业环保责任。鼓励采用低能耗、低污染的生产工艺，提高各个行业的清洁生产水平，降低污染物产生量。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（十三）对于排放细颗粒物的工业污染源，应按照生产工艺、排放方式和烟（废）气组成的特点，选取适用的污染防治技术。工业污染源有组织排放的颗粒物，宜</w:t>
            </w:r>
            <w:r>
              <w:rPr>
                <w:rFonts w:hint="default" w:ascii="Times New Roman" w:hAnsi="Times New Roman" w:eastAsia="宋体" w:cs="Times New Roman"/>
                <w:bCs/>
                <w:color w:val="auto"/>
                <w:kern w:val="0"/>
                <w:sz w:val="24"/>
                <w:highlight w:val="none"/>
                <w:lang w:val="en-US" w:eastAsia="zh-CN"/>
              </w:rPr>
              <w:t xml:space="preserve">采取袋除尘、电除尘、电袋除尘等高效除尘技术，鼓励火电机组和大型燃煤锅炉采用湿式电除尘等新技术。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（十五）产生大气颗粒物及其前体物污染物的生产活动应尽量采用密闭装置，避免无组织排放；无法完全密闭的，应安装集气装置收集逸散的污染物，经净化后排放。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highlight w:val="none"/>
              </w:rPr>
              <w:t>本项目热风炉烟气经除尘效率为99%的布袋除尘器处理后经15m高烟囱排放，颗粒物</w:t>
            </w:r>
            <w:r>
              <w:rPr>
                <w:rFonts w:hint="default" w:ascii="Times New Roman" w:hAnsi="Times New Roman" w:eastAsia="宋体" w:cs="Times New Roman"/>
                <w:color w:val="auto"/>
                <w:kern w:val="0"/>
                <w:sz w:val="24"/>
                <w:highlight w:val="none"/>
                <w:lang w:val="en-US" w:eastAsia="zh-CN"/>
              </w:rPr>
              <w:t>和烟气黑度</w:t>
            </w:r>
            <w:r>
              <w:rPr>
                <w:rFonts w:hint="default" w:ascii="Times New Roman" w:hAnsi="Times New Roman" w:eastAsia="宋体" w:cs="Times New Roman"/>
                <w:color w:val="auto"/>
                <w:kern w:val="0"/>
                <w:sz w:val="24"/>
                <w:highlight w:val="none"/>
              </w:rPr>
              <w:t>排放执行《工业炉窑大气污染物排放标准》（GB9078-1996）中的表2中的二级标准，SO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排放浓度执行《工业炉窑大气污染物排放标准》（GB9078-1996）中的表4中的二级标准。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highlight w:val="none"/>
              </w:rPr>
              <w:t>粮食烘干、筛选、装卸、输送生产过程中</w:t>
            </w:r>
            <w:r>
              <w:rPr>
                <w:rFonts w:hint="default" w:ascii="Times New Roman" w:hAnsi="Times New Roman" w:eastAsia="宋体" w:cs="Times New Roman"/>
                <w:color w:val="auto"/>
                <w:kern w:val="0"/>
                <w:sz w:val="24"/>
                <w:highlight w:val="none"/>
                <w:lang w:val="en-US" w:eastAsia="zh-CN"/>
              </w:rPr>
              <w:t>采取</w:t>
            </w:r>
            <w:r>
              <w:rPr>
                <w:rFonts w:hint="default" w:ascii="Times New Roman" w:hAnsi="Times New Roman" w:eastAsia="宋体" w:cs="Times New Roman"/>
                <w:color w:val="auto"/>
                <w:kern w:val="0"/>
                <w:sz w:val="24"/>
                <w:highlight w:val="none"/>
              </w:rPr>
              <w:t>烘干塔钢罩收集、储粮库密闭、封闭输送等措施</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rPr>
              <w:t>项目采取措施符合《环境空气细颗粒物污染综合防治技术政策》（中华人民共和国环境保护部公告2013年第59号）要求。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“十四五”生态环境保护规划》符合性分析</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规划要求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组织开展重点排放单位数据报送及核查、发电行业重点排放单位开户及配额预分配和清缴。强化移动源污染治理，加强在用机动车污染治理，精细化管控道路、交通、拆迁等各类扬尘污染，降尘量大幅降低，空气质量稳步改善。</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项目烘干粮食所采用的热风炉燃料为生物质成型燃料，同时安装布袋除尘器，产生的废气经15m高排气筒排放。符合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w:t>
            </w:r>
          </w:p>
          <w:p>
            <w:pPr>
              <w:pStyle w:val="38"/>
              <w:jc w:val="both"/>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16" w:name="_Toc3913"/>
      <w:bookmarkStart w:id="17" w:name="_Toc31158"/>
      <w:r>
        <w:rPr>
          <w:rFonts w:hint="default" w:ascii="Times New Roman" w:hAnsi="Times New Roman" w:eastAsia="黑体" w:cs="Times New Roman"/>
          <w:snapToGrid w:val="0"/>
          <w:color w:val="auto"/>
          <w:sz w:val="30"/>
          <w:szCs w:val="30"/>
        </w:rPr>
        <w:t>二、建设项目工程分析</w:t>
      </w:r>
      <w:bookmarkEnd w:id="16"/>
      <w:bookmarkEnd w:id="17"/>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8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836" w:type="dxa"/>
            <w:noWrap w:val="0"/>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802" w:type="dxa"/>
            <w:noWrap w:val="0"/>
            <w:vAlign w:val="center"/>
          </w:tcPr>
          <w:p>
            <w:pPr>
              <w:numPr>
                <w:ilvl w:val="0"/>
                <w:numId w:val="3"/>
              </w:numPr>
              <w:spacing w:line="360" w:lineRule="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项目概况</w:t>
            </w:r>
          </w:p>
          <w:p>
            <w:pPr>
              <w:spacing w:line="360" w:lineRule="auto"/>
              <w:ind w:firstLine="480" w:firstLineChars="200"/>
              <w:textAlignment w:val="baseline"/>
              <w:rPr>
                <w:rFonts w:hint="default" w:ascii="Times New Roman" w:hAnsi="Times New Roman" w:cs="Times New Roman"/>
                <w:color w:val="auto"/>
                <w:sz w:val="24"/>
                <w:highlight w:val="none"/>
                <w:u w:val="single"/>
                <w:lang w:val="en-US"/>
              </w:rPr>
            </w:pPr>
            <w:r>
              <w:rPr>
                <w:rFonts w:hint="default" w:ascii="Times New Roman" w:hAnsi="Times New Roman" w:cs="Times New Roman"/>
                <w:color w:val="auto"/>
                <w:sz w:val="24"/>
              </w:rPr>
              <w:t>（</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sz w:val="24"/>
              </w:rPr>
              <w:t>占地面</w:t>
            </w:r>
            <w:r>
              <w:rPr>
                <w:rFonts w:hint="default" w:ascii="Times New Roman" w:hAnsi="Times New Roman" w:cs="Times New Roman"/>
                <w:color w:val="auto"/>
                <w:sz w:val="24"/>
                <w:szCs w:val="24"/>
              </w:rPr>
              <w:t>积：</w:t>
            </w:r>
            <w:r>
              <w:rPr>
                <w:rFonts w:hint="eastAsia" w:cs="Times New Roman"/>
                <w:color w:val="auto"/>
                <w:sz w:val="24"/>
                <w:szCs w:val="24"/>
                <w:highlight w:val="none"/>
                <w:vertAlign w:val="baseline"/>
                <w:lang w:val="en-US" w:eastAsia="zh-CN"/>
              </w:rPr>
              <w:t>占地面积4250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）建设规</w:t>
            </w:r>
            <w:r>
              <w:rPr>
                <w:rFonts w:hint="default" w:ascii="Times New Roman" w:hAnsi="Times New Roman" w:eastAsia="宋体" w:cs="Times New Roman"/>
                <w:color w:val="auto"/>
                <w:sz w:val="24"/>
                <w:szCs w:val="24"/>
                <w:highlight w:val="none"/>
                <w:lang w:val="en-US" w:eastAsia="zh-CN"/>
              </w:rPr>
              <w:t>模：主要建设内容包括一台</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t/h的燃生物质热风炉，配备一座烘干能力为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及相关配套设施，本项目</w:t>
            </w:r>
            <w:r>
              <w:rPr>
                <w:rFonts w:hint="eastAsia" w:ascii="Times New Roman" w:hAnsi="Times New Roman" w:eastAsia="宋体" w:cs="Times New Roman"/>
                <w:color w:val="auto"/>
                <w:sz w:val="24"/>
                <w:szCs w:val="24"/>
                <w:highlight w:val="none"/>
                <w:lang w:val="en-US" w:eastAsia="zh-CN"/>
              </w:rPr>
              <w:t>年烘干</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天，年烘干玉米1</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000t。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）项目投资：该项目总投资</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00</w:t>
            </w:r>
            <w:r>
              <w:rPr>
                <w:rFonts w:hint="default" w:ascii="Times New Roman" w:hAnsi="Times New Roman" w:cs="Times New Roman"/>
                <w:color w:val="auto"/>
                <w:sz w:val="24"/>
              </w:rPr>
              <w:t>万元</w:t>
            </w:r>
          </w:p>
          <w:p>
            <w:pPr>
              <w:spacing w:line="360" w:lineRule="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r>
              <w:rPr>
                <w:rFonts w:hint="default" w:ascii="Times New Roman" w:hAnsi="Times New Roman" w:cs="Times New Roman"/>
                <w:color w:val="auto"/>
                <w:sz w:val="24"/>
                <w:szCs w:val="24"/>
                <w:highlight w:val="none"/>
                <w:lang w:val="en-US" w:eastAsia="zh-CN"/>
              </w:rPr>
              <w:t>主要建设内容包括一台</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t/h的燃生物质热风炉，配备一座烘干能力为</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00t/d的烘干塔，</w:t>
            </w:r>
            <w:r>
              <w:rPr>
                <w:rFonts w:hint="eastAsia" w:ascii="Times New Roman" w:hAnsi="Times New Roman" w:cs="Times New Roman"/>
                <w:color w:val="auto"/>
                <w:sz w:val="24"/>
                <w:szCs w:val="24"/>
                <w:highlight w:val="none"/>
                <w:lang w:val="en-US" w:eastAsia="zh-CN"/>
              </w:rPr>
              <w:t>一座干粮</w:t>
            </w:r>
            <w:r>
              <w:rPr>
                <w:rFonts w:hint="eastAsia" w:cs="Times New Roman"/>
                <w:color w:val="auto"/>
                <w:sz w:val="24"/>
                <w:szCs w:val="24"/>
                <w:highlight w:val="none"/>
                <w:lang w:val="en-US" w:eastAsia="zh-CN"/>
              </w:rPr>
              <w:t>仓</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配套建设灰渣库、燃料库等辅助工程，项目年烘干玉米</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000吨。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pPr>
              <w:pStyle w:val="80"/>
              <w:adjustRightInd/>
              <w:snapToGrid/>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rPr>
              <w:t>建设项目组成一览表</w:t>
            </w:r>
          </w:p>
          <w:tbl>
            <w:tblPr>
              <w:tblStyle w:val="32"/>
              <w:tblW w:w="8504" w:type="dxa"/>
              <w:tblInd w:w="73"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115"/>
              <w:gridCol w:w="1059"/>
              <w:gridCol w:w="506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217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建设规模及内容</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主体工程</w:t>
                  </w: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烘干塔</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1座烘干塔。用于玉米的烘干，烘干能力为</w:t>
                  </w:r>
                  <w:r>
                    <w:rPr>
                      <w:rFonts w:hint="eastAsia"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val="en-US" w:eastAsia="zh-CN"/>
                    </w:rPr>
                    <w:t>00 t/d</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热风炉房</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1座，砖混结构，建筑面积为</w:t>
                  </w:r>
                  <w:r>
                    <w:rPr>
                      <w:rFonts w:hint="eastAsia" w:ascii="Times New Roman" w:hAnsi="Times New Roman" w:eastAsia="宋体" w:cs="Times New Roman"/>
                      <w:bCs/>
                      <w:color w:val="auto"/>
                      <w:sz w:val="21"/>
                      <w:szCs w:val="21"/>
                      <w:highlight w:val="none"/>
                      <w:lang w:val="en-US" w:eastAsia="zh-CN"/>
                    </w:rPr>
                    <w:t>8</w:t>
                  </w:r>
                  <w:r>
                    <w:rPr>
                      <w:rFonts w:hint="eastAsia"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lang w:val="en-US" w:eastAsia="zh-CN"/>
                    </w:rPr>
                    <w:t>，热风炉配备布袋除尘器和15m高烟囱。</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仓储库</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建设</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仓储库</w:t>
                  </w:r>
                  <w:r>
                    <w:rPr>
                      <w:rFonts w:hint="eastAsia" w:ascii="Times New Roman" w:hAnsi="Times New Roman" w:cs="Times New Roman"/>
                      <w:color w:val="auto"/>
                      <w:sz w:val="21"/>
                      <w:szCs w:val="21"/>
                      <w:highlight w:val="none"/>
                      <w:lang w:val="en-US" w:eastAsia="zh-CN"/>
                    </w:rPr>
                    <w:t>，建筑面积</w:t>
                  </w:r>
                  <w:r>
                    <w:rPr>
                      <w:rFonts w:hint="eastAsia" w:cs="Times New Roman"/>
                      <w:color w:val="auto"/>
                      <w:sz w:val="21"/>
                      <w:szCs w:val="21"/>
                      <w:highlight w:val="none"/>
                      <w:lang w:val="en-US" w:eastAsia="zh-CN"/>
                    </w:rPr>
                    <w:t>720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高度4.5m，</w:t>
                  </w:r>
                  <w:r>
                    <w:rPr>
                      <w:rFonts w:hint="default" w:ascii="Times New Roman" w:hAnsi="Times New Roman" w:eastAsia="宋体" w:cs="Times New Roman"/>
                      <w:color w:val="auto"/>
                      <w:sz w:val="21"/>
                      <w:szCs w:val="21"/>
                      <w:highlight w:val="none"/>
                      <w:vertAlign w:val="baseline"/>
                      <w:lang w:val="en-US" w:eastAsia="zh-CN"/>
                    </w:rPr>
                    <w:t>储存能力为</w:t>
                  </w:r>
                  <w:r>
                    <w:rPr>
                      <w:rFonts w:hint="eastAsia" w:cs="Times New Roman"/>
                      <w:color w:val="auto"/>
                      <w:sz w:val="21"/>
                      <w:szCs w:val="21"/>
                      <w:highlight w:val="none"/>
                      <w:vertAlign w:val="baseline"/>
                      <w:lang w:val="en-US" w:eastAsia="zh-CN"/>
                    </w:rPr>
                    <w:t>1500</w:t>
                  </w:r>
                  <w:r>
                    <w:rPr>
                      <w:rFonts w:hint="default" w:ascii="Times New Roman" w:hAnsi="Times New Roman" w:eastAsia="宋体"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原粮库</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建设一座原粮库</w:t>
                  </w:r>
                  <w:r>
                    <w:rPr>
                      <w:rFonts w:hint="eastAsia" w:ascii="Times New Roman" w:hAnsi="Times New Roman" w:cs="Times New Roman"/>
                      <w:color w:val="auto"/>
                      <w:sz w:val="21"/>
                      <w:szCs w:val="21"/>
                      <w:highlight w:val="none"/>
                      <w:lang w:val="en-US" w:eastAsia="zh-CN"/>
                    </w:rPr>
                    <w:t>，原粮</w:t>
                  </w:r>
                  <w:r>
                    <w:rPr>
                      <w:rFonts w:hint="eastAsia" w:cs="Times New Roman"/>
                      <w:color w:val="auto"/>
                      <w:sz w:val="21"/>
                      <w:szCs w:val="21"/>
                      <w:highlight w:val="none"/>
                      <w:lang w:val="en-US" w:eastAsia="zh-CN"/>
                    </w:rPr>
                    <w:t>储存，储存能力400t</w:t>
                  </w:r>
                </w:p>
              </w:tc>
              <w:tc>
                <w:tcPr>
                  <w:tcW w:w="1262" w:type="dxa"/>
                  <w:tcBorders>
                    <w:tl2br w:val="nil"/>
                    <w:tr2bl w:val="nil"/>
                  </w:tcBorders>
                  <w:shd w:val="clear" w:color="auto" w:fill="FFFFFF"/>
                  <w:noWrap w:val="0"/>
                  <w:vAlign w:val="center"/>
                </w:tcPr>
                <w:p>
                  <w:pPr>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w:t>
                  </w:r>
                  <w:r>
                    <w:rPr>
                      <w:rFonts w:hint="default" w:ascii="Times New Roman" w:hAnsi="Times New Roman" w:eastAsia="宋体" w:cs="Times New Roman"/>
                      <w:color w:val="auto"/>
                      <w:sz w:val="21"/>
                      <w:szCs w:val="21"/>
                      <w:highlight w:val="none"/>
                      <w:lang w:eastAsia="zh-CN"/>
                    </w:rPr>
                    <w:t>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default" w:ascii="Times New Roman" w:hAnsi="Times New Roman" w:eastAsia="宋体" w:cs="Times New Roman"/>
                      <w:color w:val="auto"/>
                      <w:spacing w:val="-2"/>
                      <w:sz w:val="21"/>
                      <w:szCs w:val="21"/>
                      <w:highlight w:val="none"/>
                      <w:lang w:val="en-US" w:eastAsia="zh-CN"/>
                    </w:rPr>
                    <w:t>20m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灰渣暂存于灰渣</w:t>
                  </w:r>
                  <w:r>
                    <w:rPr>
                      <w:rFonts w:hint="default" w:ascii="Times New Roman" w:hAnsi="Times New Roman" w:eastAsia="宋体" w:cs="Times New Roman"/>
                      <w:color w:val="auto"/>
                      <w:spacing w:val="-2"/>
                      <w:sz w:val="21"/>
                      <w:szCs w:val="21"/>
                      <w:highlight w:val="none"/>
                      <w:lang w:eastAsia="zh-CN"/>
                    </w:rPr>
                    <w:t>库内，最大存储能力为</w:t>
                  </w:r>
                  <w:r>
                    <w:rPr>
                      <w:rFonts w:hint="default" w:ascii="Times New Roman" w:hAnsi="Times New Roman" w:eastAsia="宋体" w:cs="Times New Roman"/>
                      <w:color w:val="auto"/>
                      <w:spacing w:val="-2"/>
                      <w:sz w:val="21"/>
                      <w:szCs w:val="21"/>
                      <w:highlight w:val="none"/>
                      <w:lang w:val="en-US" w:eastAsia="zh-CN"/>
                    </w:rPr>
                    <w:t>25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43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燃料库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eastAsia" w:eastAsia="宋体" w:cs="Times New Roman"/>
                      <w:color w:val="auto"/>
                      <w:spacing w:val="-2"/>
                      <w:sz w:val="21"/>
                      <w:szCs w:val="21"/>
                      <w:highlight w:val="none"/>
                      <w:lang w:val="en-US" w:eastAsia="zh-CN"/>
                    </w:rPr>
                    <w:t>20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eastAsia="zh-CN"/>
                    </w:rPr>
                    <w:t>燃料</w:t>
                  </w:r>
                  <w:r>
                    <w:rPr>
                      <w:rFonts w:hint="default" w:ascii="Times New Roman" w:hAnsi="Times New Roman" w:eastAsia="宋体" w:cs="Times New Roman"/>
                      <w:color w:val="auto"/>
                      <w:spacing w:val="-2"/>
                      <w:sz w:val="21"/>
                      <w:szCs w:val="21"/>
                      <w:highlight w:val="none"/>
                    </w:rPr>
                    <w:t>暂存于</w:t>
                  </w:r>
                  <w:r>
                    <w:rPr>
                      <w:rFonts w:hint="default" w:ascii="Times New Roman" w:hAnsi="Times New Roman" w:eastAsia="宋体" w:cs="Times New Roman"/>
                      <w:color w:val="auto"/>
                      <w:spacing w:val="-2"/>
                      <w:sz w:val="21"/>
                      <w:szCs w:val="21"/>
                      <w:highlight w:val="none"/>
                      <w:lang w:eastAsia="zh-CN"/>
                    </w:rPr>
                    <w:t>燃料库内，最大存储能力为</w:t>
                  </w:r>
                  <w:r>
                    <w:rPr>
                      <w:rFonts w:hint="eastAsia" w:eastAsia="宋体" w:cs="Times New Roman"/>
                      <w:color w:val="auto"/>
                      <w:spacing w:val="-2"/>
                      <w:sz w:val="21"/>
                      <w:szCs w:val="21"/>
                      <w:highlight w:val="none"/>
                      <w:lang w:val="en-US" w:eastAsia="zh-CN"/>
                    </w:rPr>
                    <w:t>50</w:t>
                  </w:r>
                  <w:r>
                    <w:rPr>
                      <w:rFonts w:hint="default" w:ascii="Times New Roman" w:hAnsi="Times New Roman" w:eastAsia="宋体" w:cs="Times New Roman"/>
                      <w:color w:val="auto"/>
                      <w:spacing w:val="-2"/>
                      <w:sz w:val="21"/>
                      <w:szCs w:val="21"/>
                      <w:highlight w:val="none"/>
                      <w:lang w:val="en-US" w:eastAsia="zh-CN"/>
                    </w:rPr>
                    <w:t xml:space="preserve">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项目无生产用水，生活用水</w:t>
                  </w:r>
                  <w:r>
                    <w:rPr>
                      <w:rFonts w:hint="eastAsia" w:ascii="Times New Roman" w:hAnsi="Times New Roman" w:eastAsia="宋体" w:cs="Times New Roman"/>
                      <w:color w:val="auto"/>
                      <w:sz w:val="21"/>
                      <w:szCs w:val="21"/>
                      <w:highlight w:val="none"/>
                      <w:lang w:val="en-US" w:eastAsia="zh-CN"/>
                    </w:rPr>
                    <w:t>外购桶装水</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无生产废水，员工</w:t>
                  </w:r>
                  <w:r>
                    <w:rPr>
                      <w:rFonts w:hint="eastAsia" w:ascii="Times New Roman" w:hAnsi="Times New Roman" w:eastAsia="宋体" w:cs="Times New Roman"/>
                      <w:color w:val="auto"/>
                      <w:kern w:val="0"/>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排入防渗旱厕，定期清掏外运堆肥。</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供热</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生产供热由一台</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t/h燃生物质热风炉提供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用电由</w:t>
                  </w:r>
                  <w:r>
                    <w:rPr>
                      <w:rFonts w:hint="default" w:ascii="Times New Roman" w:hAnsi="Times New Roman" w:eastAsia="宋体" w:cs="Times New Roman"/>
                      <w:color w:val="auto"/>
                      <w:sz w:val="21"/>
                      <w:szCs w:val="21"/>
                      <w:highlight w:val="none"/>
                      <w:lang w:val="en-US" w:eastAsia="zh-CN"/>
                    </w:rPr>
                    <w:t>国家电网</w:t>
                  </w:r>
                  <w:r>
                    <w:rPr>
                      <w:rFonts w:hint="default" w:ascii="Times New Roman" w:hAnsi="Times New Roman" w:eastAsia="宋体" w:cs="Times New Roman"/>
                      <w:color w:val="auto"/>
                      <w:sz w:val="21"/>
                      <w:szCs w:val="21"/>
                      <w:highlight w:val="none"/>
                      <w:lang w:eastAsia="zh-CN"/>
                    </w:rPr>
                    <w:t>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059"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热风炉烟气</w:t>
                  </w:r>
                  <w:r>
                    <w:rPr>
                      <w:rFonts w:hint="default" w:ascii="Times New Roman" w:hAnsi="Times New Roman" w:eastAsia="宋体" w:cs="Times New Roman"/>
                      <w:bCs/>
                      <w:color w:val="auto"/>
                      <w:sz w:val="21"/>
                      <w:szCs w:val="21"/>
                      <w:highlight w:val="none"/>
                    </w:rPr>
                    <w:t>经</w:t>
                  </w:r>
                  <w:r>
                    <w:rPr>
                      <w:rFonts w:hint="default" w:ascii="Times New Roman" w:hAnsi="Times New Roman" w:eastAsia="宋体" w:cs="Times New Roman"/>
                      <w:bCs/>
                      <w:color w:val="auto"/>
                      <w:sz w:val="21"/>
                      <w:szCs w:val="21"/>
                      <w:highlight w:val="none"/>
                      <w:lang w:eastAsia="zh-CN"/>
                    </w:rPr>
                    <w:t>布袋除尘器处理后由</w:t>
                  </w:r>
                  <w:r>
                    <w:rPr>
                      <w:rFonts w:hint="default" w:ascii="Times New Roman" w:hAnsi="Times New Roman" w:eastAsia="宋体" w:cs="Times New Roman"/>
                      <w:bCs/>
                      <w:color w:val="auto"/>
                      <w:sz w:val="21"/>
                      <w:szCs w:val="21"/>
                      <w:highlight w:val="none"/>
                    </w:rPr>
                    <w:t>15m高</w:t>
                  </w:r>
                  <w:r>
                    <w:rPr>
                      <w:rFonts w:hint="default" w:ascii="Times New Roman" w:hAnsi="Times New Roman" w:eastAsia="宋体" w:cs="Times New Roman"/>
                      <w:bCs/>
                      <w:color w:val="auto"/>
                      <w:sz w:val="21"/>
                      <w:szCs w:val="21"/>
                      <w:highlight w:val="none"/>
                      <w:lang w:eastAsia="zh-CN"/>
                    </w:rPr>
                    <w:t>烟囱</w:t>
                  </w:r>
                  <w:r>
                    <w:rPr>
                      <w:rFonts w:hint="default" w:ascii="Times New Roman" w:hAnsi="Times New Roman" w:eastAsia="宋体" w:cs="Times New Roman"/>
                      <w:bCs/>
                      <w:color w:val="auto"/>
                      <w:sz w:val="21"/>
                      <w:szCs w:val="21"/>
                      <w:highlight w:val="none"/>
                    </w:rPr>
                    <w:t>高空排放</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烟尘、SO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vertAlign w:val="baseline"/>
                      <w:lang w:val="en-US" w:eastAsia="zh-CN" w:bidi="ar"/>
                    </w:rPr>
                    <w:t>、烟气黑度均</w:t>
                  </w:r>
                  <w:r>
                    <w:rPr>
                      <w:rFonts w:hint="default" w:ascii="Times New Roman" w:hAnsi="Times New Roman" w:eastAsia="宋体" w:cs="Times New Roman"/>
                      <w:color w:val="auto"/>
                      <w:kern w:val="0"/>
                      <w:sz w:val="21"/>
                      <w:szCs w:val="21"/>
                      <w:highlight w:val="none"/>
                      <w:lang w:val="en-US" w:eastAsia="zh-CN" w:bidi="ar"/>
                    </w:rPr>
                    <w:t>满足《工业炉窑大气污染物排放标准》(GB9078-1996)中标准要求</w:t>
                  </w:r>
                  <w:r>
                    <w:rPr>
                      <w:rFonts w:hint="eastAsia" w:ascii="宋体" w:hAnsi="宋体" w:eastAsia="宋体" w:cs="宋体"/>
                      <w:color w:val="auto"/>
                      <w:kern w:val="0"/>
                      <w:sz w:val="21"/>
                      <w:szCs w:val="21"/>
                      <w:highlight w:val="none"/>
                      <w:lang w:val="en-US" w:eastAsia="zh-CN" w:bidi="ar"/>
                    </w:rPr>
                    <w:t xml:space="preserve">（烟尘 </w:t>
                  </w:r>
                  <w:r>
                    <w:rPr>
                      <w:rFonts w:hint="default" w:ascii="Times New Roman" w:hAnsi="Times New Roman" w:eastAsia="宋体" w:cs="Times New Roman"/>
                      <w:color w:val="auto"/>
                      <w:kern w:val="0"/>
                      <w:sz w:val="21"/>
                      <w:szCs w:val="21"/>
                      <w:highlight w:val="none"/>
                      <w:lang w:val="en-US" w:eastAsia="zh-CN" w:bidi="ar"/>
                    </w:rPr>
                    <w:t>200mg/m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850mg/m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vertAlign w:val="baseline"/>
                      <w:lang w:val="en-US" w:eastAsia="zh-CN" w:bidi="ar"/>
                    </w:rPr>
                    <w:t>、烟气黑度（林格曼级）1</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r>
                    <w:rPr>
                      <w:rFonts w:hint="eastAsia" w:cs="Times New Roman"/>
                      <w:color w:val="auto"/>
                      <w:sz w:val="21"/>
                      <w:szCs w:val="21"/>
                      <w:highlight w:val="none"/>
                      <w:lang w:val="en-US" w:eastAsia="zh-CN"/>
                    </w:rPr>
                    <w:t>工业炉窑周边无组织颗粒物满足</w:t>
                  </w:r>
                  <w:r>
                    <w:rPr>
                      <w:rFonts w:hint="default" w:ascii="Times New Roman" w:hAnsi="Times New Roman" w:eastAsia="宋体" w:cs="Times New Roman"/>
                      <w:color w:val="auto"/>
                      <w:kern w:val="0"/>
                      <w:sz w:val="21"/>
                      <w:szCs w:val="21"/>
                      <w:highlight w:val="none"/>
                      <w:lang w:val="en-US" w:eastAsia="zh-CN" w:bidi="ar"/>
                    </w:rPr>
                    <w:t>《工业炉窑大气污染物排放标准》(GB9078-1996)</w:t>
                  </w:r>
                  <w:r>
                    <w:rPr>
                      <w:rFonts w:hint="eastAsia" w:ascii="Times New Roman" w:hAnsi="Times New Roman" w:eastAsia="宋体" w:cs="Times New Roman"/>
                      <w:color w:val="auto"/>
                      <w:kern w:val="0"/>
                      <w:sz w:val="21"/>
                      <w:szCs w:val="21"/>
                      <w:highlight w:val="none"/>
                      <w:lang w:val="en-US" w:eastAsia="zh-CN" w:bidi="ar"/>
                    </w:rPr>
                    <w:t>要求</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107"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仓库密闭、减小装卸高度；清选工艺采用封闭式清理筛，</w:t>
                  </w:r>
                  <w:r>
                    <w:rPr>
                      <w:rFonts w:hint="default" w:ascii="Times New Roman" w:hAnsi="Times New Roman" w:eastAsia="宋体" w:cs="Times New Roman"/>
                      <w:bCs/>
                      <w:color w:val="auto"/>
                      <w:sz w:val="21"/>
                      <w:szCs w:val="21"/>
                      <w:highlight w:val="none"/>
                      <w:lang w:eastAsia="zh-CN"/>
                    </w:rPr>
                    <w:t>烘干塔烘干废气经</w:t>
                  </w:r>
                  <w:r>
                    <w:rPr>
                      <w:rFonts w:hint="default" w:ascii="Times New Roman" w:hAnsi="Times New Roman" w:eastAsia="宋体" w:cs="Times New Roman"/>
                      <w:color w:val="auto"/>
                      <w:sz w:val="21"/>
                      <w:szCs w:val="21"/>
                      <w:highlight w:val="none"/>
                      <w:lang w:val="en-US" w:eastAsia="zh-CN"/>
                    </w:rPr>
                    <w:t>折流挡板和塔顶排气孔滤尘网过滤后排放；无组织粉尘满足《大气污染物综合排放标准》（GB16297-1996）表2无组织排放监控浓度限值标准。</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选用低噪声设备，采取隔声、减振等措施，厂房密闭</w:t>
                  </w:r>
                  <w:r>
                    <w:rPr>
                      <w:rFonts w:hint="default" w:ascii="Times New Roman" w:hAnsi="Times New Roman" w:eastAsia="宋体" w:cs="Times New Roman"/>
                      <w:color w:val="auto"/>
                      <w:sz w:val="21"/>
                      <w:szCs w:val="21"/>
                      <w:highlight w:val="none"/>
                      <w:lang w:eastAsia="zh-CN"/>
                    </w:rPr>
                    <w:t>等措施，本项目厂界噪声可满足《工业企业厂界环境噪声排放标准》（GB12348-2008）中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类标准要求</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pacing w:val="-10"/>
                      <w:sz w:val="21"/>
                      <w:szCs w:val="21"/>
                      <w:highlight w:val="none"/>
                      <w:lang w:val="en-US" w:eastAsia="zh-CN"/>
                    </w:rPr>
                    <w:t>生活垃圾、清理原粮中的杂质（泥沙）、粉尘集中收集，依托当地环卫部门统一收集处理。炉渣、除尘灰集中收集，外售综合利用。</w:t>
                  </w:r>
                  <w:r>
                    <w:rPr>
                      <w:rFonts w:hint="eastAsia" w:cs="Times New Roman"/>
                      <w:bCs/>
                      <w:color w:val="auto"/>
                      <w:spacing w:val="-10"/>
                      <w:sz w:val="21"/>
                      <w:szCs w:val="21"/>
                      <w:highlight w:val="none"/>
                      <w:lang w:val="en-US" w:eastAsia="zh-CN"/>
                    </w:rPr>
                    <w:t>废布袋由厂家回收处置。不合格粮食外售给周边农户。</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无生产废水产生，员工生活污水排入防渗旱厕定期清掏外运堆肥</w:t>
                  </w:r>
                  <w:r>
                    <w:rPr>
                      <w:rFonts w:hint="default" w:ascii="Times New Roman" w:hAnsi="Times New Roman" w:eastAsia="宋体" w:cs="Times New Roman"/>
                      <w:color w:val="auto"/>
                      <w:kern w:val="0"/>
                      <w:sz w:val="21"/>
                      <w:szCs w:val="21"/>
                      <w:highlight w:val="none"/>
                      <w:lang w:val="en-US" w:eastAsia="zh-CN"/>
                    </w:rPr>
                    <w:t>。</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bl>
          <w:p>
            <w:pPr>
              <w:spacing w:line="240" w:lineRule="auto"/>
              <w:ind w:firstLine="3162" w:firstLineChars="15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-2  产品方案表</w:t>
            </w:r>
          </w:p>
          <w:tbl>
            <w:tblPr>
              <w:tblStyle w:val="32"/>
              <w:tblpPr w:leftFromText="181" w:rightFromText="181" w:bottomFromText="142" w:vertAnchor="text" w:tblpXSpec="center" w:tblpY="1"/>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
              <w:gridCol w:w="2369"/>
              <w:gridCol w:w="956"/>
              <w:gridCol w:w="1935"/>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3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 位</w:t>
                  </w:r>
                </w:p>
              </w:tc>
              <w:tc>
                <w:tcPr>
                  <w:tcW w:w="193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年产量</w:t>
                  </w:r>
                </w:p>
              </w:tc>
              <w:tc>
                <w:tcPr>
                  <w:tcW w:w="244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69"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玉米</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吨</w:t>
                  </w:r>
                </w:p>
              </w:tc>
              <w:tc>
                <w:tcPr>
                  <w:tcW w:w="193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highlight w:val="none"/>
                      <w:lang w:val="en-US" w:eastAsia="zh-CN"/>
                    </w:rPr>
                    <w:t>9902.4</w:t>
                  </w:r>
                </w:p>
              </w:tc>
              <w:tc>
                <w:tcPr>
                  <w:tcW w:w="2444" w:type="dxa"/>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烘</w:t>
                  </w:r>
                  <w:r>
                    <w:rPr>
                      <w:rFonts w:hint="default" w:ascii="Times New Roman" w:hAnsi="Times New Roman" w:cs="Times New Roman"/>
                      <w:color w:val="auto"/>
                      <w:szCs w:val="21"/>
                      <w:highlight w:val="none"/>
                      <w:lang w:eastAsia="zh-CN"/>
                    </w:rPr>
                    <w:t>干</w:t>
                  </w:r>
                  <w:r>
                    <w:rPr>
                      <w:rFonts w:hint="eastAsia" w:ascii="Times New Roman" w:hAnsi="Times New Roman" w:cs="Times New Roman"/>
                      <w:color w:val="auto"/>
                      <w:szCs w:val="21"/>
                      <w:highlight w:val="none"/>
                      <w:lang w:val="en-US" w:eastAsia="zh-CN"/>
                    </w:rPr>
                    <w:t>后</w:t>
                  </w:r>
                </w:p>
              </w:tc>
            </w:tr>
          </w:tbl>
          <w:p>
            <w:pPr>
              <w:spacing w:line="360" w:lineRule="auto"/>
              <w:ind w:firstLine="482"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主要生产设备及设备参数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pPr>
              <w:pStyle w:val="80"/>
              <w:adjustRightInd/>
              <w:snapToGrid/>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eastAsia="zh-CN"/>
              </w:rPr>
              <w:t>主要设备</w:t>
            </w:r>
            <w:r>
              <w:rPr>
                <w:rFonts w:hint="default" w:ascii="Times New Roman" w:hAnsi="Times New Roman" w:cs="Times New Roman"/>
                <w:b/>
                <w:bCs/>
                <w:color w:val="auto"/>
                <w:sz w:val="21"/>
                <w:szCs w:val="21"/>
              </w:rPr>
              <w:t>一览表</w:t>
            </w:r>
          </w:p>
          <w:tbl>
            <w:tblPr>
              <w:tblStyle w:val="32"/>
              <w:tblW w:w="85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3985"/>
              <w:gridCol w:w="1465"/>
              <w:gridCol w:w="1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98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46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71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39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清理筛</w:t>
                  </w:r>
                  <w:r>
                    <w:rPr>
                      <w:rFonts w:hint="default" w:ascii="Times New Roman" w:hAnsi="Times New Roman" w:cs="Times New Roman"/>
                      <w:color w:val="auto"/>
                      <w:szCs w:val="21"/>
                      <w:lang w:val="en-US" w:eastAsia="zh-CN"/>
                    </w:rPr>
                    <w:t>分机及配套除尘器</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39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传送带</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提升机</w:t>
                  </w:r>
                </w:p>
              </w:tc>
              <w:tc>
                <w:tcPr>
                  <w:tcW w:w="1465"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风机</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热风炉</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w:t>
                  </w:r>
                </w:p>
              </w:tc>
              <w:tc>
                <w:tcPr>
                  <w:tcW w:w="3985" w:type="dxa"/>
                  <w:noWrap w:val="0"/>
                  <w:vAlign w:val="center"/>
                </w:tcPr>
                <w:p>
                  <w:pPr>
                    <w:pStyle w:val="7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烘干塔</w:t>
                  </w:r>
                </w:p>
              </w:tc>
              <w:tc>
                <w:tcPr>
                  <w:tcW w:w="1465"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座</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布袋除尘器</w:t>
                  </w:r>
                </w:p>
              </w:tc>
              <w:tc>
                <w:tcPr>
                  <w:tcW w:w="146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val="en-US" w:eastAsia="zh-CN" w:bidi="ar-SA"/>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原辅材料用量见下表。</w:t>
            </w:r>
          </w:p>
          <w:p>
            <w:pPr>
              <w:pStyle w:val="80"/>
              <w:adjustRightInd/>
              <w:snapToGrid/>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lang w:eastAsia="zh-CN"/>
              </w:rPr>
              <w:t>原、辅材料情况</w:t>
            </w:r>
            <w:r>
              <w:rPr>
                <w:rFonts w:hint="default" w:ascii="Times New Roman" w:hAnsi="Times New Roman" w:cs="Times New Roman"/>
                <w:b/>
                <w:bCs/>
                <w:color w:val="auto"/>
                <w:sz w:val="21"/>
                <w:szCs w:val="21"/>
                <w:highlight w:val="none"/>
              </w:rPr>
              <w:t>一览表</w:t>
            </w:r>
          </w:p>
          <w:tbl>
            <w:tblPr>
              <w:tblStyle w:val="32"/>
              <w:tblW w:w="85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92"/>
              <w:gridCol w:w="1946"/>
              <w:gridCol w:w="3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9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94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394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玉米潮粮</w:t>
                  </w:r>
                </w:p>
              </w:tc>
              <w:tc>
                <w:tcPr>
                  <w:tcW w:w="194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2000</w:t>
                  </w:r>
                  <w:r>
                    <w:rPr>
                      <w:rFonts w:hint="default" w:ascii="Times New Roman" w:hAnsi="Times New Roman" w:cs="Times New Roman"/>
                      <w:color w:val="auto"/>
                      <w:szCs w:val="21"/>
                      <w:highlight w:val="none"/>
                    </w:rPr>
                    <w:t>t/a</w:t>
                  </w:r>
                </w:p>
              </w:tc>
              <w:tc>
                <w:tcPr>
                  <w:tcW w:w="394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向当地农户收购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生物质压块燃料</w:t>
                  </w:r>
                </w:p>
              </w:tc>
              <w:tc>
                <w:tcPr>
                  <w:tcW w:w="1946"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 w:val="21"/>
                      <w:szCs w:val="21"/>
                      <w:highlight w:val="none"/>
                      <w:lang w:val="en-US" w:eastAsia="zh-CN"/>
                    </w:rPr>
                    <w:t>1000</w:t>
                  </w:r>
                  <w:r>
                    <w:rPr>
                      <w:rFonts w:hint="default" w:ascii="Times New Roman" w:hAnsi="Times New Roman" w:cs="Times New Roman"/>
                      <w:color w:val="auto"/>
                      <w:szCs w:val="21"/>
                      <w:highlight w:val="none"/>
                      <w:lang w:val="en-US" w:eastAsia="zh-CN"/>
                    </w:rPr>
                    <w:t>t/a</w:t>
                  </w:r>
                </w:p>
              </w:tc>
              <w:tc>
                <w:tcPr>
                  <w:tcW w:w="394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向附近燃料生产商购买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1946"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9.6</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394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b/>
                <w:bCs/>
                <w:color w:val="auto"/>
                <w:kern w:val="0"/>
                <w:sz w:val="24"/>
                <w:szCs w:val="24"/>
                <w:lang w:val="en-US" w:eastAsia="zh-CN"/>
              </w:rPr>
            </w:pPr>
            <w:r>
              <w:rPr>
                <w:rFonts w:hint="eastAsia" w:cs="Times New Roman"/>
                <w:b/>
                <w:bCs/>
                <w:color w:val="auto"/>
                <w:kern w:val="0"/>
                <w:sz w:val="24"/>
                <w:szCs w:val="24"/>
                <w:lang w:val="en-US" w:eastAsia="zh-CN"/>
              </w:rPr>
              <w:drawing>
                <wp:inline distT="0" distB="0" distL="114300" distR="114300">
                  <wp:extent cx="4786630" cy="925830"/>
                  <wp:effectExtent l="0" t="0" r="0" b="0"/>
                  <wp:docPr id="1" name="E657119C-6982-421D-8BA7-E74DEB70A7D9-1" descr="C:/Users/WY001/AppData/Local/Temp/wps.SjpWL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57119C-6982-421D-8BA7-E74DEB70A7D9-1" descr="C:/Users/WY001/AppData/Local/Temp/wps.SjpWLRwps"/>
                          <pic:cNvPicPr>
                            <a:picLocks noChangeAspect="1"/>
                          </pic:cNvPicPr>
                        </pic:nvPicPr>
                        <pic:blipFill>
                          <a:blip r:embed="rId11"/>
                          <a:stretch>
                            <a:fillRect/>
                          </a:stretch>
                        </pic:blipFill>
                        <pic:spPr>
                          <a:xfrm>
                            <a:off x="0" y="0"/>
                            <a:ext cx="4786630" cy="925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图2-1物料平衡图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生物质压块燃料消耗量计算：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highlight w:val="none"/>
                <w:lang w:val="en-US" w:eastAsia="zh-CN"/>
              </w:rPr>
              <w:t>进厂潮粮经初步筛选清除杂质后，进入烘干塔进行烘干的潮粮为</w:t>
            </w:r>
            <w:r>
              <w:rPr>
                <w:rFonts w:hint="eastAsia" w:cs="Times New Roman"/>
                <w:color w:val="auto"/>
                <w:kern w:val="0"/>
                <w:sz w:val="24"/>
                <w:szCs w:val="24"/>
                <w:highlight w:val="none"/>
                <w:lang w:val="en-US" w:eastAsia="zh-CN"/>
              </w:rPr>
              <w:t>11997.6</w:t>
            </w:r>
            <w:r>
              <w:rPr>
                <w:rFonts w:hint="default" w:ascii="Times New Roman" w:hAnsi="Times New Roman" w:eastAsia="宋体" w:cs="Times New Roman"/>
                <w:color w:val="auto"/>
                <w:kern w:val="0"/>
                <w:sz w:val="24"/>
                <w:szCs w:val="24"/>
                <w:highlight w:val="none"/>
                <w:lang w:val="en-US" w:eastAsia="zh-CN"/>
              </w:rPr>
              <w:t>/a，含水率平均29%，要求烘干后的干粮含水率为14%。</w:t>
            </w:r>
            <w:r>
              <w:rPr>
                <w:rFonts w:hint="default" w:ascii="Times New Roman" w:hAnsi="Times New Roman" w:eastAsia="宋体" w:cs="Times New Roman"/>
                <w:color w:val="auto"/>
                <w:kern w:val="0"/>
                <w:sz w:val="24"/>
                <w:szCs w:val="24"/>
                <w:lang w:val="en-US" w:eastAsia="zh-CN"/>
              </w:rPr>
              <w:t>则烘干过程水分蒸发量按照下方公式计算：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position w:val="-10"/>
                <w:sz w:val="24"/>
                <w:szCs w:val="24"/>
                <w:lang w:val="en-US" w:eastAsia="zh-CN"/>
              </w:rPr>
              <w:object>
                <v:shape id="_x0000_i1025" o:spt="75" type="#_x0000_t75" style="height:17pt;width:132.95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式中：W：水分蒸发量，t/a；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G：处理量（本项目为</w:t>
            </w:r>
            <w:r>
              <w:rPr>
                <w:rFonts w:hint="eastAsia" w:cs="Times New Roman"/>
                <w:color w:val="auto"/>
                <w:kern w:val="0"/>
                <w:sz w:val="24"/>
                <w:szCs w:val="24"/>
                <w:lang w:val="en-US" w:eastAsia="zh-CN"/>
              </w:rPr>
              <w:t>11997.6</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1</w:t>
            </w:r>
            <w:r>
              <w:rPr>
                <w:rFonts w:hint="default" w:ascii="Times New Roman" w:hAnsi="Times New Roman" w:eastAsia="宋体" w:cs="Times New Roman"/>
                <w:color w:val="auto"/>
                <w:kern w:val="0"/>
                <w:sz w:val="24"/>
                <w:szCs w:val="24"/>
                <w:lang w:val="en-US" w:eastAsia="zh-CN"/>
              </w:rPr>
              <w:t>：进料含水量百分数（本项目为29）；</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：出料含水量百分数（本项目为14）；</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则水分蒸发量为</w:t>
            </w:r>
            <w:r>
              <w:rPr>
                <w:rFonts w:hint="eastAsia" w:cs="Times New Roman"/>
                <w:color w:val="auto"/>
                <w:kern w:val="0"/>
                <w:sz w:val="24"/>
                <w:szCs w:val="24"/>
                <w:lang w:val="en-US" w:eastAsia="zh-CN"/>
              </w:rPr>
              <w:t>2093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本项目热风炉热效率为80%，生物质燃料的收到基低位发热量为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MJ/kg，参考尹协镇《粮食烘干过程中不同外部条件对烘干能耗的影响》中的数据“每烘干1kg水能耗取5400kJ/kg”，本项目所需生物质压块燃料量按照下方公式计算：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28"/>
                <w:lang w:val="en-US" w:eastAsia="zh-CN"/>
              </w:rPr>
              <w:object>
                <v:shape id="_x0000_i1026" o:spt="75" type="#_x0000_t75" style="height:33pt;width:87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式中：M：生物质压块燃料消耗量，t/a；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e：烘干单位质量水的能耗，取5400kJ/kg，即5400MJ/t；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m：水分蒸发量，本项目为</w:t>
            </w:r>
            <w:r>
              <w:rPr>
                <w:rFonts w:hint="eastAsia" w:cs="Times New Roman"/>
                <w:color w:val="auto"/>
                <w:kern w:val="0"/>
                <w:sz w:val="24"/>
                <w:szCs w:val="24"/>
                <w:lang w:val="en-US" w:eastAsia="zh-CN"/>
              </w:rPr>
              <w:t>2093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Q：生物质压块燃料的收到基低位发热量，本项目为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      η：热风炉热效率，本项目为80%。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则本项目生物质压</w:t>
            </w:r>
            <w:r>
              <w:rPr>
                <w:rFonts w:hint="eastAsia" w:ascii="Times New Roman" w:hAnsi="Times New Roman" w:eastAsia="宋体" w:cs="Times New Roman"/>
                <w:color w:val="auto"/>
                <w:kern w:val="0"/>
                <w:sz w:val="24"/>
                <w:szCs w:val="24"/>
                <w:lang w:val="en-US" w:eastAsia="zh-CN"/>
              </w:rPr>
              <w:t>块</w:t>
            </w:r>
            <w:r>
              <w:rPr>
                <w:rFonts w:hint="default" w:ascii="Times New Roman" w:hAnsi="Times New Roman" w:eastAsia="宋体" w:cs="Times New Roman"/>
                <w:color w:val="auto"/>
                <w:kern w:val="0"/>
                <w:sz w:val="24"/>
                <w:szCs w:val="24"/>
                <w:lang w:val="en-US" w:eastAsia="zh-CN"/>
              </w:rPr>
              <w:t>燃料消耗量为</w:t>
            </w:r>
            <w:r>
              <w:rPr>
                <w:rFonts w:hint="eastAsia" w:cs="Times New Roman"/>
                <w:color w:val="auto"/>
                <w:kern w:val="0"/>
                <w:sz w:val="24"/>
                <w:szCs w:val="24"/>
                <w:lang w:val="en-US" w:eastAsia="zh-CN"/>
              </w:rPr>
              <w:t>1000</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③水量计算：</w:t>
            </w:r>
          </w:p>
          <w:p>
            <w:pPr>
              <w:pStyle w:val="38"/>
              <w:rPr>
                <w:rFonts w:hint="default"/>
                <w:color w:val="auto"/>
                <w:lang w:val="en-US" w:eastAsia="zh-CN"/>
              </w:rPr>
            </w:pPr>
            <w:r>
              <w:rPr>
                <w:rFonts w:hint="eastAsia" w:ascii="Times New Roman" w:hAnsi="Times New Roman" w:eastAsia="宋体" w:cs="Times New Roman"/>
                <w:color w:val="auto"/>
                <w:kern w:val="0"/>
                <w:sz w:val="24"/>
                <w:szCs w:val="24"/>
                <w:lang w:val="en-US" w:eastAsia="zh-CN"/>
              </w:rPr>
              <w:t>（1）生活用水</w:t>
            </w:r>
          </w:p>
          <w:p>
            <w:pPr>
              <w:pStyle w:val="29"/>
              <w:tabs>
                <w:tab w:val="left" w:pos="1485"/>
              </w:tabs>
              <w:adjustRightInd w:val="0"/>
              <w:snapToGrid w:val="0"/>
              <w:spacing w:after="0" w:line="360" w:lineRule="auto"/>
              <w:ind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 727-2025）表H.2确定，用水定额为80L/（人·d），本项目劳动定员</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9.6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pStyle w:val="91"/>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（2）生活污水</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生活污</w:t>
            </w:r>
            <w:r>
              <w:rPr>
                <w:rFonts w:hint="default" w:ascii="Times New Roman" w:hAnsi="Times New Roman" w:eastAsia="宋体" w:cs="Times New Roman"/>
                <w:color w:val="auto"/>
                <w:kern w:val="0"/>
                <w:sz w:val="24"/>
                <w:szCs w:val="24"/>
                <w:highlight w:val="none"/>
                <w:lang w:val="en-US" w:eastAsia="zh-CN"/>
              </w:rPr>
              <w:t>水产污系数为0.8，则</w:t>
            </w:r>
            <w:r>
              <w:rPr>
                <w:rFonts w:hint="eastAsia" w:ascii="Times New Roman" w:hAnsi="Times New Roman" w:eastAsia="宋体"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lang w:val="en-US" w:eastAsia="zh-CN"/>
              </w:rPr>
              <w:t>产生量为</w:t>
            </w:r>
            <w:r>
              <w:rPr>
                <w:rFonts w:hint="eastAsia" w:cs="Times New Roman"/>
                <w:color w:val="auto"/>
                <w:kern w:val="0"/>
                <w:sz w:val="24"/>
                <w:szCs w:val="24"/>
                <w:highlight w:val="none"/>
                <w:lang w:val="en-US" w:eastAsia="zh-CN"/>
              </w:rPr>
              <w:t>0.192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生活污水排入防渗旱厕定期清掏，外运堆肥。</w:t>
            </w:r>
          </w:p>
          <w:p>
            <w:pPr>
              <w:pStyle w:val="91"/>
              <w:ind w:firstLine="480"/>
              <w:rPr>
                <w:rFonts w:hint="default" w:ascii="Times New Roman" w:hAnsi="Times New Roman" w:eastAsia="宋体" w:cs="Times New Roman"/>
                <w:color w:val="auto"/>
                <w:sz w:val="24"/>
                <w:szCs w:val="24"/>
                <w:highlight w:val="none"/>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3227070</wp:posOffset>
                      </wp:positionH>
                      <wp:positionV relativeFrom="paragraph">
                        <wp:posOffset>599440</wp:posOffset>
                      </wp:positionV>
                      <wp:extent cx="506095" cy="268605"/>
                      <wp:effectExtent l="0" t="0" r="8255" b="17145"/>
                      <wp:wrapNone/>
                      <wp:docPr id="17" name="文本框 17"/>
                      <wp:cNvGraphicFramePr/>
                      <a:graphic xmlns:a="http://schemas.openxmlformats.org/drawingml/2006/main">
                        <a:graphicData uri="http://schemas.microsoft.com/office/word/2010/wordprocessingShape">
                          <wps:wsp>
                            <wps:cNvSpPr txBox="1"/>
                            <wps:spPr>
                              <a:xfrm>
                                <a:off x="0" y="0"/>
                                <a:ext cx="50609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0.192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47.2pt;height:21.15pt;width:39.85pt;z-index:251670528;mso-width-relative:page;mso-height-relative:page;" fillcolor="#FFFFFF [3201]" filled="t" stroked="f" coordsize="21600,21600" o:gfxdata="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8ARnLXAAAACgEAAA8AAAAAAAAAAQAgAAAAIgAAAGRycy9kb3ducmV2Lnht&#10;bFBLAQIUABQAAAAIAIdO4kCUrPPeMwIAAEIEAAAOAAAAAAAAAAEAIAAAACYBAABkcnMvZTJvRG9j&#10;LnhtbFBLBQYAAAAABgAGAFkBAADLBQAAAAA=&#10;">
                      <v:fill on="t" focussize="0,0"/>
                      <v:stroke on="f" weight="0.5pt"/>
                      <v:imagedata o:title=""/>
                      <o:lock v:ext="edit" aspectratio="f"/>
                      <v:textbox>
                        <w:txbxContent>
                          <w:p>
                            <w:pPr>
                              <w:rPr>
                                <w:rFonts w:hint="default" w:eastAsia="宋体"/>
                                <w:lang w:val="en-US" w:eastAsia="zh-CN"/>
                              </w:rPr>
                            </w:pPr>
                            <w:r>
                              <w:rPr>
                                <w:rFonts w:hint="eastAsia"/>
                                <w:lang w:val="en-US" w:eastAsia="zh-CN"/>
                              </w:rPr>
                              <w:t>0.192</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2650490</wp:posOffset>
                      </wp:positionH>
                      <wp:positionV relativeFrom="paragraph">
                        <wp:posOffset>157480</wp:posOffset>
                      </wp:positionV>
                      <wp:extent cx="506095" cy="268605"/>
                      <wp:effectExtent l="0" t="0" r="8255" b="17145"/>
                      <wp:wrapNone/>
                      <wp:docPr id="16" name="文本框 16"/>
                      <wp:cNvGraphicFramePr/>
                      <a:graphic xmlns:a="http://schemas.openxmlformats.org/drawingml/2006/main">
                        <a:graphicData uri="http://schemas.microsoft.com/office/word/2010/wordprocessingShape">
                          <wps:wsp>
                            <wps:cNvSpPr txBox="1"/>
                            <wps:spPr>
                              <a:xfrm>
                                <a:off x="0" y="0"/>
                                <a:ext cx="50609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0.048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pt;margin-top:12.4pt;height:21.15pt;width:39.85pt;z-index:251669504;mso-width-relative:page;mso-height-relative:page;" fillcolor="#FFFFFF [3201]" filled="t" stroked="f" coordsize="21600,21600" o:gfxdata="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snyINUAAAAJAQAADwAAAAAAAAABACAAAAAiAAAAZHJzL2Rvd25yZXYueG1s&#10;UEsBAhQAFAAAAAgAh07iQLQxkXs0AgAAQgQAAA4AAAAAAAAAAQAgAAAAJAEAAGRycy9lMm9Eb2Mu&#10;eG1sUEsFBgAAAAAGAAYAWQEAAMoFAAAAAA==&#10;">
                      <v:fill on="t" focussize="0,0"/>
                      <v:stroke on="f" weight="0.5pt"/>
                      <v:imagedata o:title=""/>
                      <o:lock v:ext="edit" aspectratio="f"/>
                      <v:textbox>
                        <w:txbxContent>
                          <w:p>
                            <w:pPr>
                              <w:rPr>
                                <w:rFonts w:hint="default" w:eastAsia="宋体"/>
                                <w:lang w:val="en-US" w:eastAsia="zh-CN"/>
                              </w:rPr>
                            </w:pPr>
                            <w:r>
                              <w:rPr>
                                <w:rFonts w:hint="eastAsia"/>
                                <w:lang w:val="en-US" w:eastAsia="zh-CN"/>
                              </w:rPr>
                              <w:t>0.048</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1565910</wp:posOffset>
                      </wp:positionH>
                      <wp:positionV relativeFrom="paragraph">
                        <wp:posOffset>605790</wp:posOffset>
                      </wp:positionV>
                      <wp:extent cx="475615" cy="268605"/>
                      <wp:effectExtent l="0" t="0" r="635" b="17145"/>
                      <wp:wrapNone/>
                      <wp:docPr id="8" name="文本框 8"/>
                      <wp:cNvGraphicFramePr/>
                      <a:graphic xmlns:a="http://schemas.openxmlformats.org/drawingml/2006/main">
                        <a:graphicData uri="http://schemas.microsoft.com/office/word/2010/wordprocessingShape">
                          <wps:wsp>
                            <wps:cNvSpPr txBox="1"/>
                            <wps:spPr>
                              <a:xfrm>
                                <a:off x="2947035" y="1729740"/>
                                <a:ext cx="47561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pt;margin-top:47.7pt;height:21.15pt;width:37.45pt;z-index:251668480;mso-width-relative:page;mso-height-relative:page;" fillcolor="#FFFFFF [3201]" filled="t" stroked="f" coordsize="21600,21600" o:gfxdata="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6KXbY1gAAAAoBAAAPAAAAAAAAAAEAIAAAACIAAABkcnMv&#10;ZG93bnJldi54bWxQSwECFAAUAAAACACHTuJAhsrqxT4CAABMBAAADgAAAAAAAAABACAAAAAlAQAA&#10;ZHJzL2Uyb0RvYy54bWxQSwUGAAAAAAYABgBZAQAA1QUAAAAA&#10;">
                      <v:fill on="t" focussize="0,0"/>
                      <v:stroke on="f" weight="0.5pt"/>
                      <v:imagedata o:title=""/>
                      <o:lock v:ext="edit" aspectratio="f"/>
                      <v:textbox>
                        <w:txbxContent>
                          <w:p>
                            <w:pPr>
                              <w:rPr>
                                <w:rFonts w:hint="default" w:eastAsia="宋体"/>
                                <w:lang w:val="en-US" w:eastAsia="zh-CN"/>
                              </w:rPr>
                            </w:pPr>
                            <w:r>
                              <w:rPr>
                                <w:rFonts w:hint="eastAsia"/>
                                <w:lang w:val="en-US" w:eastAsia="zh-CN"/>
                              </w:rPr>
                              <w:t>0.24</w:t>
                            </w:r>
                          </w:p>
                        </w:txbxContent>
                      </v:textbox>
                    </v:shape>
                  </w:pict>
                </mc:Fallback>
              </mc:AlternateContent>
            </w:r>
            <w:r>
              <w:rPr>
                <w:rFonts w:hint="default" w:ascii="Times New Roman" w:hAnsi="Times New Roman" w:eastAsia="宋体" w:cs="Times New Roman"/>
                <w:color w:val="auto"/>
                <w:sz w:val="24"/>
                <w:szCs w:val="24"/>
                <w:highlight w:val="none"/>
                <w:lang w:val="en-US" w:eastAsia="zh-CN"/>
              </w:rPr>
              <w:drawing>
                <wp:inline distT="0" distB="0" distL="114300" distR="114300">
                  <wp:extent cx="4735830" cy="1137920"/>
                  <wp:effectExtent l="0" t="0" r="0" b="0"/>
                  <wp:docPr id="3" name="ECB019B1-382A-4266-B25C-5B523AA43C14-2" descr="C:/Users/WY001/AppData/Local/Temp/wps.UlgzA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WY001/AppData/Local/Temp/wps.UlgzAewps"/>
                          <pic:cNvPicPr>
                            <a:picLocks noChangeAspect="1"/>
                          </pic:cNvPicPr>
                        </pic:nvPicPr>
                        <pic:blipFill>
                          <a:blip r:embed="rId16"/>
                          <a:stretch>
                            <a:fillRect/>
                          </a:stretch>
                        </pic:blipFill>
                        <pic:spPr>
                          <a:xfrm>
                            <a:off x="0" y="0"/>
                            <a:ext cx="4735830" cy="1137920"/>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color w:val="auto"/>
                <w:sz w:val="24"/>
                <w:szCs w:val="24"/>
                <w:highlight w:val="none"/>
                <w:lang w:eastAsia="zh-CN"/>
              </w:rPr>
            </w:pPr>
            <w:r>
              <w:rPr>
                <w:rFonts w:hint="eastAsia" w:cs="Times New Roman"/>
                <w:b/>
                <w:bCs/>
                <w:color w:val="auto"/>
                <w:kern w:val="0"/>
                <w:sz w:val="24"/>
                <w:szCs w:val="24"/>
                <w:lang w:val="en-US" w:eastAsia="zh-CN"/>
              </w:rPr>
              <w:t>图2-2水平衡图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生产供热由一台</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/h生物质的热风炉提供，燃料为生物质成型燃料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燃料消耗量为</w:t>
            </w:r>
            <w:r>
              <w:rPr>
                <w:rFonts w:hint="eastAsia" w:cs="Times New Roman"/>
                <w:color w:val="auto"/>
                <w:kern w:val="0"/>
                <w:sz w:val="24"/>
                <w:szCs w:val="24"/>
                <w:lang w:val="en-US" w:eastAsia="zh-CN"/>
              </w:rPr>
              <w:t>1000</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en-US" w:eastAsia="zh-CN"/>
              </w:rPr>
              <w:t>人，烘干塔年工作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天。烘干塔及热风炉实际运行时长合计</w:t>
            </w:r>
            <w:r>
              <w:rPr>
                <w:rFonts w:hint="eastAsia" w:cs="Times New Roman"/>
                <w:color w:val="auto"/>
                <w:kern w:val="0"/>
                <w:sz w:val="24"/>
                <w:szCs w:val="24"/>
                <w:highlight w:val="none"/>
                <w:lang w:val="en-US" w:eastAsia="zh-CN"/>
              </w:rPr>
              <w:t>960</w:t>
            </w:r>
            <w:r>
              <w:rPr>
                <w:rFonts w:hint="default" w:ascii="Times New Roman" w:hAnsi="Times New Roman" w:cs="Times New Roman"/>
                <w:color w:val="auto"/>
                <w:kern w:val="0"/>
                <w:sz w:val="24"/>
                <w:szCs w:val="24"/>
                <w:highlight w:val="none"/>
                <w:lang w:val="en-US" w:eastAsia="zh-CN"/>
              </w:rPr>
              <w:t>h/a。全厂员工年工作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w:t>
            </w:r>
          </w:p>
          <w:p>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200</w:t>
            </w:r>
            <w:r>
              <w:rPr>
                <w:color w:val="auto"/>
                <w:sz w:val="24"/>
                <w:highlight w:val="none"/>
              </w:rPr>
              <w:t>万元，环保投资</w:t>
            </w:r>
            <w:r>
              <w:rPr>
                <w:rFonts w:hint="eastAsia"/>
                <w:color w:val="auto"/>
                <w:sz w:val="24"/>
                <w:highlight w:val="none"/>
                <w:lang w:val="en-US" w:eastAsia="zh-CN"/>
              </w:rPr>
              <w:t>10</w:t>
            </w:r>
            <w:r>
              <w:rPr>
                <w:color w:val="auto"/>
                <w:sz w:val="24"/>
                <w:highlight w:val="none"/>
              </w:rPr>
              <w:t>万元，环保总投资占项目总投资的</w:t>
            </w:r>
            <w:r>
              <w:rPr>
                <w:rFonts w:hint="eastAsia"/>
                <w:color w:val="auto"/>
                <w:sz w:val="24"/>
                <w:highlight w:val="none"/>
                <w:lang w:val="en-US" w:eastAsia="zh-CN"/>
              </w:rPr>
              <w:t>5.00</w:t>
            </w:r>
            <w:r>
              <w:rPr>
                <w:color w:val="auto"/>
                <w:sz w:val="24"/>
                <w:highlight w:val="none"/>
              </w:rPr>
              <w:t>%。环保投资详见表</w:t>
            </w:r>
            <w:r>
              <w:rPr>
                <w:rFonts w:hint="eastAsia"/>
                <w:color w:val="auto"/>
                <w:sz w:val="24"/>
                <w:highlight w:val="none"/>
                <w:lang w:val="en-US" w:eastAsia="zh-CN"/>
              </w:rPr>
              <w:t>2-5</w:t>
            </w:r>
            <w:r>
              <w:rPr>
                <w:color w:val="auto"/>
                <w:sz w:val="24"/>
                <w:highlight w:val="none"/>
              </w:rPr>
              <w:t>。</w:t>
            </w:r>
          </w:p>
          <w:p>
            <w:pPr>
              <w:spacing w:line="240" w:lineRule="auto"/>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2-5</w:t>
            </w:r>
            <w:r>
              <w:rPr>
                <w:b/>
                <w:color w:val="auto"/>
                <w:sz w:val="21"/>
                <w:szCs w:val="21"/>
                <w:highlight w:val="none"/>
              </w:rPr>
              <w:t xml:space="preserve"> 环保投资一览表</w:t>
            </w:r>
          </w:p>
          <w:tbl>
            <w:tblPr>
              <w:tblStyle w:val="3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570"/>
              <w:gridCol w:w="1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13" w:type="dxa"/>
                  <w:noWrap w:val="0"/>
                  <w:vAlign w:val="center"/>
                </w:tcPr>
                <w:p>
                  <w:pPr>
                    <w:overflowPunct w:val="0"/>
                    <w:jc w:val="center"/>
                    <w:rPr>
                      <w:color w:val="auto"/>
                      <w:szCs w:val="21"/>
                      <w:highlight w:val="none"/>
                    </w:rPr>
                  </w:pPr>
                  <w:r>
                    <w:rPr>
                      <w:color w:val="auto"/>
                      <w:szCs w:val="21"/>
                      <w:highlight w:val="none"/>
                    </w:rPr>
                    <w:t>类别</w:t>
                  </w:r>
                </w:p>
              </w:tc>
              <w:tc>
                <w:tcPr>
                  <w:tcW w:w="5570" w:type="dxa"/>
                  <w:noWrap w:val="0"/>
                  <w:vAlign w:val="center"/>
                </w:tcPr>
                <w:p>
                  <w:pPr>
                    <w:overflowPunct w:val="0"/>
                    <w:jc w:val="center"/>
                    <w:rPr>
                      <w:color w:val="auto"/>
                      <w:szCs w:val="21"/>
                      <w:highlight w:val="none"/>
                    </w:rPr>
                  </w:pPr>
                  <w:r>
                    <w:rPr>
                      <w:color w:val="auto"/>
                      <w:szCs w:val="21"/>
                      <w:highlight w:val="none"/>
                    </w:rPr>
                    <w:t>治理措施</w:t>
                  </w:r>
                </w:p>
              </w:tc>
              <w:tc>
                <w:tcPr>
                  <w:tcW w:w="1621" w:type="dxa"/>
                  <w:noWrap w:val="0"/>
                  <w:vAlign w:val="center"/>
                </w:tcPr>
                <w:p>
                  <w:pPr>
                    <w:overflowPunct w:val="0"/>
                    <w:jc w:val="center"/>
                    <w:rPr>
                      <w:color w:val="auto"/>
                      <w:szCs w:val="21"/>
                      <w:highlight w:val="none"/>
                    </w:rPr>
                  </w:pPr>
                  <w:r>
                    <w:rPr>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13" w:type="dxa"/>
                  <w:vMerge w:val="restart"/>
                  <w:noWrap w:val="0"/>
                  <w:vAlign w:val="center"/>
                </w:tcPr>
                <w:p>
                  <w:pPr>
                    <w:overflowPunct w:val="0"/>
                    <w:jc w:val="center"/>
                    <w:rPr>
                      <w:color w:val="auto"/>
                      <w:szCs w:val="21"/>
                      <w:highlight w:val="none"/>
                    </w:rPr>
                  </w:pPr>
                  <w:r>
                    <w:rPr>
                      <w:color w:val="auto"/>
                      <w:szCs w:val="21"/>
                      <w:highlight w:val="none"/>
                    </w:rPr>
                    <w:t>废气</w:t>
                  </w:r>
                </w:p>
              </w:tc>
              <w:tc>
                <w:tcPr>
                  <w:tcW w:w="5570" w:type="dxa"/>
                  <w:noWrap w:val="0"/>
                  <w:vAlign w:val="center"/>
                </w:tcPr>
                <w:p>
                  <w:pPr>
                    <w:overflowPunct w:val="0"/>
                    <w:jc w:val="center"/>
                    <w:rPr>
                      <w:color w:val="auto"/>
                      <w:szCs w:val="21"/>
                      <w:highlight w:val="none"/>
                    </w:rPr>
                  </w:pPr>
                  <w:r>
                    <w:rPr>
                      <w:rFonts w:hint="eastAsia"/>
                      <w:color w:val="auto"/>
                      <w:szCs w:val="21"/>
                      <w:highlight w:val="none"/>
                    </w:rPr>
                    <w:t>管道接口全封闭、圆筒筛</w:t>
                  </w:r>
                  <w:r>
                    <w:rPr>
                      <w:rFonts w:hint="eastAsia"/>
                      <w:color w:val="auto"/>
                      <w:szCs w:val="21"/>
                      <w:highlight w:val="none"/>
                      <w:lang w:val="en-US" w:eastAsia="zh-CN"/>
                    </w:rPr>
                    <w:t>封闭</w:t>
                  </w:r>
                  <w:r>
                    <w:rPr>
                      <w:rFonts w:hint="eastAsia"/>
                      <w:color w:val="auto"/>
                      <w:szCs w:val="21"/>
                      <w:highlight w:val="none"/>
                    </w:rPr>
                    <w:t>以及封闭粮食输送机</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灰渣间附近定期洒水降尘、原粮堆存在厂区内建设的</w:t>
                  </w:r>
                  <w:r>
                    <w:rPr>
                      <w:rFonts w:hint="eastAsia"/>
                      <w:color w:val="auto"/>
                      <w:szCs w:val="21"/>
                      <w:highlight w:val="none"/>
                      <w:lang w:eastAsia="zh-CN"/>
                    </w:rPr>
                    <w:t>厂房</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热风炉烟气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color w:val="auto"/>
                      <w:szCs w:val="21"/>
                      <w:highlight w:val="none"/>
                      <w:lang w:val="en-US" w:eastAsia="zh-CN"/>
                    </w:rPr>
                    <w:t>+15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highlight w:val="none"/>
                    </w:rPr>
                    <w:t>塔体外围整体自带金属防尘网</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szCs w:val="21"/>
                      <w:highlight w:val="none"/>
                    </w:rPr>
                    <w:t>输送机安装防止扬尘挡板</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1313" w:type="dxa"/>
                  <w:noWrap w:val="0"/>
                  <w:vAlign w:val="center"/>
                </w:tcPr>
                <w:p>
                  <w:pPr>
                    <w:overflowPunct w:val="0"/>
                    <w:jc w:val="center"/>
                    <w:rPr>
                      <w:color w:val="auto"/>
                      <w:szCs w:val="21"/>
                      <w:highlight w:val="none"/>
                    </w:rPr>
                  </w:pPr>
                  <w:r>
                    <w:rPr>
                      <w:color w:val="auto"/>
                      <w:szCs w:val="21"/>
                      <w:highlight w:val="none"/>
                    </w:rPr>
                    <w:t>固废</w:t>
                  </w: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color w:val="auto"/>
                      <w:szCs w:val="21"/>
                      <w:highlight w:val="none"/>
                    </w:rPr>
                  </w:pPr>
                  <w:r>
                    <w:rPr>
                      <w:color w:val="auto"/>
                      <w:szCs w:val="21"/>
                      <w:highlight w:val="none"/>
                    </w:rPr>
                    <w:t>噪声</w:t>
                  </w:r>
                </w:p>
              </w:tc>
              <w:tc>
                <w:tcPr>
                  <w:tcW w:w="5570" w:type="dxa"/>
                  <w:noWrap w:val="0"/>
                  <w:vAlign w:val="center"/>
                </w:tcPr>
                <w:p>
                  <w:pPr>
                    <w:overflowPunct w:val="0"/>
                    <w:jc w:val="center"/>
                    <w:rPr>
                      <w:color w:val="auto"/>
                      <w:szCs w:val="21"/>
                      <w:highlight w:val="none"/>
                    </w:rPr>
                  </w:pPr>
                  <w:r>
                    <w:rPr>
                      <w:rFonts w:hint="eastAsia" w:cs="宋体"/>
                      <w:color w:val="auto"/>
                      <w:szCs w:val="21"/>
                      <w:highlight w:val="none"/>
                    </w:rPr>
                    <w:t>风机进、出风口装设消音器</w:t>
                  </w:r>
                  <w:r>
                    <w:rPr>
                      <w:rFonts w:hint="eastAsia" w:cs="宋体"/>
                      <w:color w:val="auto"/>
                      <w:szCs w:val="21"/>
                      <w:highlight w:val="none"/>
                      <w:lang w:eastAsia="zh-CN"/>
                    </w:rPr>
                    <w:t>、</w:t>
                  </w:r>
                  <w:r>
                    <w:rPr>
                      <w:rFonts w:hint="eastAsia" w:cs="宋体"/>
                      <w:color w:val="auto"/>
                      <w:szCs w:val="21"/>
                      <w:highlight w:val="none"/>
                    </w:rPr>
                    <w:t>减振装置、隔声措施</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6883" w:type="dxa"/>
                  <w:gridSpan w:val="2"/>
                  <w:noWrap w:val="0"/>
                  <w:vAlign w:val="center"/>
                </w:tcPr>
                <w:p>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836" w:type="dxa"/>
            <w:noWrap w:val="0"/>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8802" w:type="dxa"/>
            <w:noWrap w:val="0"/>
            <w:vAlign w:val="top"/>
          </w:tcPr>
          <w:p>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object>
                <v:shape id="_x0000_i1027" o:spt="75" type="#_x0000_t75" style="height:203.55pt;width:383.7pt;" o:ole="t" filled="f" o:preferrelative="t" stroked="f" coordsize="21600,21600">
                  <v:path/>
                  <v:fill on="f" focussize="0,0"/>
                  <v:stroke on="f"/>
                  <v:imagedata r:id="rId18" o:title=""/>
                  <o:lock v:ext="edit" aspectratio="t"/>
                  <w10:wrap type="none"/>
                  <w10:anchorlock/>
                </v:shape>
                <o:OLEObject Type="Embed" ProgID="" ShapeID="_x0000_i1027" DrawAspect="Content" ObjectID="_1468075727" r:id="rId17">
                  <o:LockedField>false</o:LockedField>
                </o:OLEObject>
              </w:object>
            </w:r>
          </w:p>
          <w:p>
            <w:pPr>
              <w:pStyle w:val="80"/>
              <w:adjustRightInd/>
              <w:snapToGrid/>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 xml:space="preserve"> 本项目工艺流程及产污环节图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（1）粮食装卸及筛分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进厂潮粮在粮食仓库内卸料后，入烘干塔烘干前，先经清理筛分机去除杂质，筛分出的石子等杂质集中收集，定期由市政</w:t>
            </w:r>
            <w:r>
              <w:rPr>
                <w:rFonts w:hint="default" w:ascii="Times New Roman" w:hAnsi="Times New Roman" w:cs="Times New Roman"/>
                <w:color w:val="auto"/>
                <w:sz w:val="24"/>
                <w:szCs w:val="24"/>
                <w:lang w:val="en-US" w:eastAsia="zh-CN"/>
              </w:rPr>
              <w:t>环卫</w:t>
            </w:r>
            <w:r>
              <w:rPr>
                <w:rFonts w:hint="default" w:ascii="Times New Roman" w:hAnsi="Times New Roman" w:cs="Times New Roman"/>
                <w:color w:val="auto"/>
                <w:kern w:val="0"/>
                <w:sz w:val="24"/>
                <w:szCs w:val="24"/>
                <w:highlight w:val="none"/>
                <w:lang w:val="en-US" w:eastAsia="zh-CN"/>
              </w:rPr>
              <w:t>部门清理处置。烘干后的干粮入库储存，待后续加工单位进库装车运输。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（2）热气输送至烘干塔流程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烟气经经布袋除尘器处理达标后由烟囱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（3）烘干塔内工艺流程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在烘干塔内，由于粮食自重，自上而下流动，热风由塔底进入，朝上方向穿过粮层，热风在穿过粮层时，与粮粒间进行湿热传递，热风将热量转给粮粒，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pPr>
              <w:pStyle w:val="8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项目产污环节汇总</w:t>
            </w:r>
            <w:r>
              <w:rPr>
                <w:rFonts w:hint="default" w:ascii="Times New Roman" w:hAnsi="Times New Roman" w:cs="Times New Roman"/>
                <w:b/>
                <w:bCs/>
                <w:color w:val="auto"/>
                <w:sz w:val="21"/>
                <w:szCs w:val="21"/>
                <w:highlight w:val="none"/>
              </w:rPr>
              <w:t>表</w:t>
            </w:r>
          </w:p>
          <w:tbl>
            <w:tblPr>
              <w:tblStyle w:val="32"/>
              <w:tblW w:w="85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715"/>
              <w:gridCol w:w="3232"/>
              <w:gridCol w:w="2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 w:hRule="atLeast"/>
                <w:jc w:val="center"/>
              </w:trPr>
              <w:tc>
                <w:tcPr>
                  <w:tcW w:w="912"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15"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装卸、筛分、输送、烘干塔废气等</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tblPrEx>
                <w:tblLayout w:type="fixed"/>
                <w:tblCellMar>
                  <w:top w:w="0" w:type="dxa"/>
                  <w:left w:w="108" w:type="dxa"/>
                  <w:bottom w:w="0" w:type="dxa"/>
                  <w:right w:w="108" w:type="dxa"/>
                </w:tblCellMar>
              </w:tblPrEx>
              <w:trPr>
                <w:cantSplit/>
                <w:trHeight w:val="89"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热风炉烟气</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1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2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2"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清粮筛分机、输送机、风机、烘干塔等设备</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jc w:val="center"/>
              </w:trPr>
              <w:tc>
                <w:tcPr>
                  <w:tcW w:w="912"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715"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潮粮进厂筛选</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沙泥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装卸、折流挡板、</w:t>
                  </w:r>
                  <w:r>
                    <w:rPr>
                      <w:rFonts w:hint="eastAsia" w:ascii="Times New Roman" w:hAnsi="Times New Roman" w:cs="Times New Roman"/>
                      <w:color w:val="auto"/>
                      <w:szCs w:val="21"/>
                      <w:highlight w:val="none"/>
                      <w:lang w:val="en-US" w:eastAsia="zh-CN"/>
                    </w:rPr>
                    <w:t>清理筛、</w:t>
                  </w:r>
                  <w:r>
                    <w:rPr>
                      <w:rFonts w:hint="eastAsia"/>
                      <w:color w:val="auto"/>
                      <w:highlight w:val="none"/>
                      <w:lang w:val="en-US" w:eastAsia="zh-CN"/>
                    </w:rPr>
                    <w:t>粮仓地面等</w:t>
                  </w:r>
                  <w:r>
                    <w:rPr>
                      <w:rFonts w:hint="default" w:ascii="Times New Roman" w:hAnsi="Times New Roman" w:eastAsia="宋体" w:cs="Times New Roman"/>
                      <w:color w:val="auto"/>
                      <w:szCs w:val="21"/>
                      <w:highlight w:val="none"/>
                      <w:lang w:val="en-US" w:eastAsia="zh-CN"/>
                    </w:rPr>
                    <w:t>收尘</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热风炉灰渣及布袋除尘器收灰</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36" w:type="dxa"/>
            <w:noWrap w:val="0"/>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8802" w:type="dxa"/>
            <w:noWrap w:val="0"/>
            <w:vAlign w:val="center"/>
          </w:tcPr>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sz w:val="24"/>
                <w:szCs w:val="24"/>
                <w:highlight w:val="none"/>
                <w:lang w:val="en-US" w:eastAsia="zh-CN"/>
              </w:rPr>
              <w:t>无原有环境污染问题。</w:t>
            </w:r>
          </w:p>
        </w:tc>
      </w:tr>
    </w:tbl>
    <w:p>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18" w:name="_Toc21604"/>
      <w:bookmarkStart w:id="19" w:name="_Toc28470"/>
      <w:r>
        <w:rPr>
          <w:rFonts w:hint="default" w:ascii="Times New Roman" w:hAnsi="Times New Roman" w:eastAsia="黑体" w:cs="Times New Roman"/>
          <w:snapToGrid w:val="0"/>
          <w:color w:val="auto"/>
          <w:sz w:val="30"/>
          <w:szCs w:val="30"/>
        </w:rPr>
        <w:t>三、区域环境质量现状、环境保护目标及评价标准</w:t>
      </w:r>
      <w:bookmarkEnd w:id="18"/>
      <w:bookmarkEnd w:id="19"/>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7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本项目所在地属伊春市，</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w:t>
            </w:r>
            <w:r>
              <w:rPr>
                <w:rFonts w:hint="eastAsia" w:cs="Times New Roman"/>
                <w:color w:val="auto"/>
                <w:kern w:val="0"/>
                <w:sz w:val="24"/>
                <w:szCs w:val="24"/>
                <w:highlight w:val="none"/>
                <w:u w:val="none" w:color="000000"/>
                <w:lang w:val="en-US" w:eastAsia="zh-CN" w:bidi="ar-SA"/>
              </w:rPr>
              <w:t>黑龙江省</w:t>
            </w:r>
            <w:r>
              <w:rPr>
                <w:rFonts w:hint="default" w:ascii="Times New Roman" w:hAnsi="Times New Roman" w:eastAsia="宋体" w:cs="Times New Roman"/>
                <w:color w:val="auto"/>
                <w:kern w:val="0"/>
                <w:sz w:val="24"/>
                <w:szCs w:val="24"/>
                <w:highlight w:val="none"/>
                <w:u w:val="none" w:color="000000"/>
                <w:lang w:val="en-US" w:eastAsia="zh-CN" w:bidi="ar-SA"/>
              </w:rPr>
              <w:t>生态环境质量</w:t>
            </w:r>
            <w:r>
              <w:rPr>
                <w:rFonts w:hint="eastAsia" w:cs="Times New Roman"/>
                <w:color w:val="auto"/>
                <w:kern w:val="0"/>
                <w:sz w:val="24"/>
                <w:szCs w:val="24"/>
                <w:highlight w:val="none"/>
                <w:u w:val="none" w:color="000000"/>
                <w:lang w:val="en-US" w:eastAsia="zh-CN" w:bidi="ar-SA"/>
              </w:rPr>
              <w:t>状况</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年，全市环境空气质量达标，二氧化硫、二氧化氮年均值、可吸入颗粒物PM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、一氧化碳24小时平均第95百分位数和臭氧日最大8小时滑动平均值的第90百分位数共6项污染物年均值浓度均优于国家环境空气质量二级标准。本项目所在区域属于达标区。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202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年环境空气各项污染物达标情况一览表   单位：μg/m</w:t>
            </w:r>
            <w:r>
              <w:rPr>
                <w:rFonts w:hint="default" w:ascii="Times New Roman" w:hAnsi="Times New Roman" w:cs="Times New Roman"/>
                <w:b/>
                <w:bCs/>
                <w:color w:val="auto"/>
                <w:sz w:val="24"/>
                <w:szCs w:val="24"/>
                <w:vertAlign w:val="superscript"/>
              </w:rPr>
              <w:t>3</w:t>
            </w:r>
          </w:p>
          <w:tbl>
            <w:tblPr>
              <w:tblStyle w:val="32"/>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30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3</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60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53.33</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5</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8.33</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11</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27.5</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1.0</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r>
                    <w:rPr>
                      <w:rFonts w:hint="eastAsia"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bidi="ar"/>
                    </w:rPr>
                    <w:t>.00</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353"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060"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10</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1012"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63.75</w:t>
                  </w:r>
                </w:p>
              </w:tc>
              <w:tc>
                <w:tcPr>
                  <w:tcW w:w="1115" w:type="dxa"/>
                  <w:noWrap w:val="0"/>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rPr>
              <w:t>注：日均值第X百分位数按照《</w:t>
            </w:r>
            <w:r>
              <w:rPr>
                <w:rFonts w:hint="eastAsia" w:ascii="Times New Roman" w:hAnsi="Times New Roman" w:cs="Times New Roman"/>
                <w:color w:val="auto"/>
                <w:sz w:val="18"/>
                <w:szCs w:val="18"/>
                <w:lang w:eastAsia="zh-CN"/>
              </w:rPr>
              <w:t>环境空气质量评价技术规范</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HJ 663-2026</w:t>
            </w:r>
            <w:r>
              <w:rPr>
                <w:rFonts w:hint="default" w:ascii="Times New Roman" w:hAnsi="Times New Roman" w:cs="Times New Roman"/>
                <w:color w:val="auto"/>
                <w:sz w:val="18"/>
                <w:szCs w:val="18"/>
              </w:rPr>
              <w:t>），二氧化氮、二氧化硫X为98，PM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、一氧化碳X为95，臭氧日最大8小时平均X为90。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由表3-1可知，本项目区域属于环境空气质量达标区。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2"/>
              <w:jc w:val="center"/>
              <w:rPr>
                <w:rFonts w:hint="default" w:ascii="Times New Roman" w:hAnsi="Times New Roman" w:cs="Times New Roman"/>
                <w:color w:val="auto"/>
              </w:rPr>
            </w:pPr>
            <w:r>
              <w:drawing>
                <wp:inline distT="0" distB="0" distL="114300" distR="114300">
                  <wp:extent cx="4209415" cy="3303905"/>
                  <wp:effectExtent l="0" t="0" r="63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209415" cy="3303905"/>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3-1 监测点位示意图</w:t>
            </w:r>
          </w:p>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2 项目环境空气现状监测布点一览表</w:t>
            </w:r>
          </w:p>
          <w:tbl>
            <w:tblPr>
              <w:tblStyle w:val="33"/>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restart"/>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1046" w:type="dxa"/>
                  <w:vMerge w:val="restart"/>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pPr>
                    <w:pStyle w:val="2"/>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continue"/>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pPr>
                    <w:pStyle w:val="2"/>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pPr>
                    <w:pStyle w:val="2"/>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pPr>
                    <w:pStyle w:val="2"/>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pPr>
                    <w:pStyle w:val="2"/>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130.16024888</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48.39935579</w:t>
                  </w:r>
                </w:p>
              </w:tc>
              <w:tc>
                <w:tcPr>
                  <w:tcW w:w="1046" w:type="dxa"/>
                  <w:tcBorders>
                    <w:top w:val="single" w:color="000000" w:sz="8" w:space="0"/>
                  </w:tcBorders>
                  <w:noWrap w:val="0"/>
                  <w:vAlign w:val="center"/>
                </w:tcPr>
                <w:p>
                  <w:pPr>
                    <w:pStyle w:val="2"/>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pPr>
                    <w:pStyle w:val="2"/>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6.4.16-2026.4.18</w:t>
                  </w:r>
                </w:p>
              </w:tc>
              <w:tc>
                <w:tcPr>
                  <w:tcW w:w="1077" w:type="dxa"/>
                  <w:noWrap w:val="0"/>
                  <w:vAlign w:val="center"/>
                </w:tcPr>
                <w:p>
                  <w:pPr>
                    <w:pStyle w:val="2"/>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NE</w:t>
                  </w:r>
                </w:p>
              </w:tc>
              <w:tc>
                <w:tcPr>
                  <w:tcW w:w="1188" w:type="dxa"/>
                  <w:noWrap w:val="0"/>
                  <w:vAlign w:val="center"/>
                </w:tcPr>
                <w:p>
                  <w:pPr>
                    <w:pStyle w:val="2"/>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75</w:t>
                  </w:r>
                </w:p>
              </w:tc>
            </w:tr>
          </w:tbl>
          <w:p>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其他污染物环境质量现状监测结果表</w:t>
            </w:r>
          </w:p>
          <w:tbl>
            <w:tblPr>
              <w:tblStyle w:val="3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p>
              </w:tc>
              <w:tc>
                <w:tcPr>
                  <w:tcW w:w="73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130.16024888</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48.39935579</w:t>
                  </w:r>
                </w:p>
              </w:tc>
              <w:tc>
                <w:tcPr>
                  <w:tcW w:w="738"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072</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09</w:t>
                  </w:r>
                </w:p>
              </w:tc>
              <w:tc>
                <w:tcPr>
                  <w:tcW w:w="900"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36.33</w:t>
                  </w:r>
                </w:p>
              </w:tc>
              <w:tc>
                <w:tcPr>
                  <w:tcW w:w="64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监测结果无超标现象，达到了《环境空气质量标准》（GB3095-2026）过渡阶段二级标准要求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乌拉嘎河</w:t>
            </w:r>
            <w:r>
              <w:rPr>
                <w:rFonts w:hint="eastAsia" w:ascii="Times New Roman" w:hAnsi="Times New Roman" w:eastAsia="宋体" w:cs="Times New Roman"/>
                <w:color w:val="auto"/>
                <w:kern w:val="0"/>
                <w:sz w:val="24"/>
                <w:szCs w:val="24"/>
                <w:highlight w:val="none"/>
                <w:u w:val="none" w:color="000000"/>
                <w:lang w:val="en-US" w:eastAsia="zh-CN" w:bidi="ar-SA"/>
              </w:rPr>
              <w:t>，属于黑龙江</w:t>
            </w:r>
            <w:r>
              <w:rPr>
                <w:rFonts w:hint="eastAsia" w:cs="Times New Roman"/>
                <w:color w:val="auto"/>
                <w:kern w:val="0"/>
                <w:sz w:val="24"/>
                <w:szCs w:val="24"/>
                <w:highlight w:val="none"/>
                <w:u w:val="none" w:color="000000"/>
                <w:lang w:val="en-US" w:eastAsia="zh-CN" w:bidi="ar-SA"/>
              </w:rPr>
              <w:t>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，本项目附近地表水体属于黑龙江干流嘉荫断面，黑龙江干流嘉荫断面为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根据《建设项目环境影响报告表编制技术指南（污染影响类）（试行）》，厂</w:t>
            </w:r>
            <w:r>
              <w:rPr>
                <w:rFonts w:hint="eastAsia" w:cs="宋体"/>
                <w:color w:val="auto"/>
                <w:kern w:val="0"/>
                <w:sz w:val="24"/>
              </w:rPr>
              <w:t>界外周边50米范围内存在声环境保护目标的建设项目，应监测保护目标声环境质量现状并评价达标情况。</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w:t>
            </w:r>
            <w:r>
              <w:rPr>
                <w:rFonts w:cs="宋体"/>
                <w:color w:val="auto"/>
                <w:kern w:val="0"/>
                <w:sz w:val="24"/>
              </w:rPr>
              <w:t>。</w:t>
            </w:r>
            <w:r>
              <w:rPr>
                <w:rFonts w:hint="eastAsia" w:cs="宋体"/>
                <w:color w:val="auto"/>
                <w:kern w:val="0"/>
                <w:sz w:val="24"/>
                <w:lang w:val="en-US" w:eastAsia="zh-CN"/>
              </w:rPr>
              <w:t>环境监测点位示意图见图3-1，监测结果如下：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2"/>
              <w:tblW w:w="83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126"/>
              <w:gridCol w:w="2120"/>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20" w:name="_Toc19416"/>
                  <w:bookmarkStart w:id="21" w:name="_Toc746"/>
                  <w:bookmarkStart w:id="22" w:name="_Toc6289"/>
                  <w:r>
                    <w:rPr>
                      <w:rFonts w:hint="eastAsia" w:ascii="Times New Roman" w:hAnsiTheme="minorEastAsia" w:eastAsiaTheme="minorEastAsia"/>
                      <w:b/>
                      <w:sz w:val="21"/>
                      <w:szCs w:val="21"/>
                    </w:rPr>
                    <w:t>检测点位</w:t>
                  </w:r>
                </w:p>
              </w:tc>
              <w:tc>
                <w:tcPr>
                  <w:tcW w:w="4246"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514"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246" w:type="dxa"/>
                  <w:gridSpan w:val="2"/>
                  <w:tcBorders>
                    <w:top w:val="single" w:color="auto" w:sz="4" w:space="0"/>
                    <w:bottom w:val="single" w:color="auto" w:sz="4" w:space="0"/>
                  </w:tcBorders>
                  <w:vAlign w:val="center"/>
                </w:tcPr>
                <w:p>
                  <w:pPr>
                    <w:spacing w:after="0"/>
                    <w:jc w:val="center"/>
                    <w:rPr>
                      <w:rFonts w:hint="eastAsia" w:ascii="Times New Roman" w:hAnsiTheme="minorEastAsia" w:eastAsiaTheme="minorEastAsia"/>
                      <w:b/>
                      <w:sz w:val="21"/>
                      <w:szCs w:val="21"/>
                      <w:lang w:val="en-US" w:eastAsia="zh-CN"/>
                    </w:rPr>
                  </w:pPr>
                  <w:r>
                    <w:rPr>
                      <w:rFonts w:ascii="Times New Roman" w:hAnsiTheme="minorEastAsia" w:eastAsiaTheme="minorEastAsia"/>
                      <w:b/>
                      <w:sz w:val="21"/>
                      <w:szCs w:val="21"/>
                    </w:rPr>
                    <w:t>2026.04.1</w:t>
                  </w:r>
                  <w:r>
                    <w:rPr>
                      <w:rFonts w:hint="eastAsia" w:hAnsiTheme="minorEastAsia" w:eastAsiaTheme="minorEastAsia"/>
                      <w:b/>
                      <w:sz w:val="21"/>
                      <w:szCs w:val="21"/>
                      <w:lang w:val="en-US" w:eastAsia="zh-CN"/>
                    </w:rPr>
                    <w:t>6</w:t>
                  </w:r>
                </w:p>
              </w:tc>
              <w:tc>
                <w:tcPr>
                  <w:tcW w:w="1514"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126"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120"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514"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tcBorders>
                    <w:top w:val="single" w:color="auto" w:sz="12" w:space="0"/>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厂界北侧居民1#</w:t>
                  </w:r>
                </w:p>
              </w:tc>
              <w:tc>
                <w:tcPr>
                  <w:tcW w:w="2126" w:type="dxa"/>
                  <w:tcBorders>
                    <w:top w:val="single" w:color="auto" w:sz="12" w:space="0"/>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51</w:t>
                  </w:r>
                </w:p>
              </w:tc>
              <w:tc>
                <w:tcPr>
                  <w:tcW w:w="2120" w:type="dxa"/>
                  <w:tcBorders>
                    <w:top w:val="single" w:color="auto" w:sz="12" w:space="0"/>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42</w:t>
                  </w:r>
                </w:p>
              </w:tc>
              <w:tc>
                <w:tcPr>
                  <w:tcW w:w="1514"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厂界东侧居民2#</w:t>
                  </w:r>
                </w:p>
              </w:tc>
              <w:tc>
                <w:tcPr>
                  <w:tcW w:w="2126"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53</w:t>
                  </w:r>
                </w:p>
              </w:tc>
              <w:tc>
                <w:tcPr>
                  <w:tcW w:w="2120"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41</w:t>
                  </w:r>
                </w:p>
              </w:tc>
              <w:tc>
                <w:tcPr>
                  <w:tcW w:w="1514"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厂界南侧居民3#</w:t>
                  </w:r>
                </w:p>
              </w:tc>
              <w:tc>
                <w:tcPr>
                  <w:tcW w:w="2126"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49</w:t>
                  </w:r>
                </w:p>
              </w:tc>
              <w:tc>
                <w:tcPr>
                  <w:tcW w:w="2120"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39</w:t>
                  </w:r>
                </w:p>
              </w:tc>
              <w:tc>
                <w:tcPr>
                  <w:tcW w:w="1514"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厂界西侧居民4#</w:t>
                  </w:r>
                </w:p>
              </w:tc>
              <w:tc>
                <w:tcPr>
                  <w:tcW w:w="2126"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53</w:t>
                  </w:r>
                </w:p>
              </w:tc>
              <w:tc>
                <w:tcPr>
                  <w:tcW w:w="2120" w:type="dxa"/>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sz w:val="21"/>
                      <w:szCs w:val="21"/>
                      <w:highlight w:val="none"/>
                      <w:lang w:val="en-US" w:eastAsia="zh-CN"/>
                    </w:rPr>
                    <w:t>43</w:t>
                  </w:r>
                </w:p>
              </w:tc>
              <w:tc>
                <w:tcPr>
                  <w:tcW w:w="1514" w:type="dxa"/>
                  <w:vMerge w:val="continue"/>
                  <w:vAlign w:val="center"/>
                </w:tcPr>
                <w:p>
                  <w:pPr>
                    <w:spacing w:after="0"/>
                    <w:jc w:val="center"/>
                    <w:rPr>
                      <w:rFonts w:ascii="Times New Roman" w:hAnsi="Times New Roman" w:eastAsiaTheme="minorEastAsia"/>
                      <w:sz w:val="21"/>
                      <w:szCs w:val="21"/>
                    </w:rPr>
                  </w:pPr>
                </w:p>
              </w:tc>
            </w:tr>
          </w:tbl>
          <w:p>
            <w:pPr>
              <w:spacing w:line="360" w:lineRule="auto"/>
              <w:ind w:firstLine="480" w:firstLineChars="200"/>
              <w:contextualSpacing/>
              <w:jc w:val="left"/>
              <w:rPr>
                <w:rFonts w:hint="default"/>
                <w:color w:val="auto"/>
                <w:lang w:val="en-US" w:eastAsia="zh-CN"/>
              </w:rPr>
            </w:pPr>
            <w:r>
              <w:rPr>
                <w:rFonts w:ascii="Times New Roman" w:hAnsi="Times New Roman" w:eastAsia="宋体" w:cs="宋体"/>
                <w:b w:val="0"/>
                <w:bCs w:val="0"/>
                <w:color w:val="auto"/>
                <w:kern w:val="0"/>
                <w:sz w:val="24"/>
                <w:szCs w:val="24"/>
                <w:lang w:val="en-US" w:eastAsia="zh-CN" w:bidi="ar-SA"/>
              </w:rPr>
              <w:t>由上表可知，本项目</w:t>
            </w:r>
            <w:r>
              <w:rPr>
                <w:rFonts w:hint="eastAsia" w:eastAsia="宋体" w:cs="宋体"/>
                <w:b w:val="0"/>
                <w:bCs w:val="0"/>
                <w:color w:val="auto"/>
                <w:kern w:val="0"/>
                <w:sz w:val="24"/>
                <w:szCs w:val="24"/>
                <w:lang w:val="en-US" w:eastAsia="zh-CN" w:bidi="ar-SA"/>
              </w:rPr>
              <w:t>所在区域</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20"/>
            <w:bookmarkEnd w:id="21"/>
            <w:bookmarkEnd w:id="2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780" w:type="dxa"/>
            <w:noWrap w:val="0"/>
            <w:vAlign w:val="top"/>
          </w:tcPr>
          <w:p>
            <w:pPr>
              <w:numPr>
                <w:ilvl w:val="0"/>
                <w:numId w:val="0"/>
              </w:numPr>
              <w:spacing w:line="360" w:lineRule="auto"/>
              <w:ind w:firstLine="498" w:firstLineChars="200"/>
              <w:rPr>
                <w:b/>
                <w:bCs/>
                <w:color w:val="auto"/>
                <w:spacing w:val="4"/>
                <w:sz w:val="24"/>
              </w:rPr>
            </w:pP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金水村居民</w:t>
            </w:r>
            <w:r>
              <w:rPr>
                <w:color w:val="auto"/>
                <w:spacing w:val="4"/>
                <w:sz w:val="24"/>
              </w:rPr>
              <w:t>，环境空气保护目标详见下表。</w:t>
            </w:r>
          </w:p>
          <w:p>
            <w:pPr>
              <w:pStyle w:val="102"/>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2"/>
              <w:tblW w:w="85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508"/>
              <w:gridCol w:w="1456"/>
              <w:gridCol w:w="886"/>
              <w:gridCol w:w="725"/>
              <w:gridCol w:w="1018"/>
              <w:gridCol w:w="870"/>
              <w:gridCol w:w="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名称</w:t>
                  </w:r>
                </w:p>
              </w:tc>
              <w:tc>
                <w:tcPr>
                  <w:tcW w:w="2964" w:type="dxa"/>
                  <w:gridSpan w:val="2"/>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坐标</w:t>
                  </w:r>
                </w:p>
              </w:tc>
              <w:tc>
                <w:tcPr>
                  <w:tcW w:w="886"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对象</w:t>
                  </w:r>
                </w:p>
              </w:tc>
              <w:tc>
                <w:tcPr>
                  <w:tcW w:w="725"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内容</w:t>
                  </w:r>
                </w:p>
              </w:tc>
              <w:tc>
                <w:tcPr>
                  <w:tcW w:w="1018"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环境</w:t>
                  </w:r>
                </w:p>
                <w:p>
                  <w:pPr>
                    <w:pStyle w:val="57"/>
                    <w:spacing w:before="24" w:after="24" w:line="240" w:lineRule="auto"/>
                    <w:ind w:left="-3" w:firstLine="3"/>
                    <w:rPr>
                      <w:rFonts w:ascii="Times New Roman"/>
                      <w:color w:val="auto"/>
                      <w:szCs w:val="21"/>
                    </w:rPr>
                  </w:pPr>
                  <w:r>
                    <w:rPr>
                      <w:rFonts w:ascii="Times New Roman"/>
                      <w:color w:val="auto"/>
                      <w:szCs w:val="21"/>
                    </w:rPr>
                    <w:t>功能区</w:t>
                  </w:r>
                </w:p>
              </w:tc>
              <w:tc>
                <w:tcPr>
                  <w:tcW w:w="870" w:type="dxa"/>
                  <w:vMerge w:val="restart"/>
                  <w:noWrap w:val="0"/>
                  <w:vAlign w:val="center"/>
                </w:tcPr>
                <w:p>
                  <w:pPr>
                    <w:rPr>
                      <w:color w:val="auto"/>
                    </w:rPr>
                  </w:pPr>
                  <w:r>
                    <w:rPr>
                      <w:color w:val="auto"/>
                    </w:rPr>
                    <w:t>相对厂址方位</w:t>
                  </w:r>
                </w:p>
              </w:tc>
              <w:tc>
                <w:tcPr>
                  <w:tcW w:w="938"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3" w:type="dxa"/>
                  <w:vMerge w:val="continue"/>
                  <w:noWrap w:val="0"/>
                  <w:vAlign w:val="center"/>
                </w:tcPr>
                <w:p>
                  <w:pPr>
                    <w:pStyle w:val="57"/>
                    <w:spacing w:before="24" w:after="24" w:line="240" w:lineRule="auto"/>
                    <w:ind w:left="-3"/>
                    <w:rPr>
                      <w:rFonts w:ascii="Times New Roman"/>
                      <w:bCs/>
                      <w:color w:val="auto"/>
                      <w:szCs w:val="21"/>
                    </w:rPr>
                  </w:pPr>
                </w:p>
              </w:tc>
              <w:tc>
                <w:tcPr>
                  <w:tcW w:w="1508"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X</w:t>
                  </w:r>
                </w:p>
              </w:tc>
              <w:tc>
                <w:tcPr>
                  <w:tcW w:w="1456"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w:t>
                  </w:r>
                </w:p>
              </w:tc>
              <w:tc>
                <w:tcPr>
                  <w:tcW w:w="886" w:type="dxa"/>
                  <w:vMerge w:val="continue"/>
                  <w:noWrap w:val="0"/>
                  <w:vAlign w:val="center"/>
                </w:tcPr>
                <w:p>
                  <w:pPr>
                    <w:rPr>
                      <w:color w:val="auto"/>
                      <w:szCs w:val="21"/>
                    </w:rPr>
                  </w:pPr>
                </w:p>
              </w:tc>
              <w:tc>
                <w:tcPr>
                  <w:tcW w:w="725" w:type="dxa"/>
                  <w:vMerge w:val="continue"/>
                  <w:noWrap w:val="0"/>
                  <w:vAlign w:val="center"/>
                </w:tcPr>
                <w:p>
                  <w:pPr>
                    <w:rPr>
                      <w:color w:val="auto"/>
                      <w:szCs w:val="21"/>
                    </w:rPr>
                  </w:pPr>
                </w:p>
              </w:tc>
              <w:tc>
                <w:tcPr>
                  <w:tcW w:w="1018" w:type="dxa"/>
                  <w:vMerge w:val="continue"/>
                  <w:noWrap w:val="0"/>
                  <w:vAlign w:val="center"/>
                </w:tcPr>
                <w:p>
                  <w:pPr>
                    <w:rPr>
                      <w:color w:val="auto"/>
                      <w:szCs w:val="21"/>
                    </w:rPr>
                  </w:pPr>
                </w:p>
              </w:tc>
              <w:tc>
                <w:tcPr>
                  <w:tcW w:w="870" w:type="dxa"/>
                  <w:vMerge w:val="continue"/>
                  <w:noWrap w:val="0"/>
                  <w:vAlign w:val="center"/>
                </w:tcPr>
                <w:p>
                  <w:pPr>
                    <w:rPr>
                      <w:color w:val="auto"/>
                      <w:szCs w:val="21"/>
                    </w:rPr>
                  </w:pPr>
                </w:p>
              </w:tc>
              <w:tc>
                <w:tcPr>
                  <w:tcW w:w="938"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w:t>
                  </w:r>
                  <w:r>
                    <w:rPr>
                      <w:rFonts w:hint="eastAsia"/>
                      <w:color w:val="000000" w:themeColor="text1"/>
                      <w:sz w:val="21"/>
                      <w:szCs w:val="21"/>
                      <w:lang w:val="en-US" w:eastAsia="zh-CN"/>
                      <w14:textFill>
                        <w14:solidFill>
                          <w14:schemeClr w14:val="tx1"/>
                        </w14:solidFill>
                      </w14:textFill>
                    </w:rPr>
                    <w:t>金水村</w:t>
                  </w:r>
                  <w:r>
                    <w:rPr>
                      <w:rFonts w:hint="eastAsia" w:ascii="Times New Roman" w:hAnsi="Times New Roman" w:eastAsia="宋体"/>
                      <w:color w:val="000000" w:themeColor="text1"/>
                      <w:sz w:val="21"/>
                      <w:szCs w:val="21"/>
                      <w14:textFill>
                        <w14:solidFill>
                          <w14:schemeClr w14:val="tx1"/>
                        </w14:solidFill>
                      </w14:textFill>
                    </w:rPr>
                    <w:t>居民</w:t>
                  </w:r>
                </w:p>
              </w:tc>
              <w:tc>
                <w:tcPr>
                  <w:tcW w:w="1508"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lang w:val="en-US" w:eastAsia="zh-CN"/>
                    </w:rPr>
                  </w:pPr>
                  <w:r>
                    <w:rPr>
                      <w:rFonts w:hint="eastAsia"/>
                    </w:rPr>
                    <w:t>130.15871197</w:t>
                  </w:r>
                </w:p>
              </w:tc>
              <w:tc>
                <w:tcPr>
                  <w:tcW w:w="1456"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lang w:val="en-US" w:eastAsia="zh-CN"/>
                    </w:rPr>
                  </w:pPr>
                  <w:r>
                    <w:rPr>
                      <w:rFonts w:hint="eastAsia"/>
                    </w:rPr>
                    <w:t>48.40003072</w:t>
                  </w:r>
                </w:p>
              </w:tc>
              <w:tc>
                <w:tcPr>
                  <w:tcW w:w="886" w:type="dxa"/>
                  <w:shd w:val="clear" w:color="auto" w:fill="auto"/>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Cs w:val="21"/>
                    </w:rPr>
                  </w:pPr>
                  <w:r>
                    <w:rPr>
                      <w:rFonts w:hint="default" w:ascii="Times New Roman" w:hAnsi="Times New Roman" w:eastAsia="宋体" w:cs="Times New Roman"/>
                      <w:bCs/>
                      <w:color w:val="auto"/>
                      <w:szCs w:val="21"/>
                    </w:rPr>
                    <w:t>人群</w:t>
                  </w:r>
                </w:p>
              </w:tc>
              <w:tc>
                <w:tcPr>
                  <w:tcW w:w="1018" w:type="dxa"/>
                  <w:noWrap w:val="0"/>
                  <w:vAlign w:val="center"/>
                </w:tcPr>
                <w:p>
                  <w:pPr>
                    <w:pStyle w:val="57"/>
                    <w:spacing w:before="24" w:after="24" w:line="240" w:lineRule="auto"/>
                    <w:ind w:left="-3" w:firstLine="3"/>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noWrap w:val="0"/>
                  <w:vAlign w:val="center"/>
                </w:tcPr>
                <w:p>
                  <w:pPr>
                    <w:jc w:val="center"/>
                    <w:rPr>
                      <w:rFonts w:hint="default" w:ascii="Times New Roman" w:hAnsi="Times New Roman" w:eastAsia="宋体" w:cs="Times New Roman"/>
                      <w:color w:val="auto"/>
                      <w:szCs w:val="21"/>
                      <w:lang w:eastAsia="zh-CN"/>
                    </w:rPr>
                  </w:pPr>
                  <w:r>
                    <w:rPr>
                      <w:rFonts w:hint="eastAsia" w:cs="Times New Roman"/>
                      <w:color w:val="auto"/>
                      <w:lang w:val="en-US" w:eastAsia="zh-CN"/>
                    </w:rPr>
                    <w:t>北</w:t>
                  </w:r>
                </w:p>
              </w:tc>
              <w:tc>
                <w:tcPr>
                  <w:tcW w:w="938" w:type="dxa"/>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厂界东侧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eastAsia"/>
                    </w:rPr>
                    <w:t>130.15904456</w:t>
                  </w:r>
                </w:p>
              </w:tc>
              <w:tc>
                <w:tcPr>
                  <w:tcW w:w="1456" w:type="dxa"/>
                  <w:vAlign w:val="center"/>
                </w:tcPr>
                <w:p>
                  <w:pPr>
                    <w:jc w:val="center"/>
                    <w:rPr>
                      <w:rFonts w:hint="default" w:ascii="Times New Roman" w:hAnsi="Times New Roman" w:eastAsia="宋体" w:cs="Times New Roman"/>
                      <w:color w:val="auto"/>
                      <w:lang w:val="en-US" w:eastAsia="zh-CN"/>
                    </w:rPr>
                  </w:pPr>
                  <w:r>
                    <w:rPr>
                      <w:rFonts w:hint="eastAsia"/>
                    </w:rPr>
                    <w:t>48.39969593</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w:t>
                  </w:r>
                </w:p>
              </w:tc>
              <w:tc>
                <w:tcPr>
                  <w:tcW w:w="938"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南</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130.15943617</w:t>
                  </w:r>
                </w:p>
              </w:tc>
              <w:tc>
                <w:tcPr>
                  <w:tcW w:w="1456"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48.39901031</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938" w:type="dxa"/>
                  <w:shd w:val="clear" w:color="auto" w:fill="auto"/>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130.15853763</w:t>
                  </w:r>
                </w:p>
              </w:tc>
              <w:tc>
                <w:tcPr>
                  <w:tcW w:w="1456"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48.39952675</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938" w:type="dxa"/>
                  <w:shd w:val="clear" w:color="auto" w:fill="auto"/>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color w:val="auto"/>
                <w:spacing w:val="4"/>
                <w:sz w:val="24"/>
              </w:rPr>
            </w:pPr>
            <w:r>
              <w:rPr>
                <w:rFonts w:hint="eastAsia"/>
                <w:b/>
                <w:bCs/>
                <w:color w:val="auto"/>
                <w:spacing w:val="4"/>
                <w:sz w:val="24"/>
                <w:lang w:val="en-US" w:eastAsia="zh-CN"/>
              </w:rPr>
              <w:t>2</w:t>
            </w:r>
            <w:r>
              <w:rPr>
                <w:b/>
                <w:bCs/>
                <w:color w:val="auto"/>
                <w:spacing w:val="4"/>
                <w:sz w:val="24"/>
              </w:rPr>
              <w:t>、声环境保护目标</w:t>
            </w:r>
            <w:r>
              <w:rPr>
                <w:color w:val="auto"/>
                <w:spacing w:val="4"/>
                <w:sz w:val="24"/>
              </w:rPr>
              <w:t>：</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pacing w:val="4"/>
                <w:kern w:val="2"/>
                <w:sz w:val="24"/>
                <w:szCs w:val="24"/>
                <w:lang w:val="en-US" w:eastAsia="zh-CN" w:bidi="ar-SA"/>
              </w:rPr>
            </w:pPr>
            <w:r>
              <w:rPr>
                <w:rFonts w:hint="eastAsia" w:ascii="Times New Roman" w:hAnsi="Times New Roman" w:eastAsia="宋体" w:cs="Times New Roman"/>
                <w:color w:val="auto"/>
                <w:spacing w:val="4"/>
                <w:kern w:val="2"/>
                <w:sz w:val="24"/>
                <w:szCs w:val="24"/>
                <w:lang w:val="en-US" w:eastAsia="zh-CN" w:bidi="ar-SA"/>
              </w:rPr>
              <w:t>本项目50m范围内声环境保护目标见下表</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2"/>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866"/>
              <w:gridCol w:w="988"/>
              <w:gridCol w:w="803"/>
              <w:gridCol w:w="886"/>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环境元素</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环境保护目标</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方位</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color w:val="auto"/>
                      <w:szCs w:val="21"/>
                    </w:rPr>
                    <w:t>距离</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人数</w:t>
                  </w:r>
                </w:p>
              </w:tc>
              <w:tc>
                <w:tcPr>
                  <w:tcW w:w="24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w:t>
                  </w:r>
                </w:p>
              </w:tc>
              <w:tc>
                <w:tcPr>
                  <w:tcW w:w="186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w:t>
                  </w:r>
                  <w:r>
                    <w:rPr>
                      <w:rFonts w:hint="eastAsia"/>
                      <w:color w:val="000000" w:themeColor="text1"/>
                      <w:sz w:val="21"/>
                      <w:szCs w:val="21"/>
                      <w:lang w:val="en-US" w:eastAsia="zh-CN"/>
                      <w14:textFill>
                        <w14:solidFill>
                          <w14:schemeClr w14:val="tx1"/>
                        </w14:solidFill>
                      </w14:textFill>
                    </w:rPr>
                    <w:t>金水村</w:t>
                  </w:r>
                  <w:r>
                    <w:rPr>
                      <w:rFonts w:hint="eastAsia" w:ascii="Times New Roman" w:hAnsi="Times New Roman" w:eastAsia="宋体"/>
                      <w:color w:val="000000" w:themeColor="text1"/>
                      <w:sz w:val="21"/>
                      <w:szCs w:val="21"/>
                      <w14:textFill>
                        <w14:solidFill>
                          <w14:schemeClr w14:val="tx1"/>
                        </w14:solidFill>
                      </w14:textFill>
                    </w:rPr>
                    <w:t>居民</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lang w:val="en-US" w:eastAsia="zh-CN"/>
                    </w:rPr>
                    <w:t>北</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szCs w:val="21"/>
                      <w:lang w:val="en-US" w:eastAsia="zh-CN"/>
                    </w:rPr>
                    <w:t>20</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olor w:val="auto"/>
                      <w:szCs w:val="21"/>
                      <w:lang w:val="en-US" w:eastAsia="zh-CN"/>
                    </w:rPr>
                    <w:t>15</w:t>
                  </w:r>
                </w:p>
              </w:tc>
              <w:tc>
                <w:tcPr>
                  <w:tcW w:w="24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《声环境质量标准》（GB3096-2008）</w:t>
                  </w:r>
                  <w:r>
                    <w:rPr>
                      <w:rFonts w:hint="eastAsia"/>
                      <w:color w:val="auto"/>
                      <w:szCs w:val="21"/>
                      <w:lang w:val="en-US" w:eastAsia="zh-CN"/>
                    </w:rPr>
                    <w:t>2</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厂界东侧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ascii="Times New Roman" w:hAnsi="Times New Roman" w:eastAsia="宋体" w:cs="Times New Roman"/>
                      <w:color w:val="auto"/>
                      <w:kern w:val="2"/>
                      <w:sz w:val="21"/>
                      <w:szCs w:val="21"/>
                      <w:lang w:val="en-US" w:eastAsia="zh-CN" w:bidi="ar-SA"/>
                    </w:rPr>
                    <w:t>东</w:t>
                  </w:r>
                </w:p>
              </w:tc>
              <w:tc>
                <w:tcPr>
                  <w:tcW w:w="80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szCs w:val="21"/>
                      <w:lang w:val="en-US" w:eastAsia="zh-CN"/>
                    </w:rPr>
                    <w:t>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15</w:t>
                  </w:r>
                </w:p>
              </w:tc>
              <w:tc>
                <w:tcPr>
                  <w:tcW w:w="2471" w:type="dxa"/>
                  <w:vMerge w:val="continue"/>
                </w:tcPr>
                <w:p>
                  <w:pPr>
                    <w:spacing w:line="360" w:lineRule="auto"/>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南</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803"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2471" w:type="dxa"/>
                  <w:vMerge w:val="continue"/>
                </w:tcPr>
                <w:p>
                  <w:pPr>
                    <w:spacing w:line="360" w:lineRule="auto"/>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803"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9</w:t>
                  </w:r>
                </w:p>
              </w:tc>
              <w:tc>
                <w:tcPr>
                  <w:tcW w:w="2471" w:type="dxa"/>
                  <w:vMerge w:val="continue"/>
                </w:tcPr>
                <w:p>
                  <w:pPr>
                    <w:spacing w:line="360" w:lineRule="auto"/>
                    <w:jc w:val="center"/>
                    <w:rPr>
                      <w:color w:val="auto"/>
                      <w:szCs w:val="21"/>
                    </w:rPr>
                  </w:pPr>
                </w:p>
              </w:tc>
            </w:tr>
          </w:tbl>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98" w:firstLineChars="200"/>
              <w:textAlignment w:val="auto"/>
              <w:rPr>
                <w:color w:val="auto"/>
                <w:spacing w:val="4"/>
                <w:sz w:val="24"/>
              </w:rPr>
            </w:pPr>
            <w:r>
              <w:rPr>
                <w:rFonts w:hint="eastAsia"/>
                <w:b/>
                <w:bCs/>
                <w:color w:val="auto"/>
                <w:spacing w:val="4"/>
                <w:sz w:val="24"/>
                <w:lang w:val="en-US" w:eastAsia="zh-CN"/>
              </w:rPr>
              <w:t>3</w:t>
            </w:r>
            <w:r>
              <w:rPr>
                <w:b/>
                <w:bCs/>
                <w:color w:val="auto"/>
                <w:spacing w:val="4"/>
                <w:sz w:val="24"/>
              </w:rPr>
              <w:t>、地下水保护目标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24"/>
                <w:szCs w:val="24"/>
                <w:lang w:eastAsia="zh-CN"/>
              </w:rPr>
            </w:pPr>
            <w:r>
              <w:rPr>
                <w:color w:val="auto"/>
              </w:rPr>
              <w:drawing>
                <wp:anchor distT="0" distB="0" distL="114300" distR="114300" simplePos="0" relativeHeight="251675648" behindDoc="0" locked="0" layoutInCell="1" allowOverlap="1">
                  <wp:simplePos x="0" y="0"/>
                  <wp:positionH relativeFrom="column">
                    <wp:posOffset>4542155</wp:posOffset>
                  </wp:positionH>
                  <wp:positionV relativeFrom="paragraph">
                    <wp:posOffset>3810</wp:posOffset>
                  </wp:positionV>
                  <wp:extent cx="855345" cy="829945"/>
                  <wp:effectExtent l="0" t="0" r="1905" b="825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4323080</wp:posOffset>
                  </wp:positionH>
                  <wp:positionV relativeFrom="paragraph">
                    <wp:posOffset>3536950</wp:posOffset>
                  </wp:positionV>
                  <wp:extent cx="1114425" cy="971550"/>
                  <wp:effectExtent l="0" t="0" r="9525" b="0"/>
                  <wp:wrapNone/>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1"/>
                          <a:stretch>
                            <a:fillRect/>
                          </a:stretch>
                        </pic:blipFill>
                        <pic:spPr>
                          <a:xfrm>
                            <a:off x="0" y="0"/>
                            <a:ext cx="1114425" cy="971550"/>
                          </a:xfrm>
                          <a:prstGeom prst="rect">
                            <a:avLst/>
                          </a:prstGeom>
                          <a:noFill/>
                          <a:ln>
                            <a:noFill/>
                          </a:ln>
                        </pic:spPr>
                      </pic:pic>
                    </a:graphicData>
                  </a:graphic>
                </wp:anchor>
              </w:drawing>
            </w:r>
            <w:r>
              <w:drawing>
                <wp:inline distT="0" distB="0" distL="114300" distR="114300">
                  <wp:extent cx="5429885" cy="4537075"/>
                  <wp:effectExtent l="0" t="0" r="18415" b="1587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2"/>
                          <a:stretch>
                            <a:fillRect/>
                          </a:stretch>
                        </pic:blipFill>
                        <pic:spPr>
                          <a:xfrm>
                            <a:off x="0" y="0"/>
                            <a:ext cx="5429885" cy="4537075"/>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本项目评价范围与敏感目标分布</w:t>
            </w:r>
            <w:r>
              <w:rPr>
                <w:rFonts w:hint="default" w:ascii="Times New Roman" w:hAnsi="Times New Roman" w:cs="Times New Roman"/>
                <w:b/>
                <w:bCs/>
                <w:color w:val="auto"/>
                <w:sz w:val="24"/>
                <w:szCs w:val="24"/>
                <w:lang w:val="en-US" w:eastAsia="zh-CN"/>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58"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80"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ascii="Times New Roman" w:hAnsi="Times New Roman" w:cs="Times New Roman"/>
                <w:bCs/>
                <w:color w:val="auto"/>
                <w:kern w:val="0"/>
                <w:sz w:val="24"/>
              </w:rPr>
              <w:t>施工期扬尘</w:t>
            </w:r>
            <w:r>
              <w:rPr>
                <w:rFonts w:hint="eastAsia" w:ascii="Times New Roman" w:hAnsi="Times New Roman" w:cs="Times New Roman"/>
                <w:bCs/>
                <w:color w:val="auto"/>
                <w:kern w:val="0"/>
                <w:sz w:val="24"/>
                <w:lang w:val="en-US" w:eastAsia="zh-CN"/>
              </w:rPr>
              <w:t>及</w:t>
            </w:r>
            <w:r>
              <w:rPr>
                <w:rFonts w:hint="default"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颗粒物无组织排放执行《大气污染物综合排放标准》（GB16297-1996）表2中无组织排放浓度监控限值要求。</w:t>
            </w:r>
            <w:r>
              <w:rPr>
                <w:rFonts w:hint="eastAsia" w:cs="Times New Roman"/>
                <w:color w:val="auto"/>
                <w:sz w:val="24"/>
                <w:szCs w:val="24"/>
                <w:lang w:val="en-US" w:eastAsia="zh-CN"/>
              </w:rPr>
              <w:t>工业炉窑周边执行</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中表3标准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7 无组织废气排放标准</w:t>
            </w:r>
          </w:p>
          <w:tbl>
            <w:tblPr>
              <w:tblStyle w:val="32"/>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68"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工业炉窑周边：5.0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eastAsia" w:cs="Times New Roman"/>
                      <w:color w:val="auto"/>
                      <w:lang w:val="en-US" w:eastAsia="zh-CN"/>
                    </w:rPr>
                  </w:pPr>
                  <w:r>
                    <w:rPr>
                      <w:rFonts w:hint="eastAsia" w:cs="Times New Roman"/>
                      <w:color w:val="auto"/>
                      <w:lang w:val="en-US" w:eastAsia="zh-CN"/>
                    </w:rPr>
                    <w:t>《工业炉窑大气污染物排放标准》（GB9078-1996）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本项目运营期热风炉烟尘、SO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、烟气黑度排放执行《工业炉窑大气污染物排放标准》（GB9078-1996）中表2和表4二级标准。</w:t>
            </w:r>
          </w:p>
          <w:p>
            <w:pPr>
              <w:pStyle w:val="80"/>
              <w:adjustRightInd/>
              <w:snapToGrid/>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《工业炉窑大气污染物排放标准》（GB9078-1996）</w:t>
            </w:r>
          </w:p>
          <w:tbl>
            <w:tblPr>
              <w:tblStyle w:val="32"/>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1454"/>
              <w:gridCol w:w="806"/>
              <w:gridCol w:w="464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8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806"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排放</w:t>
                  </w:r>
                  <w:r>
                    <w:rPr>
                      <w:rFonts w:hint="default" w:ascii="Times New Roman" w:hAnsi="Times New Roman" w:eastAsia="宋体" w:cs="Times New Roman"/>
                      <w:color w:val="auto"/>
                      <w:lang w:eastAsia="zh-CN"/>
                    </w:rPr>
                    <w:t>限值（</w:t>
                  </w:r>
                  <w:r>
                    <w:rPr>
                      <w:rFonts w:hint="default" w:ascii="Times New Roman" w:hAnsi="Times New Roman" w:eastAsia="宋体" w:cs="Times New Roman"/>
                      <w:color w:val="auto"/>
                      <w:lang w:val="en-US" w:eastAsia="zh-CN"/>
                    </w:rPr>
                    <w:t>标准级别：二级</w:t>
                  </w:r>
                  <w:r>
                    <w:rPr>
                      <w:rFonts w:hint="default" w:ascii="Times New Roman" w:hAnsi="Times New Roman" w:eastAsia="宋体" w:cs="Times New Roman"/>
                      <w:color w:val="auto"/>
                      <w:lang w:eastAsia="zh-CN"/>
                    </w:rPr>
                    <w:t>）</w:t>
                  </w:r>
                </w:p>
              </w:tc>
              <w:tc>
                <w:tcPr>
                  <w:tcW w:w="16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4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806"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有组织</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烟（粉）尘浓度：200mg/m</w:t>
                  </w:r>
                  <w:r>
                    <w:rPr>
                      <w:rFonts w:hint="default" w:ascii="Times New Roman" w:hAnsi="Times New Roman" w:eastAsia="宋体" w:cs="Times New Roman"/>
                      <w:color w:val="auto"/>
                      <w:vertAlign w:val="superscript"/>
                      <w:lang w:val="en-US" w:eastAsia="zh-CN"/>
                    </w:rPr>
                    <w:t>3</w:t>
                  </w:r>
                </w:p>
              </w:tc>
              <w:tc>
                <w:tcPr>
                  <w:tcW w:w="1654"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9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（林格曼级）</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烟气黑度：1</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9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窑炉类别：燃煤（油）炉、窑</w:t>
                  </w:r>
                </w:p>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二氧化硫排放浓度：850mg/m</w:t>
                  </w:r>
                  <w:r>
                    <w:rPr>
                      <w:rFonts w:hint="default" w:ascii="Times New Roman" w:hAnsi="Times New Roman" w:eastAsia="宋体" w:cs="Times New Roman"/>
                      <w:color w:val="auto"/>
                      <w:vertAlign w:val="superscript"/>
                      <w:lang w:val="en-US" w:eastAsia="zh-CN"/>
                    </w:rPr>
                    <w:t>3</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0" w:hRule="atLeast"/>
                <w:jc w:val="center"/>
              </w:trPr>
              <w:tc>
                <w:tcPr>
                  <w:tcW w:w="8561" w:type="dxa"/>
                  <w:gridSpan w:val="4"/>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烟囱最低允许高度15m</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噪声执行《工业企业厂界环境噪声排放标准》(GB12348-2008)表1中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。敏感点噪声执行《声环境质量标准》（GB3096-2008）中2类标准。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9 噪声排放标准</w:t>
            </w:r>
          </w:p>
          <w:tbl>
            <w:tblPr>
              <w:tblStyle w:val="32"/>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《工业企业厂界环境噪声排放标准》(GB12348-2008)</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《声环境质量标准》（GB3096-2008）</w:t>
                  </w:r>
                </w:p>
              </w:tc>
              <w:tc>
                <w:tcPr>
                  <w:tcW w:w="1575"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7"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78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pPr>
              <w:pStyle w:val="80"/>
              <w:adjustRightInd/>
              <w:snapToGrid/>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10 </w:t>
            </w:r>
            <w:r>
              <w:rPr>
                <w:rFonts w:hint="default" w:ascii="Times New Roman" w:hAnsi="Times New Roman" w:cs="Times New Roman"/>
                <w:b/>
                <w:bCs/>
                <w:color w:val="auto"/>
                <w:sz w:val="21"/>
                <w:szCs w:val="21"/>
                <w:highlight w:val="none"/>
                <w:lang w:val="en-US" w:eastAsia="zh-CN"/>
              </w:rPr>
              <w:t>本项目总量控制指标情况表  单位：t/a</w:t>
            </w:r>
          </w:p>
          <w:tbl>
            <w:tblPr>
              <w:tblStyle w:val="33"/>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1.177</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0.504</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5.065</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3" w:name="_Toc2506"/>
      <w:bookmarkStart w:id="24" w:name="_Toc11491"/>
      <w:r>
        <w:rPr>
          <w:rFonts w:hint="default" w:ascii="Times New Roman" w:hAnsi="Times New Roman" w:eastAsia="黑体" w:cs="Times New Roman"/>
          <w:snapToGrid w:val="0"/>
          <w:color w:val="auto"/>
          <w:sz w:val="30"/>
          <w:szCs w:val="30"/>
        </w:rPr>
        <w:t>四、主要环境影响和保护措施</w:t>
      </w:r>
      <w:bookmarkEnd w:id="23"/>
      <w:bookmarkEnd w:id="24"/>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56" w:type="dxa"/>
            <w:noWrap w:val="0"/>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27"/>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8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施工期污染主要是运输汽车及施工机械产生的噪声、扬尘和施工人员产生的固体废物、生活污水等。本项目施工期内容主要为设备的安装。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一、废水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施工期施工废水沉淀后用于厂区洒水降尘。施工人员生活污水排入防渗旱厕，定期清掏。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lang w:val="en-US" w:eastAsia="zh-CN"/>
              </w:rPr>
              <w:t>二、</w:t>
            </w:r>
            <w:r>
              <w:rPr>
                <w:rFonts w:hint="eastAsia"/>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施工场地洒水抑尘，防止扬尘对周围环境空气的影响。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施工期选用低噪声设备，加强运输车辆管理，夜间停止施工等措施，采取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rPr>
            </w:pPr>
            <w:r>
              <w:rPr>
                <w:rFonts w:hint="eastAsia"/>
                <w:color w:val="auto"/>
                <w:sz w:val="24"/>
              </w:rPr>
              <w:t>措施后场界噪声符合《建筑施工噪声排放标准》(GB12523-20</w:t>
            </w:r>
            <w:r>
              <w:rPr>
                <w:rFonts w:hint="eastAsia"/>
                <w:color w:val="auto"/>
                <w:sz w:val="24"/>
                <w:lang w:val="en-US" w:eastAsia="zh-CN"/>
              </w:rPr>
              <w:t>25</w:t>
            </w:r>
            <w:r>
              <w:rPr>
                <w:rFonts w:hint="eastAsia"/>
                <w:color w:val="auto"/>
                <w:sz w:val="24"/>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四、固体废物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eastAsia"/>
                <w:color w:val="auto"/>
                <w:sz w:val="24"/>
              </w:rPr>
              <w:t>本项目施工人员约</w:t>
            </w:r>
            <w:r>
              <w:rPr>
                <w:rFonts w:hint="eastAsia"/>
                <w:color w:val="auto"/>
                <w:sz w:val="24"/>
                <w:lang w:val="en-US" w:eastAsia="zh-CN"/>
              </w:rPr>
              <w:t>10</w:t>
            </w:r>
            <w:r>
              <w:rPr>
                <w:rFonts w:hint="eastAsia"/>
                <w:color w:val="auto"/>
                <w:sz w:val="24"/>
              </w:rPr>
              <w:t>人，按照每人每天产生垃圾 0.5kg，工作日以</w:t>
            </w:r>
            <w:r>
              <w:rPr>
                <w:rFonts w:hint="eastAsia"/>
                <w:color w:val="auto"/>
                <w:sz w:val="24"/>
                <w:lang w:val="en-US" w:eastAsia="zh-CN"/>
              </w:rPr>
              <w:t>30</w:t>
            </w:r>
            <w:r>
              <w:rPr>
                <w:rFonts w:hint="eastAsia"/>
                <w:color w:val="auto"/>
                <w:sz w:val="24"/>
              </w:rPr>
              <w:t>d 计算，则生活垃圾的产生量为0.</w:t>
            </w:r>
            <w:r>
              <w:rPr>
                <w:rFonts w:hint="eastAsia"/>
                <w:color w:val="auto"/>
                <w:sz w:val="24"/>
                <w:lang w:val="en-US" w:eastAsia="zh-CN"/>
              </w:rPr>
              <w:t>15</w:t>
            </w:r>
            <w:r>
              <w:rPr>
                <w:rFonts w:hint="eastAsia"/>
                <w:color w:val="auto"/>
                <w:sz w:val="24"/>
              </w:rPr>
              <w:t>t/a。产生的生活垃圾定点袋装后交由市政部门统一处理。建筑垃圾运送至指定地点处置，不对外随意排放，对当地环境影响较小</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5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8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本项目主要废气源为</w:t>
            </w:r>
            <w:r>
              <w:rPr>
                <w:rFonts w:hint="eastAsia" w:cs="Times New Roman"/>
                <w:bCs/>
                <w:color w:val="auto"/>
                <w:spacing w:val="-10"/>
                <w:sz w:val="24"/>
                <w:szCs w:val="24"/>
                <w:lang w:val="en-US" w:eastAsia="zh-CN"/>
              </w:rPr>
              <w:t>粮食</w:t>
            </w:r>
            <w:r>
              <w:rPr>
                <w:rFonts w:hint="default" w:ascii="Times New Roman" w:hAnsi="Times New Roman" w:eastAsia="宋体" w:cs="Times New Roman"/>
                <w:bCs/>
                <w:color w:val="auto"/>
                <w:spacing w:val="-10"/>
                <w:sz w:val="24"/>
                <w:szCs w:val="24"/>
                <w:lang w:val="en-US" w:eastAsia="zh-CN"/>
              </w:rPr>
              <w:t>装卸、筛分、输送等过程产生的颗粒物、玉米烘干过程产生的颗粒物、热风炉产生的含颗粒物、二氧化硫、氮氧化物的烟气</w:t>
            </w:r>
            <w:r>
              <w:rPr>
                <w:rFonts w:hint="eastAsia" w:cs="Times New Roman"/>
                <w:bCs/>
                <w:color w:val="auto"/>
                <w:spacing w:val="-10"/>
                <w:sz w:val="24"/>
                <w:szCs w:val="24"/>
                <w:lang w:val="en-US" w:eastAsia="zh-CN"/>
              </w:rPr>
              <w:t>，粮食晒场主要为潮粮，产尘量可忽略不计</w:t>
            </w:r>
            <w:r>
              <w:rPr>
                <w:rFonts w:hint="default" w:ascii="Times New Roman" w:hAnsi="Times New Roman" w:eastAsia="宋体" w:cs="Times New Roman"/>
                <w:bCs/>
                <w:color w:val="auto"/>
                <w:spacing w:val="-10"/>
                <w:sz w:val="24"/>
                <w:szCs w:val="24"/>
                <w:lang w:val="en-US" w:eastAsia="zh-CN"/>
              </w:rPr>
              <w:t>。热风炉布袋除尘器及炉底定期清灰后，灰渣直接装袋封装，灰渣仓库临时堆放，产生少量粉尘可忽略不计。为降低颗粒物排放量，本项目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粮食</w:t>
            </w:r>
            <w:r>
              <w:rPr>
                <w:rFonts w:hint="default" w:ascii="Times New Roman" w:hAnsi="Times New Roman" w:cs="Times New Roman"/>
                <w:color w:val="auto"/>
                <w:sz w:val="24"/>
                <w:szCs w:val="24"/>
              </w:rPr>
              <w:t>仓库</w:t>
            </w:r>
            <w:r>
              <w:rPr>
                <w:rFonts w:hint="default" w:ascii="Times New Roman" w:hAnsi="Times New Roman" w:cs="Times New Roman"/>
                <w:color w:val="auto"/>
                <w:sz w:val="24"/>
                <w:szCs w:val="24"/>
                <w:lang w:val="en-US" w:eastAsia="zh-CN"/>
              </w:rPr>
              <w:t>封闭</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运输车辆进入粮食仓库内装卸料</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装卸区设置遮挡设施，清选工艺采用封闭式清理筛；烘干塔体两侧排气孔设置折流挡板，有效降低颗粒物无组织排放量。热风炉烟气经布袋除尘器净化后由15m高烟囱高空排放。</w:t>
            </w:r>
            <w:r>
              <w:rPr>
                <w:rFonts w:hint="default" w:ascii="Times New Roman" w:hAnsi="Times New Roman" w:eastAsia="宋体" w:cs="Times New Roman"/>
                <w:bCs/>
                <w:color w:val="auto"/>
                <w:spacing w:val="-10"/>
                <w:sz w:val="24"/>
                <w:szCs w:val="24"/>
                <w:lang w:val="en-US" w:eastAsia="zh-CN"/>
              </w:rPr>
              <w:t>废气污染源源强核算内容如下：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（1）装卸、输送粉尘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本项目玉米装卸、输送过程中会产生废气，主要污染物为颗粒物，根据《逸散性工业粉尘控制技术》中谷物贮仓，卡车装卸粉尘系数为0.1kg/t（卸料），本项目</w:t>
            </w:r>
            <w:r>
              <w:rPr>
                <w:rFonts w:hint="eastAsia" w:ascii="Times New Roman" w:hAnsi="Times New Roman" w:eastAsia="宋体" w:cs="Times New Roman"/>
                <w:bCs/>
                <w:color w:val="auto"/>
                <w:spacing w:val="-10"/>
                <w:sz w:val="24"/>
                <w:szCs w:val="24"/>
                <w:highlight w:val="none"/>
                <w:lang w:val="en-US" w:eastAsia="zh-CN"/>
              </w:rPr>
              <w:t>粮食烘干</w:t>
            </w:r>
            <w:r>
              <w:rPr>
                <w:rFonts w:hint="default" w:ascii="Times New Roman" w:hAnsi="Times New Roman" w:eastAsia="宋体" w:cs="Times New Roman"/>
                <w:bCs/>
                <w:color w:val="auto"/>
                <w:spacing w:val="-10"/>
                <w:sz w:val="24"/>
                <w:szCs w:val="24"/>
                <w:highlight w:val="none"/>
                <w:lang w:val="en-US" w:eastAsia="zh-CN"/>
              </w:rPr>
              <w:t>装卸玉米量总</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20</w:t>
            </w:r>
            <w:r>
              <w:rPr>
                <w:rFonts w:hint="eastAsia" w:ascii="Times New Roman" w:hAnsi="Times New Roman" w:eastAsia="宋体" w:cs="Times New Roman"/>
                <w:bCs/>
                <w:color w:val="auto"/>
                <w:spacing w:val="-10"/>
                <w:sz w:val="24"/>
                <w:szCs w:val="24"/>
                <w:highlight w:val="none"/>
                <w:lang w:val="en-US" w:eastAsia="zh-CN"/>
              </w:rPr>
              <w:t>00</w:t>
            </w:r>
            <w:r>
              <w:rPr>
                <w:rFonts w:hint="default" w:ascii="Times New Roman" w:hAnsi="Times New Roman" w:eastAsia="宋体" w:cs="Times New Roman"/>
                <w:bCs/>
                <w:color w:val="auto"/>
                <w:spacing w:val="-10"/>
                <w:sz w:val="24"/>
                <w:szCs w:val="24"/>
                <w:highlight w:val="none"/>
                <w:lang w:val="en-US" w:eastAsia="zh-CN"/>
              </w:rPr>
              <w:t>吨，粉尘产生量为</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1.25</w:t>
            </w:r>
            <w:r>
              <w:rPr>
                <w:rFonts w:hint="default" w:ascii="Times New Roman" w:hAnsi="Times New Roman" w:eastAsia="宋体" w:cs="Times New Roman"/>
                <w:bCs/>
                <w:color w:val="auto"/>
                <w:spacing w:val="-10"/>
                <w:sz w:val="24"/>
                <w:szCs w:val="24"/>
                <w:highlight w:val="none"/>
                <w:lang w:val="en-US" w:eastAsia="zh-CN"/>
              </w:rPr>
              <w:t>kg/h，则装卸过程无组织排放粉尘为0.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t/a，排放速率为</w:t>
            </w:r>
            <w:r>
              <w:rPr>
                <w:rFonts w:hint="eastAsia" w:cs="Times New Roman"/>
                <w:bCs/>
                <w:color w:val="auto"/>
                <w:spacing w:val="-10"/>
                <w:sz w:val="24"/>
                <w:szCs w:val="24"/>
                <w:highlight w:val="none"/>
                <w:lang w:val="en-US" w:eastAsia="zh-CN"/>
              </w:rPr>
              <w:t>0.125</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（2）筛选粉尘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本项目玉米进入粮仓之前进行筛分，筛分产生的粉尘根据《逸散性工业粉尘控制技术》中谷物贮仓，过筛工序逸散尘排放因子取0.1kg/t。筛分量为</w:t>
            </w:r>
            <w:r>
              <w:rPr>
                <w:rFonts w:hint="eastAsia" w:cs="Times New Roman"/>
                <w:bCs/>
                <w:color w:val="auto"/>
                <w:spacing w:val="-10"/>
                <w:sz w:val="24"/>
                <w:szCs w:val="24"/>
                <w:highlight w:val="none"/>
                <w:lang w:val="en-US" w:eastAsia="zh-CN"/>
              </w:rPr>
              <w:t>11998.8</w:t>
            </w:r>
            <w:r>
              <w:rPr>
                <w:rFonts w:hint="default" w:ascii="Times New Roman" w:hAnsi="Times New Roman" w:eastAsia="宋体" w:cs="Times New Roman"/>
                <w:bCs/>
                <w:color w:val="auto"/>
                <w:spacing w:val="-10"/>
                <w:sz w:val="24"/>
                <w:szCs w:val="24"/>
                <w:highlight w:val="none"/>
                <w:lang w:val="en-US" w:eastAsia="zh-CN"/>
              </w:rPr>
              <w:t>t，产生粉尘总量为</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t/a，产生速率为</w:t>
            </w:r>
            <w:r>
              <w:rPr>
                <w:rFonts w:hint="eastAsia" w:cs="Times New Roman"/>
                <w:bCs/>
                <w:color w:val="auto"/>
                <w:spacing w:val="-10"/>
                <w:sz w:val="24"/>
                <w:szCs w:val="24"/>
                <w:highlight w:val="none"/>
                <w:lang w:val="en-US" w:eastAsia="zh-CN"/>
              </w:rPr>
              <w:t>1.25</w:t>
            </w:r>
            <w:r>
              <w:rPr>
                <w:rFonts w:hint="default" w:ascii="Times New Roman" w:hAnsi="Times New Roman" w:eastAsia="宋体" w:cs="Times New Roman"/>
                <w:bCs/>
                <w:color w:val="auto"/>
                <w:spacing w:val="-10"/>
                <w:sz w:val="24"/>
                <w:szCs w:val="24"/>
                <w:highlight w:val="none"/>
                <w:lang w:val="en-US" w:eastAsia="zh-CN"/>
              </w:rPr>
              <w:t>kg/h，筛分设备密闭，产生的粉尘经设备自带布袋除尘器处理后排放，处理效率为9</w:t>
            </w:r>
            <w:r>
              <w:rPr>
                <w:rFonts w:hint="eastAsia" w:ascii="Times New Roman" w:hAnsi="Times New Roman" w:eastAsia="宋体" w:cs="Times New Roman"/>
                <w:bCs/>
                <w:color w:val="auto"/>
                <w:spacing w:val="-10"/>
                <w:sz w:val="24"/>
                <w:szCs w:val="24"/>
                <w:highlight w:val="none"/>
                <w:lang w:val="en-US" w:eastAsia="zh-CN"/>
              </w:rPr>
              <w:t>0</w:t>
            </w:r>
            <w:r>
              <w:rPr>
                <w:rFonts w:hint="default" w:ascii="Times New Roman" w:hAnsi="Times New Roman" w:eastAsia="宋体" w:cs="Times New Roman"/>
                <w:bCs/>
                <w:color w:val="auto"/>
                <w:spacing w:val="-10"/>
                <w:sz w:val="24"/>
                <w:szCs w:val="24"/>
                <w:highlight w:val="none"/>
                <w:lang w:val="en-US" w:eastAsia="zh-CN"/>
              </w:rPr>
              <w:t>%，则粉尘排放量为0.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125</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（3）烘干粉尘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本项目年使用烘干塔</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h/a。粮食经烘干塔烘干时产生粉尘，根据《逸散性工业粉尘控制技术（中国环境科学出版社）》，过筛工序逸散尘排放因子取0.1kg/t，本项目进入烘干塔玉米量为</w:t>
            </w:r>
            <w:r>
              <w:rPr>
                <w:rFonts w:hint="eastAsia" w:cs="Times New Roman"/>
                <w:bCs/>
                <w:color w:val="auto"/>
                <w:spacing w:val="-10"/>
                <w:sz w:val="24"/>
                <w:szCs w:val="24"/>
                <w:highlight w:val="none"/>
                <w:lang w:val="en-US" w:eastAsia="zh-CN"/>
              </w:rPr>
              <w:t>11997.6</w:t>
            </w:r>
            <w:r>
              <w:rPr>
                <w:rFonts w:hint="default" w:ascii="Times New Roman" w:hAnsi="Times New Roman" w:eastAsia="宋体" w:cs="Times New Roman"/>
                <w:bCs/>
                <w:color w:val="auto"/>
                <w:spacing w:val="-10"/>
                <w:sz w:val="24"/>
                <w:szCs w:val="24"/>
                <w:highlight w:val="none"/>
                <w:lang w:val="en-US" w:eastAsia="zh-CN"/>
              </w:rPr>
              <w:t>t/a，粉尘产生量为</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1.25</w:t>
            </w:r>
            <w:r>
              <w:rPr>
                <w:rFonts w:hint="default" w:ascii="Times New Roman" w:hAnsi="Times New Roman" w:eastAsia="宋体" w:cs="Times New Roman"/>
                <w:bCs/>
                <w:color w:val="auto"/>
                <w:spacing w:val="-10"/>
                <w:sz w:val="24"/>
                <w:szCs w:val="24"/>
                <w:highlight w:val="none"/>
                <w:lang w:val="en-US" w:eastAsia="zh-CN"/>
              </w:rPr>
              <w:t>kg/h，烘干塔内部自带重力沉降室，四周设置防尘挡板，粉尘受挡板格挡后受重力作用回落到烘干塔底部收尘设施中，少量粉尘从塔顶排放。参照《扬尘源颗粒物排放清单编制技术指南》中围挡遮围对TSP的控制效率，本项目抑尘效率按90%计，则项目烘干塔无组织粉尘排放量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125</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4</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热风炉废气有组织排放源强</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eastAsia="zh-CN"/>
              </w:rPr>
              <w:t>热风炉</w:t>
            </w:r>
            <w:r>
              <w:rPr>
                <w:rFonts w:hint="default" w:ascii="Times New Roman" w:hAnsi="Times New Roman" w:eastAsia="宋体" w:cs="Times New Roman"/>
                <w:color w:val="auto"/>
                <w:sz w:val="24"/>
                <w:highlight w:val="none"/>
              </w:rPr>
              <w:t>燃烧产生的大气污染物有SO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烟尘</w:t>
            </w:r>
            <w:r>
              <w:rPr>
                <w:rFonts w:hint="default" w:ascii="Times New Roman" w:hAnsi="Times New Roman" w:eastAsia="宋体" w:cs="Times New Roman"/>
                <w:color w:val="auto"/>
                <w:sz w:val="24"/>
                <w:highlight w:val="none"/>
              </w:rPr>
              <w:t>及NO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烟气量、</w:t>
            </w:r>
            <w:r>
              <w:rPr>
                <w:rFonts w:hint="eastAsia" w:ascii="Times New Roman" w:hAnsi="Times New Roman" w:eastAsia="宋体" w:cs="Times New Roman"/>
                <w:color w:val="auto"/>
                <w:sz w:val="24"/>
                <w:highlight w:val="none"/>
                <w:lang w:val="en-US" w:eastAsia="zh-CN"/>
              </w:rPr>
              <w:t>烟尘、</w:t>
            </w:r>
            <w:r>
              <w:rPr>
                <w:rFonts w:hint="eastAsia" w:ascii="Times New Roman" w:hAnsi="Times New Roman" w:eastAsia="宋体" w:cs="Times New Roman"/>
                <w:color w:val="auto"/>
                <w:sz w:val="24"/>
                <w:highlight w:val="none"/>
                <w:lang w:eastAsia="zh-CN"/>
              </w:rPr>
              <w:t>氮氧化物</w:t>
            </w:r>
            <w:r>
              <w:rPr>
                <w:rFonts w:hint="eastAsia" w:ascii="Times New Roman" w:hAnsi="Times New Roman" w:eastAsia="宋体" w:cs="Times New Roman"/>
                <w:color w:val="auto"/>
                <w:sz w:val="24"/>
                <w:highlight w:val="none"/>
              </w:rPr>
              <w:t>源强、二氧化硫源强</w:t>
            </w:r>
            <w:r>
              <w:rPr>
                <w:rFonts w:hint="default" w:ascii="Times New Roman" w:hAnsi="Times New Roman" w:eastAsia="宋体" w:cs="Times New Roman"/>
                <w:color w:val="auto"/>
                <w:sz w:val="24"/>
                <w:highlight w:val="none"/>
              </w:rPr>
              <w:t>根据《污染源源强核算技术指南 锅炉》（HJ888-2018）</w:t>
            </w:r>
            <w:r>
              <w:rPr>
                <w:rFonts w:hint="eastAsia" w:ascii="Times New Roman" w:hAnsi="Times New Roman" w:eastAsia="宋体" w:cs="Times New Roman"/>
                <w:color w:val="auto"/>
                <w:sz w:val="24"/>
                <w:highlight w:val="none"/>
              </w:rPr>
              <w:t>物料衡算法计算源强。</w:t>
            </w:r>
            <w:bookmarkStart w:id="25" w:name="_Hlk65495894"/>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73600"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3"/>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w:bookmarkStart w:id="26" w:name="_Toc15687"/>
            <w:bookmarkStart w:id="27" w:name="_Toc2017"/>
            <w:bookmarkStart w:id="28" w:name="_Toc13746"/>
            <w:bookmarkStart w:id="29" w:name="_Toc22421"/>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26"/>
                  <w:bookmarkEnd w:id="27"/>
                  <w:bookmarkEnd w:id="28"/>
                  <w:bookmarkEnd w:id="29"/>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4"/>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w:bookmarkStart w:id="30" w:name="_Toc28568"/>
            <w:bookmarkStart w:id="31" w:name="_Toc31700"/>
            <w:bookmarkStart w:id="32" w:name="_Toc31133"/>
            <w:bookmarkStart w:id="33" w:name="_Toc20549"/>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30"/>
                  <w:bookmarkEnd w:id="31"/>
                  <w:bookmarkEnd w:id="32"/>
                  <w:bookmarkEnd w:id="33"/>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经计算为5.96</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w:t>
            </w:r>
            <w:r>
              <w:rPr>
                <w:iCs/>
                <w:color w:val="auto"/>
                <w:sz w:val="24"/>
              </w:rPr>
              <w:t>根据</w:t>
            </w:r>
            <w:r>
              <w:rPr>
                <w:rFonts w:hint="eastAsia"/>
                <w:iCs/>
                <w:color w:val="auto"/>
                <w:sz w:val="24"/>
              </w:rPr>
              <w:t>《工业炉窑大气污染物排放标准》(GB9078-1996)</w:t>
            </w:r>
            <w:r>
              <w:rPr>
                <w:iCs/>
                <w:color w:val="auto"/>
                <w:sz w:val="24"/>
              </w:rPr>
              <w:t>，取1.</w:t>
            </w:r>
            <w:r>
              <w:rPr>
                <w:rFonts w:hint="eastAsia"/>
                <w:iCs/>
                <w:color w:val="auto"/>
                <w:sz w:val="24"/>
                <w:lang w:val="en-US" w:eastAsia="zh-CN"/>
              </w:rPr>
              <w:t>7</w:t>
            </w:r>
            <w:r>
              <w:rPr>
                <w:iCs/>
                <w:color w:val="auto"/>
                <w:sz w:val="24"/>
              </w:rPr>
              <w:t>；</w:t>
            </w:r>
          </w:p>
          <w:p>
            <w:pPr>
              <w:snapToGrid w:val="0"/>
              <w:spacing w:line="360" w:lineRule="auto"/>
              <w:ind w:firstLine="480" w:firstLineChars="200"/>
              <w:rPr>
                <w:color w:val="auto"/>
                <w:sz w:val="24"/>
                <w:highlight w:val="none"/>
              </w:rPr>
            </w:pPr>
            <w:r>
              <w:rPr>
                <w:color w:val="auto"/>
                <w:sz w:val="24"/>
              </w:rPr>
              <w:t>本项目燃料耗量为</w:t>
            </w:r>
            <w:r>
              <w:rPr>
                <w:rFonts w:hint="eastAsia"/>
                <w:color w:val="auto"/>
                <w:sz w:val="24"/>
                <w:lang w:val="en-US" w:eastAsia="zh-CN"/>
              </w:rPr>
              <w:t>1000t/a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5958726</w:t>
            </w:r>
            <w:r>
              <w:rPr>
                <w:color w:val="auto"/>
                <w:sz w:val="24"/>
              </w:rPr>
              <w:t>Nm</w:t>
            </w:r>
            <w:r>
              <w:rPr>
                <w:color w:val="auto"/>
                <w:sz w:val="24"/>
                <w:vertAlign w:val="superscript"/>
              </w:rPr>
              <w:t>3</w:t>
            </w:r>
            <w:r>
              <w:rPr>
                <w:color w:val="auto"/>
                <w:sz w:val="24"/>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 xml:space="preserve">b）烟尘排放量按下式计算  </w:t>
            </w:r>
          </w:p>
          <w:p>
            <w:pPr>
              <w:pStyle w:val="12"/>
              <w:shd w:val="clear" w:color="auto" w:fill="auto"/>
              <w:rPr>
                <w:color w:val="auto"/>
                <w:highlight w:val="none"/>
              </w:rPr>
            </w:pPr>
            <w:r>
              <w:rPr>
                <w:color w:val="auto"/>
                <w:sz w:val="24"/>
                <w:highlight w:val="none"/>
              </w:rPr>
              <w:drawing>
                <wp:anchor distT="0" distB="0" distL="114300" distR="114300" simplePos="0" relativeHeight="251671552" behindDoc="1" locked="0" layoutInCell="1" allowOverlap="1">
                  <wp:simplePos x="0" y="0"/>
                  <wp:positionH relativeFrom="column">
                    <wp:posOffset>387350</wp:posOffset>
                  </wp:positionH>
                  <wp:positionV relativeFrom="paragraph">
                    <wp:posOffset>-27940</wp:posOffset>
                  </wp:positionV>
                  <wp:extent cx="2130425" cy="823595"/>
                  <wp:effectExtent l="0" t="0" r="3175" b="1460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24"/>
                          <a:srcRect t="-6538" b="-6538"/>
                          <a:stretch>
                            <a:fillRect/>
                          </a:stretch>
                        </pic:blipFill>
                        <pic:spPr>
                          <a:xfrm>
                            <a:off x="0" y="0"/>
                            <a:ext cx="2130425" cy="823595"/>
                          </a:xfrm>
                          <a:prstGeom prst="rect">
                            <a:avLst/>
                          </a:prstGeom>
                          <a:noFill/>
                          <a:ln>
                            <a:noFill/>
                          </a:ln>
                        </pic:spPr>
                      </pic:pic>
                    </a:graphicData>
                  </a:graphic>
                </wp:anchor>
              </w:drawing>
            </w:r>
          </w:p>
          <w:p>
            <w:pPr>
              <w:pStyle w:val="93"/>
              <w:shd w:val="clear" w:color="auto" w:fill="auto"/>
              <w:rPr>
                <w:color w:val="auto"/>
                <w:highlight w:val="none"/>
              </w:rPr>
            </w:pPr>
          </w:p>
          <w:p>
            <w:pPr>
              <w:pStyle w:val="10"/>
              <w:shd w:val="clear" w:color="auto" w:fill="auto"/>
              <w:rPr>
                <w:color w:val="auto"/>
                <w:highlight w:val="none"/>
              </w:rPr>
            </w:pPr>
          </w:p>
          <w:bookmarkEnd w:id="25"/>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adjustRightInd w:val="0"/>
              <w:snapToGrid w:val="0"/>
              <w:spacing w:line="360" w:lineRule="auto"/>
              <w:ind w:firstLine="480" w:firstLineChars="200"/>
              <w:rPr>
                <w:iCs/>
                <w:color w:val="auto"/>
                <w:sz w:val="24"/>
              </w:rPr>
            </w:pPr>
            <w:bookmarkStart w:id="34" w:name="_Hlk65495966"/>
            <w:r>
              <w:rPr>
                <w:i/>
                <w:color w:val="auto"/>
                <w:sz w:val="24"/>
              </w:rPr>
              <w:t>E</w:t>
            </w:r>
            <w:r>
              <w:rPr>
                <w:i/>
                <w:color w:val="auto"/>
                <w:sz w:val="24"/>
                <w:vertAlign w:val="subscript"/>
              </w:rPr>
              <w:t>A</w:t>
            </w:r>
            <w:r>
              <w:rPr>
                <w:iCs/>
                <w:color w:val="auto"/>
                <w:sz w:val="24"/>
              </w:rPr>
              <w:t>——核算时段内颗粒物（烟尘）排放量，t；</w:t>
            </w:r>
          </w:p>
          <w:p>
            <w:pPr>
              <w:adjustRightInd w:val="0"/>
              <w:snapToGrid w:val="0"/>
              <w:spacing w:line="360" w:lineRule="auto"/>
              <w:ind w:firstLine="480" w:firstLineChars="200"/>
              <w:rPr>
                <w:rFonts w:hint="eastAsia" w:eastAsia="宋体"/>
                <w:iCs/>
                <w:color w:val="auto"/>
                <w:sz w:val="24"/>
                <w:lang w:val="en-US" w:eastAsia="zh-CN"/>
              </w:rPr>
            </w:pPr>
            <w:r>
              <w:rPr>
                <w:i/>
                <w:color w:val="auto"/>
                <w:sz w:val="24"/>
              </w:rPr>
              <w:t>R</w:t>
            </w:r>
            <w:r>
              <w:rPr>
                <w:iCs/>
                <w:color w:val="auto"/>
                <w:sz w:val="24"/>
              </w:rPr>
              <w:t>——核算时段内燃料耗量，</w:t>
            </w:r>
            <w:r>
              <w:rPr>
                <w:rFonts w:hint="eastAsia"/>
                <w:iCs/>
                <w:color w:val="auto"/>
                <w:sz w:val="24"/>
                <w:lang w:val="en-US" w:eastAsia="zh-CN"/>
              </w:rPr>
              <w:t>1000</w:t>
            </w:r>
            <w:r>
              <w:rPr>
                <w:iCs/>
                <w:color w:val="auto"/>
                <w:sz w:val="24"/>
              </w:rPr>
              <w:t>t；</w:t>
            </w:r>
          </w:p>
          <w:p>
            <w:pPr>
              <w:adjustRightInd w:val="0"/>
              <w:snapToGrid w:val="0"/>
              <w:spacing w:line="360" w:lineRule="auto"/>
              <w:ind w:firstLine="480" w:firstLineChars="200"/>
              <w:rPr>
                <w:rFonts w:hint="default"/>
                <w:iCs/>
                <w:color w:val="auto"/>
                <w:sz w:val="24"/>
                <w:lang w:val="en-US"/>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ar</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—收到基灰分的质量分数，%；取16.33</w:t>
            </w:r>
          </w:p>
          <w:p>
            <w:pPr>
              <w:adjustRightInd w:val="0"/>
              <w:snapToGrid w:val="0"/>
              <w:spacing w:line="360" w:lineRule="auto"/>
              <w:ind w:firstLine="480" w:firstLineChars="200"/>
              <w:rPr>
                <w:iCs/>
                <w:color w:val="auto"/>
                <w:sz w:val="24"/>
              </w:rPr>
            </w:pPr>
            <w:r>
              <w:rPr>
                <w:i/>
                <w:color w:val="auto"/>
                <w:sz w:val="24"/>
              </w:rPr>
              <w:t>d</w:t>
            </w:r>
            <w:r>
              <w:rPr>
                <w:i/>
                <w:color w:val="auto"/>
                <w:sz w:val="24"/>
                <w:vertAlign w:val="subscript"/>
              </w:rPr>
              <w:t>fh</w:t>
            </w:r>
            <w:r>
              <w:rPr>
                <w:iCs/>
                <w:color w:val="auto"/>
                <w:sz w:val="24"/>
              </w:rPr>
              <w:t>——烟气带出的飞灰份额，%，</w:t>
            </w:r>
            <w:r>
              <w:rPr>
                <w:rFonts w:hint="eastAsia"/>
                <w:iCs/>
                <w:color w:val="auto"/>
                <w:sz w:val="24"/>
                <w:lang w:val="en-US" w:eastAsia="zh-CN"/>
              </w:rPr>
              <w:t>参考</w:t>
            </w:r>
            <w:r>
              <w:rPr>
                <w:color w:val="auto"/>
                <w:sz w:val="24"/>
              </w:rPr>
              <w:t>《污染源源强核算技术指南 锅炉》（HJ991-2018）表B.2，</w:t>
            </w:r>
            <w:r>
              <w:rPr>
                <w:iCs/>
                <w:color w:val="auto"/>
                <w:sz w:val="24"/>
              </w:rPr>
              <w:t>本项目取</w:t>
            </w:r>
            <w:r>
              <w:rPr>
                <w:rFonts w:hint="eastAsia"/>
                <w:iCs/>
                <w:color w:val="auto"/>
                <w:sz w:val="24"/>
                <w:lang w:val="en-US" w:eastAsia="zh-CN"/>
              </w:rPr>
              <w:t>45</w:t>
            </w:r>
            <w:r>
              <w:rPr>
                <w:iCs/>
                <w:color w:val="auto"/>
                <w:sz w:val="24"/>
              </w:rPr>
              <w:t>；</w:t>
            </w:r>
          </w:p>
          <w:p>
            <w:pPr>
              <w:adjustRightInd w:val="0"/>
              <w:snapToGrid w:val="0"/>
              <w:spacing w:line="360" w:lineRule="auto"/>
              <w:ind w:firstLine="480" w:firstLineChars="200"/>
              <w:rPr>
                <w:iCs/>
                <w:color w:val="auto"/>
                <w:sz w:val="24"/>
              </w:rPr>
            </w:pPr>
            <w:r>
              <w:rPr>
                <w:i/>
                <w:color w:val="auto"/>
                <w:sz w:val="24"/>
              </w:rPr>
              <w:t>η</w:t>
            </w:r>
            <w:r>
              <w:rPr>
                <w:i/>
                <w:color w:val="auto"/>
                <w:sz w:val="24"/>
                <w:vertAlign w:val="subscript"/>
              </w:rPr>
              <w:t>c</w:t>
            </w:r>
            <w:r>
              <w:rPr>
                <w:iCs/>
                <w:color w:val="auto"/>
                <w:sz w:val="24"/>
              </w:rPr>
              <w:t>——综合除尘效率，%，本项目烟气除尘措施为布袋除尘器，取99%；</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iCs/>
                <w:color w:val="auto"/>
                <w:sz w:val="24"/>
              </w:rPr>
              <w:t>C</w:t>
            </w:r>
            <w:r>
              <w:rPr>
                <w:iCs/>
                <w:color w:val="auto"/>
                <w:sz w:val="24"/>
                <w:vertAlign w:val="subscript"/>
              </w:rPr>
              <w:t>fh</w:t>
            </w:r>
            <w:r>
              <w:rPr>
                <w:iCs/>
                <w:color w:val="auto"/>
                <w:sz w:val="24"/>
              </w:rPr>
              <w:t>——飞灰中的可燃物含量，%，本项目取1</w:t>
            </w:r>
            <w:r>
              <w:rPr>
                <w:rFonts w:hint="eastAsia"/>
                <w:iCs/>
                <w:color w:val="auto"/>
                <w:sz w:val="24"/>
                <w:lang w:val="en-US" w:eastAsia="zh-CN"/>
              </w:rPr>
              <w:t>0</w:t>
            </w:r>
            <w:r>
              <w:rPr>
                <w:iCs/>
                <w:color w:val="auto"/>
                <w:sz w:val="24"/>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c）二氧化硫排放量按下式计算</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drawing>
                <wp:anchor distT="0" distB="0" distL="114300" distR="114300" simplePos="0" relativeHeight="251672576" behindDoc="1" locked="0" layoutInCell="1" allowOverlap="1">
                  <wp:simplePos x="0" y="0"/>
                  <wp:positionH relativeFrom="column">
                    <wp:posOffset>496570</wp:posOffset>
                  </wp:positionH>
                  <wp:positionV relativeFrom="paragraph">
                    <wp:posOffset>-29845</wp:posOffset>
                  </wp:positionV>
                  <wp:extent cx="3218815" cy="483870"/>
                  <wp:effectExtent l="0" t="0" r="635" b="11430"/>
                  <wp:wrapNone/>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25"/>
                          <a:srcRect t="3656" b="14409"/>
                          <a:stretch>
                            <a:fillRect/>
                          </a:stretch>
                        </pic:blipFill>
                        <pic:spPr>
                          <a:xfrm>
                            <a:off x="0" y="0"/>
                            <a:ext cx="3218815" cy="483870"/>
                          </a:xfrm>
                          <a:prstGeom prst="rect">
                            <a:avLst/>
                          </a:prstGeom>
                          <a:noFill/>
                          <a:ln>
                            <a:noFill/>
                          </a:ln>
                        </pic:spPr>
                      </pic:pic>
                    </a:graphicData>
                  </a:graphic>
                </wp:anchor>
              </w:drawing>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E</w:t>
            </w:r>
            <w:r>
              <w:rPr>
                <w:color w:val="auto"/>
                <w:sz w:val="24"/>
                <w:highlight w:val="none"/>
                <w:vertAlign w:val="subscript"/>
              </w:rPr>
              <w:t>SO2</w:t>
            </w:r>
            <w:r>
              <w:rPr>
                <w:color w:val="auto"/>
                <w:sz w:val="24"/>
                <w:highlight w:val="none"/>
              </w:rPr>
              <w:t>——核算时段内SO</w:t>
            </w:r>
            <w:r>
              <w:rPr>
                <w:color w:val="auto"/>
                <w:sz w:val="24"/>
                <w:highlight w:val="none"/>
                <w:vertAlign w:val="subscript"/>
              </w:rPr>
              <w:t>2</w:t>
            </w:r>
            <w:r>
              <w:rPr>
                <w:color w:val="auto"/>
                <w:sz w:val="24"/>
                <w:highlight w:val="none"/>
              </w:rPr>
              <w:t>排放量，t；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R——核算时段内锅炉燃料耗量，</w:t>
            </w:r>
            <w:r>
              <w:rPr>
                <w:rFonts w:hint="eastAsia"/>
                <w:color w:val="auto"/>
                <w:sz w:val="24"/>
                <w:highlight w:val="none"/>
              </w:rPr>
              <w:t>生物质燃料</w:t>
            </w:r>
            <w:r>
              <w:rPr>
                <w:color w:val="auto"/>
                <w:sz w:val="24"/>
                <w:highlight w:val="none"/>
              </w:rPr>
              <w:t>量</w:t>
            </w:r>
            <w:r>
              <w:rPr>
                <w:rFonts w:hint="eastAsia"/>
                <w:color w:val="auto"/>
                <w:sz w:val="24"/>
                <w:highlight w:val="none"/>
              </w:rPr>
              <w:t>为</w:t>
            </w:r>
            <w:r>
              <w:rPr>
                <w:rFonts w:hint="eastAsia" w:cs="Times New Roman"/>
                <w:color w:val="auto"/>
                <w:kern w:val="0"/>
                <w:sz w:val="24"/>
                <w:szCs w:val="24"/>
                <w:lang w:val="en-US" w:eastAsia="zh-CN"/>
              </w:rPr>
              <w:t>1000</w:t>
            </w:r>
            <w:r>
              <w:rPr>
                <w:rFonts w:hint="eastAsia"/>
                <w:color w:val="auto"/>
                <w:sz w:val="24"/>
                <w:highlight w:val="none"/>
              </w:rPr>
              <w:t>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Sar——收到基硫分的质量分数，</w:t>
            </w:r>
            <w:r>
              <w:rPr>
                <w:rFonts w:hint="eastAsia"/>
                <w:color w:val="auto"/>
                <w:sz w:val="24"/>
                <w:highlight w:val="none"/>
              </w:rPr>
              <w:t>0.0</w:t>
            </w:r>
            <w:r>
              <w:rPr>
                <w:rFonts w:hint="eastAsia"/>
                <w:color w:val="auto"/>
                <w:sz w:val="24"/>
                <w:highlight w:val="none"/>
                <w:lang w:val="en-US" w:eastAsia="zh-CN"/>
              </w:rPr>
              <w:t>7</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q</w:t>
            </w:r>
            <w:r>
              <w:rPr>
                <w:color w:val="auto"/>
                <w:sz w:val="24"/>
                <w:highlight w:val="none"/>
                <w:vertAlign w:val="subscript"/>
              </w:rPr>
              <w:t>4</w:t>
            </w:r>
            <w:r>
              <w:rPr>
                <w:color w:val="auto"/>
                <w:sz w:val="24"/>
                <w:highlight w:val="none"/>
              </w:rPr>
              <w:t>——锅炉机械不完全燃烧热损失，</w:t>
            </w:r>
            <w:r>
              <w:rPr>
                <w:rFonts w:hint="eastAsia"/>
                <w:color w:val="auto"/>
                <w:sz w:val="24"/>
                <w:highlight w:val="none"/>
              </w:rPr>
              <w:t>取</w:t>
            </w:r>
            <w:r>
              <w:rPr>
                <w:color w:val="auto"/>
                <w:sz w:val="24"/>
                <w:highlight w:val="none"/>
              </w:rPr>
              <w:t>10</w:t>
            </w:r>
            <w:r>
              <w:rPr>
                <w:b/>
                <w:color w:val="auto"/>
                <w:sz w:val="24"/>
                <w:highlight w:val="none"/>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ηs——脱硫效率，取</w:t>
            </w:r>
            <w:r>
              <w:rPr>
                <w:rFonts w:hint="eastAsia"/>
                <w:color w:val="auto"/>
                <w:sz w:val="24"/>
                <w:highlight w:val="none"/>
              </w:rPr>
              <w:t>0</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K——燃料中的硫燃烧后氧化成二氧化硫的份额，</w:t>
            </w:r>
            <w:r>
              <w:rPr>
                <w:rFonts w:hint="eastAsia"/>
                <w:color w:val="auto"/>
                <w:sz w:val="24"/>
                <w:highlight w:val="none"/>
              </w:rPr>
              <w:t>本环评取</w:t>
            </w:r>
            <w:r>
              <w:rPr>
                <w:color w:val="auto"/>
                <w:sz w:val="24"/>
                <w:highlight w:val="none"/>
              </w:rPr>
              <w:t>0.4；</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d）氮氧化物排放量</w:t>
            </w:r>
          </w:p>
          <w:p>
            <w:pPr>
              <w:keepNext w:val="0"/>
              <w:keepLines w:val="0"/>
              <w:pageBreakBefore w:val="0"/>
              <w:shd w:val="clear" w:color="auto" w:fill="auto"/>
              <w:kinsoku/>
              <w:wordWrap/>
              <w:overflowPunct/>
              <w:topLinePunct w:val="0"/>
              <w:autoSpaceDE/>
              <w:autoSpaceDN/>
              <w:bidi w:val="0"/>
              <w:spacing w:line="360" w:lineRule="auto"/>
              <w:ind w:firstLine="420" w:firstLineChars="200"/>
              <w:textAlignment w:val="auto"/>
            </w:pPr>
            <w:r>
              <w:drawing>
                <wp:inline distT="0" distB="0" distL="114300" distR="114300">
                  <wp:extent cx="3152775" cy="6572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6"/>
                          <a:stretch>
                            <a:fillRect/>
                          </a:stretch>
                        </pic:blipFill>
                        <pic:spPr>
                          <a:xfrm>
                            <a:off x="0" y="0"/>
                            <a:ext cx="3152775" cy="65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E</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——核算时段内氮氧化物排放量，t；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ρ</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——炉膛出口氮氧化物质量浓度，本环评取1</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Q——干烟气排放量，为</w:t>
            </w:r>
            <w:r>
              <w:rPr>
                <w:rFonts w:hint="eastAsia"/>
                <w:color w:val="auto"/>
                <w:sz w:val="24"/>
                <w:lang w:val="en-US" w:eastAsia="zh-CN"/>
              </w:rPr>
              <w:t>5958726</w:t>
            </w:r>
            <w:r>
              <w:rPr>
                <w:rFonts w:hint="default" w:ascii="Times New Roman" w:hAnsi="Times New Roman" w:eastAsia="宋体" w:cs="Times New Roman"/>
                <w:color w:val="auto"/>
                <w:kern w:val="0"/>
                <w:sz w:val="24"/>
                <w:szCs w:val="24"/>
                <w:lang w:val="en-US" w:eastAsia="zh-CN" w:bidi="ar"/>
              </w:rPr>
              <w:t>Nm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ηNOx——脱硝效率，取</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w:t>
            </w:r>
          </w:p>
          <w:bookmarkEnd w:id="34"/>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e)烟气黑度</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参照同类项目，在采取布袋除尘器处理后，烟气黑度小于1。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热风炉</w:t>
            </w:r>
            <w:r>
              <w:rPr>
                <w:rFonts w:hint="default" w:ascii="Times New Roman" w:hAnsi="Times New Roman" w:eastAsia="宋体" w:cs="Times New Roman"/>
                <w:b/>
                <w:bCs/>
                <w:color w:val="auto"/>
                <w:kern w:val="0"/>
                <w:sz w:val="21"/>
                <w:szCs w:val="21"/>
                <w:highlight w:val="none"/>
              </w:rPr>
              <w:t>燃烧废气排放情况  （单位：mg/m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bl>
            <w:tblPr>
              <w:tblStyle w:val="32"/>
              <w:tblW w:w="86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2239"/>
              <w:gridCol w:w="75"/>
              <w:gridCol w:w="2164"/>
              <w:gridCol w:w="151"/>
              <w:gridCol w:w="2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污染物</w:t>
                  </w:r>
                </w:p>
              </w:tc>
              <w:tc>
                <w:tcPr>
                  <w:tcW w:w="2314"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w:t>
                  </w:r>
                  <w:r>
                    <w:rPr>
                      <w:rFonts w:hint="eastAsia" w:ascii="Times New Roman" w:hAnsi="Times New Roman"/>
                      <w:b/>
                      <w:bCs/>
                      <w:color w:val="auto"/>
                      <w:highlight w:val="none"/>
                      <w:lang w:val="en-US" w:eastAsia="zh-CN"/>
                    </w:rPr>
                    <w:t>速率</w:t>
                  </w:r>
                  <w:r>
                    <w:rPr>
                      <w:rFonts w:hint="eastAsia" w:ascii="Times New Roman" w:hAnsi="Times New Roman"/>
                      <w:b/>
                      <w:bCs/>
                      <w:color w:val="auto"/>
                      <w:highlight w:val="none"/>
                    </w:rPr>
                    <w:t>（</w:t>
                  </w:r>
                  <w:r>
                    <w:rPr>
                      <w:rFonts w:ascii="Times New Roman" w:hAnsi="Times New Roman"/>
                      <w:b/>
                      <w:bCs/>
                      <w:color w:val="auto"/>
                      <w:highlight w:val="none"/>
                    </w:rPr>
                    <w:t>kg/h</w:t>
                  </w:r>
                  <w:r>
                    <w:rPr>
                      <w:rFonts w:hint="eastAsia" w:ascii="Times New Roman" w:hAnsi="Times New Roman"/>
                      <w:b/>
                      <w:bCs/>
                      <w:color w:val="auto"/>
                      <w:highlight w:val="none"/>
                    </w:rPr>
                    <w:t>）</w:t>
                  </w:r>
                </w:p>
              </w:tc>
              <w:tc>
                <w:tcPr>
                  <w:tcW w:w="2315"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排放量</w:t>
                  </w:r>
                  <w:r>
                    <w:rPr>
                      <w:rFonts w:hint="eastAsia" w:ascii="Times New Roman" w:hAnsi="Times New Roman"/>
                      <w:b/>
                      <w:bCs/>
                      <w:color w:val="auto"/>
                      <w:highlight w:val="none"/>
                    </w:rPr>
                    <w:t>（</w:t>
                  </w:r>
                  <w:r>
                    <w:rPr>
                      <w:rFonts w:ascii="Times New Roman" w:hAnsi="Times New Roman"/>
                      <w:b/>
                      <w:bCs/>
                      <w:color w:val="auto"/>
                      <w:highlight w:val="none"/>
                    </w:rPr>
                    <w:t>t/a</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排放浓度</w:t>
                  </w:r>
                  <w:r>
                    <w:rPr>
                      <w:rFonts w:hint="eastAsia" w:ascii="Times New Roman" w:hAnsi="Times New Roman"/>
                      <w:b/>
                      <w:bCs/>
                      <w:color w:val="auto"/>
                      <w:highlight w:val="none"/>
                    </w:rPr>
                    <w:t>（</w:t>
                  </w:r>
                  <w:r>
                    <w:rPr>
                      <w:rFonts w:ascii="Times New Roman" w:hAnsi="Times New Roman"/>
                      <w:b/>
                      <w:bCs/>
                      <w:color w:val="auto"/>
                      <w:highlight w:val="none"/>
                    </w:rPr>
                    <w:t>mg/m</w:t>
                  </w:r>
                  <w:r>
                    <w:rPr>
                      <w:rFonts w:ascii="Times New Roman" w:hAnsi="Times New Roman"/>
                      <w:b/>
                      <w:bCs/>
                      <w:color w:val="auto"/>
                      <w:highlight w:val="none"/>
                      <w:vertAlign w:val="superscript"/>
                    </w:rPr>
                    <w:t>3</w:t>
                  </w:r>
                  <w:r>
                    <w:rPr>
                      <w:rFonts w:hint="eastAsia" w:ascii="Times New Roman" w:hAnsi="Times New Roman"/>
                      <w:b/>
                      <w:bCs/>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烟气量</w:t>
                  </w:r>
                </w:p>
              </w:tc>
              <w:tc>
                <w:tcPr>
                  <w:tcW w:w="6944" w:type="dxa"/>
                  <w:gridSpan w:val="5"/>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s="Times New Roman"/>
                      <w:i w:val="0"/>
                      <w:iCs w:val="0"/>
                      <w:color w:val="000000"/>
                      <w:kern w:val="0"/>
                      <w:sz w:val="21"/>
                      <w:szCs w:val="21"/>
                      <w:u w:val="none"/>
                      <w:lang w:val="en-US" w:eastAsia="zh-CN" w:bidi="ar"/>
                    </w:rPr>
                    <w:t>5958726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颗粒物</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0.851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0.817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137.036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0.525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0.504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84.588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NOx</w:t>
                  </w:r>
                </w:p>
              </w:tc>
              <w:tc>
                <w:tcPr>
                  <w:tcW w:w="2239" w:type="dxa"/>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1.117 </w:t>
                  </w:r>
                </w:p>
              </w:tc>
              <w:tc>
                <w:tcPr>
                  <w:tcW w:w="2239" w:type="dxa"/>
                  <w:gridSpan w:val="2"/>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1.072 </w:t>
                  </w:r>
                </w:p>
              </w:tc>
              <w:tc>
                <w:tcPr>
                  <w:tcW w:w="2466" w:type="dxa"/>
                  <w:gridSpan w:val="2"/>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r>
          </w:tbl>
          <w:p>
            <w:pPr>
              <w:pStyle w:val="87"/>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jc w:val="both"/>
              <w:rPr>
                <w:rFonts w:hint="default" w:eastAsia="宋体"/>
                <w:color w:val="auto"/>
                <w:sz w:val="24"/>
                <w:szCs w:val="24"/>
                <w:lang w:val="en-US" w:eastAsia="zh-CN"/>
              </w:rPr>
            </w:pPr>
            <w:r>
              <w:rPr>
                <w:rFonts w:eastAsia="宋体"/>
                <w:color w:val="auto"/>
                <w:sz w:val="24"/>
                <w:szCs w:val="24"/>
                <w:highlight w:val="none"/>
              </w:rPr>
              <w:t>热风炉烟气处理</w:t>
            </w:r>
            <w:r>
              <w:rPr>
                <w:rFonts w:eastAsia="宋体"/>
                <w:color w:val="auto"/>
                <w:sz w:val="24"/>
                <w:szCs w:val="24"/>
              </w:rPr>
              <w:t>设施为布袋除尘</w:t>
            </w:r>
            <w:r>
              <w:rPr>
                <w:rFonts w:eastAsia="宋体"/>
                <w:color w:val="auto"/>
                <w:sz w:val="24"/>
                <w:szCs w:val="24"/>
                <w:highlight w:val="none"/>
              </w:rPr>
              <w:t>器</w:t>
            </w:r>
            <w:r>
              <w:rPr>
                <w:rFonts w:hint="eastAsia"/>
                <w:color w:val="auto"/>
                <w:sz w:val="24"/>
                <w:szCs w:val="24"/>
                <w:highlight w:val="none"/>
                <w:lang w:val="en-US" w:eastAsia="zh-CN"/>
              </w:rPr>
              <w:t>+15m高排气筒</w:t>
            </w:r>
            <w:r>
              <w:rPr>
                <w:rFonts w:eastAsia="宋体"/>
                <w:color w:val="auto"/>
                <w:sz w:val="24"/>
                <w:szCs w:val="24"/>
                <w:highlight w:val="none"/>
              </w:rPr>
              <w:t>。热风炉烟气处理后经15m高</w:t>
            </w:r>
            <w:r>
              <w:rPr>
                <w:rFonts w:hint="eastAsia"/>
                <w:color w:val="auto"/>
                <w:sz w:val="24"/>
                <w:szCs w:val="24"/>
                <w:highlight w:val="none"/>
                <w:lang w:val="en-US" w:eastAsia="zh-CN"/>
              </w:rPr>
              <w:t>排气筒</w:t>
            </w:r>
            <w:r>
              <w:rPr>
                <w:rFonts w:eastAsia="宋体"/>
                <w:color w:val="auto"/>
                <w:sz w:val="24"/>
                <w:szCs w:val="24"/>
                <w:highlight w:val="none"/>
              </w:rPr>
              <w:t>排放，排放量</w:t>
            </w:r>
            <w:r>
              <w:rPr>
                <w:rFonts w:hint="eastAsia"/>
                <w:color w:val="auto"/>
                <w:sz w:val="24"/>
                <w:szCs w:val="24"/>
                <w:highlight w:val="none"/>
                <w:lang w:eastAsia="zh-CN"/>
              </w:rPr>
              <w:t>烟尘</w:t>
            </w:r>
            <w:r>
              <w:rPr>
                <w:rFonts w:eastAsia="宋体"/>
                <w:color w:val="auto"/>
                <w:sz w:val="24"/>
                <w:szCs w:val="24"/>
                <w:highlight w:val="none"/>
              </w:rPr>
              <w:t>为</w:t>
            </w:r>
            <w:r>
              <w:rPr>
                <w:rFonts w:hint="eastAsia"/>
                <w:color w:val="auto"/>
                <w:sz w:val="24"/>
                <w:szCs w:val="24"/>
                <w:highlight w:val="none"/>
                <w:vertAlign w:val="baseline"/>
                <w:lang w:val="en-US" w:eastAsia="zh-CN"/>
              </w:rPr>
              <w:t>0.817</w:t>
            </w:r>
            <w:r>
              <w:rPr>
                <w:rFonts w:eastAsia="宋体"/>
                <w:color w:val="auto"/>
                <w:sz w:val="24"/>
                <w:szCs w:val="24"/>
                <w:highlight w:val="none"/>
              </w:rPr>
              <w:t>t/a、SO</w:t>
            </w:r>
            <w:r>
              <w:rPr>
                <w:rFonts w:eastAsia="宋体"/>
                <w:color w:val="auto"/>
                <w:sz w:val="24"/>
                <w:szCs w:val="24"/>
                <w:highlight w:val="none"/>
                <w:vertAlign w:val="subscript"/>
              </w:rPr>
              <w:t>2</w:t>
            </w:r>
            <w:r>
              <w:rPr>
                <w:rFonts w:eastAsia="宋体"/>
                <w:color w:val="auto"/>
                <w:sz w:val="24"/>
                <w:szCs w:val="24"/>
                <w:highlight w:val="none"/>
              </w:rPr>
              <w:t>为</w:t>
            </w:r>
            <w:r>
              <w:rPr>
                <w:rFonts w:hint="eastAsia"/>
                <w:color w:val="auto"/>
                <w:sz w:val="24"/>
                <w:szCs w:val="24"/>
                <w:highlight w:val="none"/>
                <w:vertAlign w:val="baseline"/>
                <w:lang w:val="en-US" w:eastAsia="zh-CN"/>
              </w:rPr>
              <w:t>0.504</w:t>
            </w:r>
            <w:r>
              <w:rPr>
                <w:rFonts w:eastAsia="宋体"/>
                <w:color w:val="auto"/>
                <w:sz w:val="24"/>
                <w:szCs w:val="24"/>
                <w:highlight w:val="none"/>
              </w:rPr>
              <w:t>t/a、NOx为</w:t>
            </w:r>
            <w:r>
              <w:rPr>
                <w:rFonts w:hint="eastAsia"/>
                <w:color w:val="auto"/>
                <w:sz w:val="24"/>
                <w:szCs w:val="24"/>
                <w:highlight w:val="none"/>
                <w:vertAlign w:val="baseline"/>
                <w:lang w:val="en-US" w:eastAsia="zh-CN"/>
              </w:rPr>
              <w:t>1.072</w:t>
            </w:r>
            <w:r>
              <w:rPr>
                <w:rFonts w:eastAsia="宋体"/>
                <w:color w:val="auto"/>
                <w:sz w:val="24"/>
                <w:szCs w:val="24"/>
                <w:highlight w:val="none"/>
              </w:rPr>
              <w:t>t/a；污染</w:t>
            </w:r>
            <w:r>
              <w:rPr>
                <w:rFonts w:hint="default" w:ascii="Times New Roman" w:hAnsi="Times New Roman" w:eastAsia="宋体" w:cs="Times New Roman"/>
                <w:color w:val="auto"/>
                <w:sz w:val="24"/>
                <w:szCs w:val="24"/>
                <w:highlight w:val="none"/>
              </w:rPr>
              <w:t>物排放浓度烟尘为</w:t>
            </w:r>
            <w:r>
              <w:rPr>
                <w:rFonts w:hint="eastAsia" w:cs="Times New Roman"/>
                <w:color w:val="auto"/>
                <w:sz w:val="24"/>
                <w:szCs w:val="24"/>
                <w:highlight w:val="none"/>
                <w:lang w:val="en-US" w:eastAsia="zh-CN"/>
              </w:rPr>
              <w:t>137.036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84.588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、NOx为</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；热风炉</w:t>
            </w:r>
            <w:r>
              <w:rPr>
                <w:rFonts w:hint="eastAsia"/>
                <w:color w:val="auto"/>
                <w:sz w:val="24"/>
                <w:szCs w:val="24"/>
                <w:highlight w:val="none"/>
                <w:lang w:eastAsia="zh-CN"/>
              </w:rPr>
              <w:t>烟尘</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rPr>
              <w:t>放</w:t>
            </w:r>
            <w:r>
              <w:rPr>
                <w:rFonts w:hint="eastAsia" w:cs="Times New Roman"/>
                <w:color w:val="auto"/>
                <w:sz w:val="24"/>
                <w:szCs w:val="24"/>
                <w:lang w:eastAsia="zh-CN"/>
              </w:rPr>
              <w:t>浓度</w:t>
            </w:r>
            <w:r>
              <w:rPr>
                <w:rFonts w:hint="default" w:ascii="Times New Roman" w:hAnsi="Times New Roman" w:eastAsia="宋体" w:cs="Times New Roman"/>
                <w:color w:val="auto"/>
                <w:sz w:val="24"/>
                <w:szCs w:val="24"/>
              </w:rPr>
              <w:t>均满足《工业炉窑大气污染物排放标准》（GB9078-1996）</w:t>
            </w:r>
            <w:r>
              <w:rPr>
                <w:color w:val="auto"/>
                <w:sz w:val="24"/>
                <w:highlight w:val="none"/>
              </w:rPr>
              <w:t>中表</w:t>
            </w:r>
            <w:r>
              <w:rPr>
                <w:rFonts w:ascii="Times New Roman" w:hAnsi="Times New Roman" w:eastAsia="宋体" w:cs="Times New Roman"/>
                <w:bCs/>
                <w:color w:val="auto"/>
                <w:spacing w:val="-10"/>
                <w:sz w:val="24"/>
                <w:highlight w:val="none"/>
              </w:rPr>
              <w:t>2和表4二级标准</w:t>
            </w:r>
            <w:r>
              <w:rPr>
                <w:rFonts w:hint="default" w:ascii="Times New Roman" w:hAnsi="Times New Roman" w:cs="Times New Roman"/>
                <w:color w:val="auto"/>
                <w:sz w:val="24"/>
                <w:szCs w:val="24"/>
                <w:lang w:val="en-US" w:eastAsia="zh-CN"/>
              </w:rPr>
              <w:t>。</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大气污染源情况一览表</w:t>
            </w:r>
          </w:p>
          <w:tbl>
            <w:tblPr>
              <w:tblStyle w:val="33"/>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9"/>
              <w:gridCol w:w="761"/>
              <w:gridCol w:w="966"/>
              <w:gridCol w:w="617"/>
              <w:gridCol w:w="1222"/>
              <w:gridCol w:w="538"/>
              <w:gridCol w:w="429"/>
              <w:gridCol w:w="711"/>
              <w:gridCol w:w="882"/>
              <w:gridCol w:w="674"/>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2773"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7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2696"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装卸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筛分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r>
                    <w:rPr>
                      <w:rFonts w:hint="eastAsia" w:ascii="Times New Roman" w:hAnsi="Times New Roman" w:eastAsia="宋体" w:cs="Times New Roman"/>
                      <w:b w:val="0"/>
                      <w:bCs w:val="0"/>
                      <w:i w:val="0"/>
                      <w:iCs w:val="0"/>
                      <w:color w:val="auto"/>
                      <w:spacing w:val="0"/>
                      <w:sz w:val="21"/>
                      <w:szCs w:val="21"/>
                      <w:vertAlign w:val="baseline"/>
                      <w:lang w:eastAsia="zh-CN"/>
                    </w:rPr>
                    <w:t>烘干塔、</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输送</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3.75</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3.6</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封闭传送带，装卸区设置遮挡设施，采用封闭式清理筛，</w:t>
                  </w:r>
                  <w:r>
                    <w:rPr>
                      <w:rFonts w:hint="eastAsia" w:ascii="Times New Roman" w:hAnsi="Times New Roman" w:eastAsia="宋体" w:cs="Times New Roman"/>
                      <w:b w:val="0"/>
                      <w:bCs w:val="0"/>
                      <w:i w:val="0"/>
                      <w:iCs w:val="0"/>
                      <w:color w:val="auto"/>
                      <w:spacing w:val="0"/>
                      <w:kern w:val="0"/>
                      <w:sz w:val="21"/>
                      <w:szCs w:val="21"/>
                      <w:lang w:val="en-US" w:eastAsia="zh-CN"/>
                    </w:rPr>
                    <w:t>烘干塔体两侧排气孔设置折流挡板</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0.375</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0.36</w:t>
                  </w:r>
                </w:p>
              </w:tc>
              <w:tc>
                <w:tcPr>
                  <w:tcW w:w="57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热风炉烟气有组织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85.052</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13703.629</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81.650</w:t>
                  </w:r>
                </w:p>
              </w:tc>
              <w:tc>
                <w:tcPr>
                  <w:tcW w:w="122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99</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0.851</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137.04</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0.817</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525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504</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525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504</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117</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000000"/>
                      <w:kern w:val="0"/>
                      <w:sz w:val="21"/>
                      <w:szCs w:val="21"/>
                      <w:u w:val="none"/>
                      <w:lang w:val="en-US" w:eastAsia="zh-CN" w:bidi="ar"/>
                    </w:rPr>
                    <w:t>1.072</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FF0000"/>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r>
                    <w:rPr>
                      <w:rFonts w:hint="eastAsia" w:cs="Times New Roman"/>
                      <w:b w:val="0"/>
                      <w:bCs w:val="0"/>
                      <w:i w:val="0"/>
                      <w:iCs w:val="0"/>
                      <w:color w:val="FF0000"/>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1.117</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1.072</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1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7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若项目热风炉配套的布袋除尘器发生故障，会导致除尘效率下降为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42.5125</w:t>
            </w:r>
            <w:r>
              <w:rPr>
                <w:rFonts w:hint="default" w:ascii="Times New Roman" w:hAnsi="Times New Roman" w:cs="Times New Roman"/>
                <w:color w:val="auto"/>
                <w:sz w:val="24"/>
                <w:szCs w:val="24"/>
                <w:lang w:val="en-US" w:eastAsia="zh-CN"/>
              </w:rPr>
              <w:t>kg/h</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eastAsia="zh-CN"/>
              </w:rPr>
              <w:t>。</w:t>
            </w:r>
          </w:p>
          <w:p>
            <w:pPr>
              <w:pStyle w:val="96"/>
              <w:keepLines w:val="0"/>
              <w:pageBreakBefore w:val="0"/>
              <w:topLinePunct w:val="0"/>
              <w:bidi w:val="0"/>
              <w:adjustRightInd w:val="0"/>
              <w:snapToGrid w:val="0"/>
              <w:spacing w:beforeAutospacing="0" w:afterAutospacing="0" w:line="360" w:lineRule="auto"/>
              <w:ind w:left="0" w:leftChars="0" w:right="0" w:rightChars="0" w:firstLine="422" w:firstLineChars="200"/>
              <w:rPr>
                <w:rFonts w:hint="default" w:ascii="Times New Roman" w:hAnsi="Times New Roman" w:cs="Times New Roman" w:eastAsiaTheme="minorEastAsia"/>
                <w:b/>
                <w:bCs/>
                <w:color w:val="auto"/>
                <w:kern w:val="2"/>
                <w:sz w:val="21"/>
                <w:szCs w:val="24"/>
                <w:highlight w:val="none"/>
                <w:lang w:val="en-US" w:eastAsia="zh-CN" w:bidi="ar-SA"/>
              </w:rPr>
            </w:pPr>
            <w:r>
              <w:rPr>
                <w:rFonts w:hint="default" w:ascii="Times New Roman" w:hAnsi="Times New Roman" w:cs="Times New Roman" w:eastAsiaTheme="minorEastAsia"/>
                <w:b/>
                <w:bCs/>
                <w:color w:val="auto"/>
                <w:kern w:val="2"/>
                <w:sz w:val="21"/>
                <w:szCs w:val="24"/>
                <w:highlight w:val="none"/>
                <w:lang w:val="en-US" w:eastAsia="zh-CN" w:bidi="ar-SA"/>
              </w:rPr>
              <w:t>表4-</w:t>
            </w:r>
            <w:r>
              <w:rPr>
                <w:rFonts w:hint="eastAsia" w:ascii="Times New Roman" w:hAnsi="Times New Roman" w:cs="Times New Roman" w:eastAsiaTheme="minorEastAsia"/>
                <w:b/>
                <w:bCs/>
                <w:color w:val="auto"/>
                <w:kern w:val="2"/>
                <w:sz w:val="21"/>
                <w:szCs w:val="24"/>
                <w:highlight w:val="none"/>
                <w:lang w:val="en-US" w:eastAsia="zh-CN" w:bidi="ar-SA"/>
              </w:rPr>
              <w:t>3</w:t>
            </w:r>
            <w:r>
              <w:rPr>
                <w:rFonts w:hint="default" w:ascii="Times New Roman" w:hAnsi="Times New Roman" w:cs="Times New Roman" w:eastAsiaTheme="minorEastAsia"/>
                <w:b/>
                <w:bCs/>
                <w:color w:val="auto"/>
                <w:kern w:val="2"/>
                <w:sz w:val="21"/>
                <w:szCs w:val="24"/>
                <w:highlight w:val="none"/>
                <w:lang w:val="en-US" w:eastAsia="zh-CN" w:bidi="ar-SA"/>
              </w:rPr>
              <w:t xml:space="preserve">  非正常工况下废气污染源强核算结果及相关参数一览表</w:t>
            </w:r>
          </w:p>
          <w:tbl>
            <w:tblPr>
              <w:tblStyle w:val="32"/>
              <w:tblW w:w="86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4"/>
              <w:gridCol w:w="1194"/>
              <w:gridCol w:w="546"/>
              <w:gridCol w:w="1483"/>
              <w:gridCol w:w="1414"/>
              <w:gridCol w:w="954"/>
              <w:gridCol w:w="898"/>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483"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41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1483"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6851.8145</w:t>
                  </w:r>
                </w:p>
              </w:tc>
              <w:tc>
                <w:tcPr>
                  <w:tcW w:w="141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42.5125</w:t>
                  </w:r>
                </w:p>
              </w:tc>
              <w:tc>
                <w:tcPr>
                  <w:tcW w:w="95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运输车辆装卸区设置遮挡设施，清选工艺采用封闭式清理筛，可使颗粒物无组织排放量减少90%。</w:t>
            </w:r>
            <w:r>
              <w:rPr>
                <w:rFonts w:hint="eastAsia" w:ascii="Times New Roman" w:hAnsi="Times New Roman" w:cs="Times New Roman"/>
                <w:color w:val="auto"/>
                <w:sz w:val="24"/>
                <w:szCs w:val="24"/>
                <w:lang w:val="en-US" w:eastAsia="zh-CN"/>
              </w:rPr>
              <w:t>烘干塔体两侧排气孔设置折流挡板，有效控制杂质及大粒径粉尘的排放。</w:t>
            </w:r>
            <w:r>
              <w:rPr>
                <w:rFonts w:hint="default" w:ascii="Times New Roman" w:hAnsi="Times New Roman" w:cs="Times New Roman"/>
                <w:color w:val="auto"/>
                <w:sz w:val="24"/>
                <w:szCs w:val="24"/>
                <w:lang w:val="en-US" w:eastAsia="zh-CN"/>
              </w:rPr>
              <w:t>上述大气污染防治措施均为</w:t>
            </w:r>
            <w:r>
              <w:rPr>
                <w:rFonts w:hint="default" w:ascii="Times New Roman" w:hAnsi="Times New Roman" w:eastAsia="宋体" w:cs="Times New Roman"/>
                <w:bCs/>
                <w:color w:val="auto"/>
                <w:spacing w:val="-10"/>
                <w:sz w:val="24"/>
                <w:szCs w:val="24"/>
                <w:lang w:val="en-US" w:eastAsia="zh-CN"/>
              </w:rPr>
              <w:t>《逸散性工业粉尘控制技术（中国环境科学出版社）》中推荐的治理措施，为比较常见的、应用广泛且技术相对成熟的无组织废气治理措施。对照《排污许可证申请与核发技术规范 工业炉窑》(HJ1121-2020)</w:t>
            </w:r>
            <w:r>
              <w:rPr>
                <w:rFonts w:hint="eastAsia" w:ascii="Times New Roman" w:hAnsi="Times New Roman" w:eastAsia="宋体" w:cs="Times New Roman"/>
                <w:bCs/>
                <w:color w:val="auto"/>
                <w:spacing w:val="-10"/>
                <w:sz w:val="24"/>
                <w:szCs w:val="24"/>
                <w:lang w:val="en-US" w:eastAsia="zh-CN"/>
              </w:rPr>
              <w:t>，物料储存，输送采取密闭措施为可行性技术，本项目输送带封闭，装卸区设置遮挡，烘干塔两侧设置遮挡，为可行性技术。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配设1台布袋除尘器，热风炉烟气经布袋除尘器净化处理后由15m高烟囱排放。热风炉燃用生物质压块燃料，燃料中含硫量较低，烟气中二氧化硫浓度较低，因此，本项目未设置脱硫设施。对照《排污许可证申请与核发技术规范 工业炉窑》(HJ1121-2020)附录A，工业窑炉废气中颗粒物污染治理可行技术为燃气或净化后煤制气、袋式除尘、静电除尘，本项目的特点为窑炉设施规模较小、烟气中颗粒物浓度较高，袋式除尘除尘效率高，且适用于小型规模窑炉设施，为本项目最佳窑炉烟气除尘技术选择。</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表4-4排气口基本情况一览表</w:t>
            </w:r>
          </w:p>
          <w:tbl>
            <w:tblPr>
              <w:tblStyle w:val="33"/>
              <w:tblW w:w="86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9"/>
              <w:gridCol w:w="948"/>
              <w:gridCol w:w="953"/>
              <w:gridCol w:w="862"/>
              <w:gridCol w:w="862"/>
              <w:gridCol w:w="862"/>
              <w:gridCol w:w="862"/>
              <w:gridCol w:w="862"/>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9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w:t>
                  </w:r>
                  <w:r>
                    <w:rPr>
                      <w:rFonts w:hint="eastAsia" w:cs="Times New Roman"/>
                      <w:b w:val="0"/>
                      <w:bCs w:val="0"/>
                      <w:i w:val="0"/>
                      <w:iCs w:val="0"/>
                      <w:color w:val="auto"/>
                      <w:spacing w:val="0"/>
                      <w:kern w:val="0"/>
                      <w:sz w:val="21"/>
                      <w:szCs w:val="21"/>
                      <w:lang w:val="en-US" w:eastAsia="zh-CN"/>
                    </w:rPr>
                    <w:t>内径</w:t>
                  </w:r>
                  <w:r>
                    <w:rPr>
                      <w:rFonts w:hint="default" w:ascii="Times New Roman" w:hAnsi="Times New Roman" w:eastAsia="宋体" w:cs="Times New Roman"/>
                      <w:b w:val="0"/>
                      <w:bCs w:val="0"/>
                      <w:i w:val="0"/>
                      <w:iCs w:val="0"/>
                      <w:color w:val="auto"/>
                      <w:spacing w:val="0"/>
                      <w:kern w:val="0"/>
                      <w:sz w:val="21"/>
                      <w:szCs w:val="21"/>
                      <w:lang w:val="en-US" w:eastAsia="zh-CN"/>
                    </w:rPr>
                    <w:t>（m）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烟气流速（m/s）</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8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7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8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热风炉烟囱</w:t>
                  </w: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130.15930474</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48.39952319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w:t>
                  </w:r>
                  <w:r>
                    <w:rPr>
                      <w:rFonts w:hint="eastAsia" w:ascii="Times New Roman" w:hAnsi="Times New Roman" w:eastAsia="宋体" w:cs="Times New Roman"/>
                      <w:b w:val="0"/>
                      <w:bCs w:val="0"/>
                      <w:i w:val="0"/>
                      <w:iCs w:val="0"/>
                      <w:color w:val="auto"/>
                      <w:spacing w:val="0"/>
                      <w:kern w:val="0"/>
                      <w:sz w:val="21"/>
                      <w:szCs w:val="21"/>
                      <w:lang w:val="en-US" w:eastAsia="zh-CN"/>
                    </w:rPr>
                    <w:t>19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15.79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960</w:t>
                  </w:r>
                </w:p>
              </w:tc>
              <w:tc>
                <w:tcPr>
                  <w:tcW w:w="8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《工业炉窑大气污染物排放标准》（GB9078-1996）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要求，工业炉窑烟囱最低允许高度为15m，当烟囱(或排气</w:t>
            </w:r>
            <w:r>
              <w:rPr>
                <w:rFonts w:hint="eastAsia" w:cs="Times New Roman"/>
                <w:color w:val="auto"/>
                <w:kern w:val="0"/>
                <w:sz w:val="24"/>
                <w:szCs w:val="24"/>
                <w:highlight w:val="none"/>
                <w:u w:val="none" w:color="000000"/>
                <w:lang w:val="en-US" w:eastAsia="zh-CN" w:bidi="ar-SA"/>
              </w:rPr>
              <w:t>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)周围半径200m距离内有建筑物时，应高出最高建筑物3m以上，本项目排气筒高度15m，周边200米范围内无12m以上建筑，因此本项目符合排气筒设置规范。</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，工业炉窑周边无组织废气执行</w:t>
            </w:r>
            <w:r>
              <w:rPr>
                <w:rFonts w:hint="default" w:ascii="Times New Roman" w:hAnsi="Times New Roman" w:eastAsia="宋体" w:cs="Times New Roman"/>
                <w:color w:val="auto"/>
                <w:sz w:val="24"/>
                <w:szCs w:val="24"/>
                <w:lang w:val="en-US" w:eastAsia="zh-CN"/>
              </w:rPr>
              <w:t>《工业炉窑大气污染物排放标准》（GB9078-1996）中</w:t>
            </w:r>
            <w:r>
              <w:rPr>
                <w:rFonts w:hint="eastAsia" w:ascii="Times New Roman" w:hAnsi="Times New Roman" w:eastAsia="宋体" w:cs="Times New Roman"/>
                <w:color w:val="auto"/>
                <w:sz w:val="24"/>
                <w:szCs w:val="24"/>
                <w:lang w:val="en-US" w:eastAsia="zh-CN"/>
              </w:rPr>
              <w:t>表3排放标准，</w:t>
            </w:r>
            <w:r>
              <w:rPr>
                <w:rFonts w:hint="default" w:ascii="Times New Roman" w:hAnsi="Times New Roman" w:eastAsia="宋体" w:cs="Times New Roman"/>
                <w:color w:val="auto"/>
                <w:sz w:val="24"/>
                <w:szCs w:val="24"/>
                <w:lang w:val="en-US" w:eastAsia="zh-CN"/>
              </w:rPr>
              <w:t>热风炉烟气中颗粒物、烟气黑度、二氧化硫有组织排放执行《工业炉窑大气污染物排放标准》（GB9078-1996）中表2和表4二级标准</w:t>
            </w:r>
            <w:r>
              <w:rPr>
                <w:rFonts w:hint="default" w:ascii="Times New Roman" w:hAnsi="Times New Roman" w:eastAsia="宋体" w:cs="Times New Roman"/>
                <w:color w:val="auto"/>
                <w:lang w:val="en-US"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本项目运营期大气污染源监测要求对照</w:t>
            </w:r>
            <w:r>
              <w:rPr>
                <w:rFonts w:hint="eastAsia" w:ascii="Times New Roman" w:hAnsi="Times New Roman" w:eastAsia="宋体" w:cs="Times New Roman"/>
                <w:bCs/>
                <w:color w:val="auto"/>
                <w:spacing w:val="-10"/>
                <w:sz w:val="24"/>
                <w:szCs w:val="24"/>
                <w:lang w:val="en-US" w:eastAsia="zh-CN"/>
              </w:rPr>
              <w:t>《排污单位自行监测技术指南 总则》（HJ 819-2017）、</w:t>
            </w:r>
            <w:r>
              <w:rPr>
                <w:rFonts w:hint="default" w:ascii="Times New Roman" w:hAnsi="Times New Roman" w:eastAsia="宋体" w:cs="Times New Roman"/>
                <w:bCs/>
                <w:color w:val="auto"/>
                <w:spacing w:val="-10"/>
                <w:sz w:val="24"/>
                <w:szCs w:val="24"/>
                <w:lang w:val="en-US" w:eastAsia="zh-CN"/>
              </w:rPr>
              <w:t>《排污许可证申请与核发技术规范 工业窑炉》（HJ1121-2020）</w:t>
            </w:r>
            <w:r>
              <w:rPr>
                <w:rFonts w:hint="eastAsia" w:ascii="Times New Roman" w:hAnsi="Times New Roman" w:eastAsia="宋体"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fldChar w:fldCharType="begin"/>
            </w:r>
            <w:r>
              <w:rPr>
                <w:rFonts w:hint="eastAsia" w:ascii="Times New Roman" w:hAnsi="Times New Roman" w:eastAsia="宋体" w:cs="Times New Roman"/>
                <w:bCs/>
                <w:color w:val="auto"/>
                <w:spacing w:val="-10"/>
                <w:sz w:val="24"/>
                <w:szCs w:val="24"/>
                <w:lang w:val="en-US" w:eastAsia="zh-CN"/>
              </w:rPr>
              <w:instrText xml:space="preserve"> HYPERLINK "http://kjs.mep.gov.cn/hjbhbz/bzwb/shjbh/xgbzh/201705/W020170511332490849000.pdf" </w:instrText>
            </w:r>
            <w:r>
              <w:rPr>
                <w:rFonts w:hint="eastAsia" w:ascii="Times New Roman" w:hAnsi="Times New Roman" w:eastAsia="宋体" w:cs="Times New Roman"/>
                <w:bCs/>
                <w:color w:val="auto"/>
                <w:spacing w:val="-10"/>
                <w:sz w:val="24"/>
                <w:szCs w:val="24"/>
                <w:lang w:val="en-US" w:eastAsia="zh-CN"/>
              </w:rPr>
              <w:fldChar w:fldCharType="separate"/>
            </w:r>
            <w:r>
              <w:rPr>
                <w:rFonts w:hint="eastAsia" w:ascii="Times New Roman" w:hAnsi="Times New Roman" w:eastAsia="宋体" w:cs="Times New Roman"/>
                <w:bCs/>
                <w:color w:val="auto"/>
                <w:spacing w:val="-10"/>
                <w:sz w:val="24"/>
                <w:szCs w:val="24"/>
                <w:lang w:val="en-US" w:eastAsia="zh-CN"/>
              </w:rPr>
              <w:t>排污单位自行监测技术指南 农副食品加工业》（HJ986-2018）</w:t>
            </w:r>
            <w:r>
              <w:rPr>
                <w:rFonts w:hint="eastAsia" w:ascii="Times New Roman" w:hAnsi="Times New Roman" w:eastAsia="宋体" w:cs="Times New Roman"/>
                <w:bCs/>
                <w:color w:val="auto"/>
                <w:spacing w:val="-10"/>
                <w:sz w:val="24"/>
                <w:szCs w:val="24"/>
                <w:lang w:val="en-US" w:eastAsia="zh-CN"/>
              </w:rPr>
              <w:fldChar w:fldCharType="end"/>
            </w:r>
            <w:r>
              <w:rPr>
                <w:rFonts w:hint="default" w:ascii="Times New Roman" w:hAnsi="Times New Roman" w:eastAsia="宋体" w:cs="Times New Roman"/>
                <w:bCs/>
                <w:color w:val="auto"/>
                <w:spacing w:val="-10"/>
                <w:sz w:val="24"/>
                <w:szCs w:val="24"/>
                <w:lang w:val="en-US" w:eastAsia="zh-CN"/>
              </w:rPr>
              <w:t>中“5.4 自行监测管理要求”执行。</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表4-5大气污染源监测要求信息表</w:t>
            </w:r>
          </w:p>
          <w:tbl>
            <w:tblPr>
              <w:tblStyle w:val="32"/>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24"/>
              <w:gridCol w:w="3362"/>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restart"/>
                  <w:tcBorders>
                    <w:tl2br w:val="nil"/>
                    <w:tr2bl w:val="nil"/>
                  </w:tcBorders>
                  <w:noWrap w:val="0"/>
                  <w:vAlign w:val="center"/>
                </w:tcPr>
                <w:p>
                  <w:pPr>
                    <w:pStyle w:val="25"/>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924" w:type="dxa"/>
                  <w:vMerge w:val="restart"/>
                  <w:tcBorders>
                    <w:tl2br w:val="nil"/>
                    <w:tr2bl w:val="nil"/>
                  </w:tcBorders>
                  <w:noWrap w:val="0"/>
                  <w:vAlign w:val="center"/>
                </w:tcPr>
                <w:p>
                  <w:pPr>
                    <w:pStyle w:val="25"/>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3362" w:type="dxa"/>
                  <w:vMerge w:val="restart"/>
                  <w:tcBorders>
                    <w:tl2br w:val="nil"/>
                    <w:tr2bl w:val="nil"/>
                  </w:tcBorders>
                  <w:noWrap w:val="0"/>
                  <w:vAlign w:val="center"/>
                </w:tcPr>
                <w:p>
                  <w:pPr>
                    <w:pStyle w:val="25"/>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1212" w:type="dxa"/>
                  <w:vMerge w:val="restart"/>
                  <w:tcBorders>
                    <w:tl2br w:val="nil"/>
                    <w:tr2bl w:val="nil"/>
                  </w:tcBorders>
                  <w:noWrap w:val="0"/>
                  <w:vAlign w:val="center"/>
                </w:tcPr>
                <w:p>
                  <w:pPr>
                    <w:pStyle w:val="25"/>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212"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vMerge w:val="restart"/>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热风炉烟囱</w:t>
                  </w:r>
                </w:p>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924" w:type="dxa"/>
                  <w:vMerge w:val="restart"/>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336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w:t>
                  </w:r>
                </w:p>
              </w:tc>
              <w:tc>
                <w:tcPr>
                  <w:tcW w:w="121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每月运行期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烟囱出口</w:t>
                  </w:r>
                </w:p>
              </w:tc>
              <w:tc>
                <w:tcPr>
                  <w:tcW w:w="336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烟气黑度</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924"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336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工业炉窑周边</w:t>
                  </w:r>
                </w:p>
              </w:tc>
              <w:tc>
                <w:tcPr>
                  <w:tcW w:w="1924"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一个监测点</w:t>
                  </w:r>
                </w:p>
              </w:tc>
              <w:tc>
                <w:tcPr>
                  <w:tcW w:w="3362" w:type="dxa"/>
                  <w:tcBorders>
                    <w:tl2br w:val="nil"/>
                    <w:tr2bl w:val="nil"/>
                  </w:tcBorders>
                  <w:noWrap w:val="0"/>
                  <w:vAlign w:val="center"/>
                </w:tcPr>
                <w:p>
                  <w:pPr>
                    <w:pStyle w:val="25"/>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表4-6大气污染物有组织排达标情况表</w:t>
            </w:r>
          </w:p>
          <w:tbl>
            <w:tblPr>
              <w:tblStyle w:val="33"/>
              <w:tblW w:w="86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57"/>
              <w:gridCol w:w="1703"/>
              <w:gridCol w:w="3057"/>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15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1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77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lang w:val="en-US" w:eastAsia="zh-CN"/>
                    </w:rPr>
                    <w:t>浓度（</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30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rPr>
                    <w:t>《工业炉窑大气污染物排放标准》（GB9078-1996）</w:t>
                  </w:r>
                </w:p>
              </w:tc>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是否</w:t>
                  </w:r>
                  <w:r>
                    <w:rPr>
                      <w:rFonts w:hint="default" w:ascii="Times New Roman" w:hAnsi="Times New Roman" w:eastAsia="宋体" w:cs="Times New Roman"/>
                      <w:b w:val="0"/>
                      <w:bCs w:val="0"/>
                      <w:i w:val="0"/>
                      <w:iCs w:val="0"/>
                      <w:color w:val="auto"/>
                      <w:spacing w:val="0"/>
                      <w:sz w:val="21"/>
                      <w:szCs w:val="21"/>
                      <w:vertAlign w:val="baseline"/>
                      <w:lang w:eastAsia="zh-CN"/>
                    </w:rPr>
                    <w:t>达标</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排放限值</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25"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DA001</w:t>
                  </w:r>
                </w:p>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热风炉烟囱</w:t>
                  </w: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颗粒物（烟尘）</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137.04</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200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二氧化硫</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850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烟气黑度</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&lt;1级</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sz w:val="21"/>
                      <w:szCs w:val="21"/>
                      <w:vertAlign w:val="baseline"/>
                      <w:lang w:val="en-US" w:eastAsia="zh-CN"/>
                    </w:rPr>
                    <w:t>&lt;1级</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氮氧化物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180</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本项目采取相应</w:t>
            </w:r>
            <w:r>
              <w:rPr>
                <w:rFonts w:hint="default" w:ascii="Times New Roman" w:hAnsi="Times New Roman" w:cs="Times New Roman"/>
                <w:color w:val="auto"/>
                <w:sz w:val="24"/>
                <w:szCs w:val="24"/>
                <w:lang w:val="en-US" w:eastAsia="zh-CN"/>
              </w:rPr>
              <w:t>大气污染防治措施后，可有效降低颗粒物无组织排放量，厂界</w:t>
            </w:r>
            <w:r>
              <w:rPr>
                <w:rFonts w:hint="default" w:ascii="Times New Roman" w:hAnsi="Times New Roman" w:cs="Times New Roman"/>
                <w:color w:val="auto"/>
                <w:kern w:val="0"/>
                <w:sz w:val="24"/>
                <w:szCs w:val="24"/>
                <w:lang w:val="en-US" w:eastAsia="zh-CN"/>
              </w:rPr>
              <w:t>颗粒物无组织排放浓度能够满足</w:t>
            </w:r>
            <w:r>
              <w:rPr>
                <w:rFonts w:hint="default" w:ascii="Times New Roman" w:hAnsi="Times New Roman" w:cs="Times New Roman"/>
                <w:color w:val="auto"/>
                <w:kern w:val="0"/>
                <w:sz w:val="24"/>
                <w:szCs w:val="24"/>
                <w:vertAlign w:val="baseline"/>
                <w:lang w:val="en-US" w:eastAsia="zh-CN"/>
              </w:rPr>
              <w:t>《大气污染物综合排放标准》（GB16297-1996）表2中颗粒物无组织排放监测浓度限值要求。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本项目热风炉烟气经布袋除尘器处理后由15m高烟囱排放，颗粒物排放浓度、</w:t>
            </w:r>
            <w:r>
              <w:rPr>
                <w:rFonts w:hint="default" w:ascii="Times New Roman" w:hAnsi="Times New Roman" w:eastAsia="宋体" w:cs="Times New Roman"/>
                <w:color w:val="auto"/>
                <w:sz w:val="24"/>
                <w:szCs w:val="24"/>
                <w:lang w:val="en-US" w:eastAsia="zh-CN"/>
              </w:rPr>
              <w:t>烟气黑度、</w:t>
            </w:r>
            <w:r>
              <w:rPr>
                <w:rFonts w:hint="default" w:ascii="Times New Roman" w:hAnsi="Times New Roman" w:eastAsia="宋体" w:cs="Times New Roman"/>
                <w:bCs/>
                <w:color w:val="auto"/>
                <w:spacing w:val="-10"/>
                <w:sz w:val="24"/>
                <w:szCs w:val="24"/>
                <w:lang w:val="en-US" w:eastAsia="zh-CN"/>
              </w:rPr>
              <w:t>二氧化硫排放浓度可满足《工业炉窑大气污染物排放标准》（GB9078-1996）表2、表4中标准要求。</w:t>
            </w:r>
            <w:r>
              <w:rPr>
                <w:rFonts w:hint="eastAsia" w:cs="Times New Roman"/>
                <w:color w:val="auto"/>
                <w:sz w:val="24"/>
                <w:szCs w:val="24"/>
                <w:lang w:val="en-US" w:eastAsia="zh-CN"/>
              </w:rPr>
              <w:t>热风炉烟气中的氮氧化物有组织排放执行</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中无氮氧化物浓度限值</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均可达标排放，且排放量较小，不会</w:t>
            </w:r>
            <w:r>
              <w:rPr>
                <w:rFonts w:hint="eastAsia" w:cs="Times New Roman"/>
                <w:bCs/>
                <w:color w:val="auto"/>
                <w:spacing w:val="-10"/>
                <w:sz w:val="24"/>
                <w:szCs w:val="24"/>
                <w:lang w:val="en-US" w:eastAsia="zh-CN"/>
              </w:rPr>
              <w:t>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造成较大影响，</w:t>
            </w:r>
            <w:r>
              <w:rPr>
                <w:rFonts w:hint="default" w:ascii="Times New Roman" w:hAnsi="Times New Roman" w:eastAsia="宋体" w:cs="Times New Roman"/>
                <w:bCs/>
                <w:color w:val="auto"/>
                <w:spacing w:val="-10"/>
                <w:sz w:val="24"/>
                <w:szCs w:val="24"/>
                <w:lang w:val="en-US" w:eastAsia="zh-CN"/>
              </w:rPr>
              <w:t>可被大气环境所接受。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本项目产生的废水为生活污水，产生量为</w:t>
            </w:r>
            <w:r>
              <w:rPr>
                <w:rFonts w:hint="eastAsia" w:cs="Times New Roman"/>
                <w:color w:val="auto"/>
                <w:kern w:val="0"/>
                <w:sz w:val="24"/>
                <w:szCs w:val="24"/>
                <w:highlight w:val="none"/>
                <w:lang w:val="en-US" w:eastAsia="zh-CN"/>
              </w:rPr>
              <w:t>0.192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清粮筛分机、输送机、风机、烘干塔等设备，具体噪声源强详见下表。</w:t>
            </w:r>
          </w:p>
          <w:p>
            <w:pPr>
              <w:pStyle w:val="80"/>
              <w:adjustRightInd/>
              <w:snapToGrid/>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表4-7噪声源排放特征及噪声值情况表（室内声源）</w:t>
            </w:r>
          </w:p>
          <w:tbl>
            <w:tblPr>
              <w:tblStyle w:val="32"/>
              <w:tblW w:w="86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31"/>
              <w:gridCol w:w="431"/>
              <w:gridCol w:w="822"/>
              <w:gridCol w:w="644"/>
              <w:gridCol w:w="431"/>
              <w:gridCol w:w="475"/>
              <w:gridCol w:w="247"/>
              <w:gridCol w:w="699"/>
              <w:gridCol w:w="822"/>
              <w:gridCol w:w="468"/>
              <w:gridCol w:w="822"/>
              <w:gridCol w:w="822"/>
              <w:gridCol w:w="431"/>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53"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9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6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5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7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9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6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7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热风炉房</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2.24</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66.45</w:t>
                  </w:r>
                </w:p>
              </w:tc>
              <w:tc>
                <w:tcPr>
                  <w:tcW w:w="46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40.45</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3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热风炉</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71.36</w:t>
                  </w:r>
                </w:p>
              </w:tc>
              <w:tc>
                <w:tcPr>
                  <w:tcW w:w="46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45.36</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960</w:t>
                  </w:r>
                </w:p>
              </w:tc>
            </w:tr>
          </w:tbl>
          <w:p>
            <w:pPr>
              <w:pStyle w:val="80"/>
              <w:adjustRightInd/>
              <w:snapToGrid/>
              <w:spacing w:line="240" w:lineRule="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噪声源排放特征及噪声值情况表</w:t>
            </w:r>
            <w:r>
              <w:rPr>
                <w:rFonts w:hint="eastAsia" w:ascii="Times New Roman" w:hAnsi="Times New Roman" w:eastAsia="宋体" w:cs="Times New Roman"/>
                <w:b/>
                <w:bCs/>
                <w:color w:val="auto"/>
                <w:sz w:val="21"/>
                <w:szCs w:val="21"/>
                <w:lang w:val="en-US" w:eastAsia="zh-CN"/>
              </w:rPr>
              <w:t>（室外声源）</w:t>
            </w:r>
          </w:p>
          <w:tbl>
            <w:tblPr>
              <w:tblStyle w:val="103"/>
              <w:tblpPr w:leftFromText="180" w:rightFromText="180" w:vertAnchor="text" w:horzAnchor="page" w:tblpX="477" w:tblpY="299"/>
              <w:tblOverlap w:val="never"/>
              <w:tblW w:w="804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529"/>
              <w:gridCol w:w="531"/>
              <w:gridCol w:w="427"/>
              <w:gridCol w:w="479"/>
              <w:gridCol w:w="1129"/>
              <w:gridCol w:w="1571"/>
              <w:gridCol w:w="962"/>
              <w:gridCol w:w="9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en-US" w:bidi="ar-SA"/>
                    </w:rPr>
                  </w:pPr>
                  <w:r>
                    <w:rPr>
                      <w:rFonts w:hint="default" w:ascii="Times New Roman" w:hAnsi="Times New Roman" w:eastAsia="宋体" w:cs="Times New Roman"/>
                      <w:b/>
                      <w:color w:val="auto"/>
                      <w:kern w:val="0"/>
                      <w:sz w:val="21"/>
                      <w:szCs w:val="21"/>
                      <w:highlight w:val="none"/>
                      <w:lang w:val="en-US" w:eastAsia="en-US" w:bidi="ar-SA"/>
                    </w:rPr>
                    <w:t>序号</w:t>
                  </w:r>
                </w:p>
              </w:tc>
              <w:tc>
                <w:tcPr>
                  <w:tcW w:w="152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声源名称</w:t>
                  </w:r>
                </w:p>
              </w:tc>
              <w:tc>
                <w:tcPr>
                  <w:tcW w:w="143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空间相对位置/m</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声源源强/dB（A）</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声源控制措施</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降噪后源强dB（A）</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运行时段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15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X</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Y</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Z</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w:t>
                  </w:r>
                  <w:r>
                    <w:rPr>
                      <w:rFonts w:hint="eastAsia" w:cs="Times New Roman"/>
                      <w:b/>
                      <w:bCs w:val="0"/>
                      <w:color w:val="auto"/>
                      <w:kern w:val="0"/>
                      <w:sz w:val="21"/>
                      <w:szCs w:val="21"/>
                      <w:highlight w:val="none"/>
                      <w:lang w:val="en-US" w:eastAsia="zh-CN" w:bidi="ar-SA"/>
                    </w:rPr>
                    <w:t>压</w:t>
                  </w:r>
                  <w:r>
                    <w:rPr>
                      <w:rFonts w:hint="default" w:ascii="Times New Roman" w:hAnsi="Times New Roman" w:eastAsia="宋体" w:cs="Times New Roman"/>
                      <w:b/>
                      <w:bCs w:val="0"/>
                      <w:color w:val="auto"/>
                      <w:kern w:val="0"/>
                      <w:sz w:val="21"/>
                      <w:szCs w:val="21"/>
                      <w:highlight w:val="none"/>
                      <w:lang w:val="en-US" w:eastAsia="zh-CN" w:bidi="ar-SA"/>
                    </w:rPr>
                    <w:t>级</w:t>
                  </w:r>
                  <w:r>
                    <w:rPr>
                      <w:rFonts w:hint="eastAsia" w:cs="Times New Roman"/>
                      <w:b/>
                      <w:bCs w:val="0"/>
                      <w:color w:val="auto"/>
                      <w:kern w:val="0"/>
                      <w:sz w:val="21"/>
                      <w:szCs w:val="21"/>
                      <w:highlight w:val="none"/>
                      <w:lang w:val="en-US" w:eastAsia="zh-CN" w:bidi="ar-SA"/>
                    </w:rPr>
                    <w:t>/距声源距离5m</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1</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Cs w:val="21"/>
                    </w:rPr>
                    <w:t>清</w:t>
                  </w:r>
                  <w:r>
                    <w:rPr>
                      <w:rFonts w:hint="default" w:ascii="Times New Roman" w:hAnsi="Times New Roman" w:cs="Times New Roman"/>
                      <w:color w:val="auto"/>
                      <w:szCs w:val="21"/>
                      <w:lang w:val="en-US" w:eastAsia="zh-CN"/>
                    </w:rPr>
                    <w:t>粮</w:t>
                  </w:r>
                  <w:r>
                    <w:rPr>
                      <w:rFonts w:hint="default" w:ascii="Times New Roman" w:hAnsi="Times New Roman" w:cs="Times New Roman"/>
                      <w:color w:val="auto"/>
                      <w:szCs w:val="21"/>
                    </w:rPr>
                    <w:t>筛</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20</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安装减震基础、选用低噪声设备</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昼夜运行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2</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17</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49</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3</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13</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47</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4</w:t>
                  </w:r>
                </w:p>
              </w:tc>
              <w:tc>
                <w:tcPr>
                  <w:tcW w:w="1529" w:type="dxa"/>
                  <w:tcBorders>
                    <w:tl2br w:val="nil"/>
                    <w:tr2bl w:val="nil"/>
                  </w:tcBorders>
                  <w:vAlign w:val="center"/>
                </w:tcPr>
                <w:p>
                  <w:pPr>
                    <w:widowControl/>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烘干塔</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25</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54</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bl>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eastAsia"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①设靠近开口处（或窗户）室内、室外某倍频带的声压级或A声级分别为Lp1和Lp2。若声源所在室内声场为近似扩散声场，则室外的倍频带声压级可按式近似求出：</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14"/>
                <w:sz w:val="24"/>
                <w:szCs w:val="24"/>
              </w:rPr>
              <w:object>
                <v:shape id="_x0000_i1028" o:spt="75" type="#_x0000_t75" style="height:23.35pt;width:116.7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式中：Lp1——靠近开口处（或窗户）室内某倍频带的声压级或A声级，dB；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Lp2——靠近开口处（或窗户）室外某倍频带的声压级或A声级，dB；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TL——隔墙（或窗户）倍频带或A声级的隔声量，dB。</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②也可按</w:t>
            </w:r>
            <w:r>
              <w:rPr>
                <w:rFonts w:hint="default" w:ascii="Times New Roman" w:hAnsi="Times New Roman" w:eastAsia="宋体" w:cs="Times New Roman"/>
                <w:b w:val="0"/>
                <w:bCs w:val="0"/>
                <w:color w:val="auto"/>
                <w:spacing w:val="0"/>
                <w:position w:val="0"/>
                <w:sz w:val="24"/>
                <w:szCs w:val="24"/>
              </w:rPr>
              <w:t>某一室内声源靠近围护结构处产生的倍频带声压级</w:t>
            </w:r>
          </w:p>
          <w:p>
            <w:pPr>
              <w:pStyle w:val="104"/>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28"/>
                <w:sz w:val="24"/>
                <w:szCs w:val="24"/>
              </w:rPr>
              <w:object>
                <v:shape id="_x0000_i1029" o:spt="75" type="#_x0000_t75" style="height:41.6pt;width:163.25pt;" o:ole="t"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③</w:t>
            </w:r>
            <w:r>
              <w:rPr>
                <w:rFonts w:hint="default" w:ascii="Times New Roman" w:hAnsi="Times New Roman" w:eastAsia="宋体" w:cs="Times New Roman"/>
                <w:b w:val="0"/>
                <w:bCs w:val="0"/>
                <w:color w:val="auto"/>
                <w:spacing w:val="0"/>
                <w:position w:val="0"/>
                <w:sz w:val="24"/>
                <w:szCs w:val="24"/>
              </w:rPr>
              <w:t>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42.7pt;width:143.3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04"/>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④</w:t>
            </w:r>
            <w:r>
              <w:rPr>
                <w:rFonts w:hint="default" w:ascii="Times New Roman" w:hAnsi="Times New Roman" w:eastAsia="宋体" w:cs="Times New Roman"/>
                <w:b w:val="0"/>
                <w:bCs w:val="0"/>
                <w:color w:val="auto"/>
                <w:spacing w:val="0"/>
                <w:position w:val="0"/>
                <w:sz w:val="24"/>
                <w:szCs w:val="24"/>
              </w:rPr>
              <w:t>无指向性点声源几何发散衰减的基本公式是：</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6.95pt;width:131.9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05"/>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39.5pt;width:143.35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3" o:spt="75" type="#_x0000_t75" style="height:24.85pt;width:183.5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48"/>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31"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44"/>
                          <pic:cNvPicPr>
                            <a:picLocks noChangeAspect="1" noChangeArrowheads="1"/>
                          </pic:cNvPicPr>
                        </pic:nvPicPr>
                        <pic:blipFill>
                          <a:blip r:embed="rId39"/>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FF0000"/>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2"/>
              <w:tblW w:w="86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29"/>
              <w:gridCol w:w="830"/>
              <w:gridCol w:w="762"/>
              <w:gridCol w:w="761"/>
              <w:gridCol w:w="762"/>
              <w:gridCol w:w="751"/>
              <w:gridCol w:w="777"/>
              <w:gridCol w:w="742"/>
              <w:gridCol w:w="782"/>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Merge w:val="restart"/>
                  <w:noWrap w:val="0"/>
                  <w:vAlign w:val="center"/>
                </w:tcPr>
                <w:p>
                  <w:pPr>
                    <w:snapToGrid w:val="0"/>
                    <w:jc w:val="center"/>
                    <w:rPr>
                      <w:b/>
                      <w:bCs/>
                      <w:color w:val="auto"/>
                      <w:szCs w:val="21"/>
                    </w:rPr>
                  </w:pPr>
                  <w:r>
                    <w:rPr>
                      <w:b/>
                      <w:bCs/>
                      <w:color w:val="auto"/>
                      <w:szCs w:val="21"/>
                      <w:lang w:bidi="ar"/>
                    </w:rPr>
                    <w:t>预测点</w:t>
                  </w:r>
                </w:p>
              </w:tc>
              <w:tc>
                <w:tcPr>
                  <w:tcW w:w="1659" w:type="dxa"/>
                  <w:gridSpan w:val="2"/>
                  <w:noWrap w:val="0"/>
                  <w:vAlign w:val="center"/>
                </w:tcPr>
                <w:p>
                  <w:pPr>
                    <w:snapToGrid w:val="0"/>
                    <w:jc w:val="center"/>
                    <w:rPr>
                      <w:b/>
                      <w:bCs/>
                      <w:color w:val="auto"/>
                      <w:szCs w:val="21"/>
                    </w:rPr>
                  </w:pPr>
                  <w:r>
                    <w:rPr>
                      <w:b/>
                      <w:bCs/>
                      <w:color w:val="auto"/>
                      <w:szCs w:val="21"/>
                      <w:lang w:bidi="ar"/>
                    </w:rPr>
                    <w:t>贡献值/dB（A）</w:t>
                  </w:r>
                </w:p>
              </w:tc>
              <w:tc>
                <w:tcPr>
                  <w:tcW w:w="1523"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513" w:type="dxa"/>
                  <w:gridSpan w:val="2"/>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519" w:type="dxa"/>
                  <w:gridSpan w:val="2"/>
                  <w:noWrap w:val="0"/>
                  <w:vAlign w:val="center"/>
                </w:tcPr>
                <w:p>
                  <w:pPr>
                    <w:snapToGrid w:val="0"/>
                    <w:jc w:val="center"/>
                    <w:rPr>
                      <w:b/>
                      <w:bCs/>
                      <w:color w:val="auto"/>
                      <w:szCs w:val="21"/>
                    </w:rPr>
                  </w:pPr>
                  <w:r>
                    <w:rPr>
                      <w:b/>
                      <w:bCs/>
                      <w:color w:val="auto"/>
                      <w:szCs w:val="21"/>
                      <w:lang w:bidi="ar"/>
                    </w:rPr>
                    <w:t>噪声标准/dB（A）</w:t>
                  </w:r>
                </w:p>
              </w:tc>
              <w:tc>
                <w:tcPr>
                  <w:tcW w:w="1557"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vMerge w:val="continue"/>
                  <w:noWrap w:val="0"/>
                  <w:vAlign w:val="center"/>
                </w:tcPr>
                <w:p>
                  <w:pPr>
                    <w:rPr>
                      <w:rFonts w:eastAsia="等线"/>
                      <w:color w:val="auto"/>
                      <w:sz w:val="20"/>
                      <w:szCs w:val="20"/>
                    </w:rPr>
                  </w:pPr>
                </w:p>
              </w:tc>
              <w:tc>
                <w:tcPr>
                  <w:tcW w:w="829" w:type="dxa"/>
                  <w:noWrap w:val="0"/>
                  <w:vAlign w:val="center"/>
                </w:tcPr>
                <w:p>
                  <w:pPr>
                    <w:snapToGrid w:val="0"/>
                    <w:jc w:val="center"/>
                    <w:rPr>
                      <w:rFonts w:hint="default" w:eastAsia="宋体"/>
                      <w:b/>
                      <w:bCs/>
                      <w:color w:val="auto"/>
                      <w:szCs w:val="21"/>
                      <w:lang w:val="en-US" w:eastAsia="zh-CN"/>
                    </w:rPr>
                  </w:pPr>
                  <w:r>
                    <w:rPr>
                      <w:rFonts w:hint="eastAsia"/>
                      <w:b/>
                      <w:bCs/>
                      <w:color w:val="auto"/>
                      <w:szCs w:val="21"/>
                    </w:rPr>
                    <w:t>昼间</w:t>
                  </w:r>
                </w:p>
              </w:tc>
              <w:tc>
                <w:tcPr>
                  <w:tcW w:w="830"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rFonts w:hint="eastAsia"/>
                      <w:b/>
                      <w:bCs/>
                      <w:color w:val="auto"/>
                      <w:szCs w:val="21"/>
                    </w:rPr>
                  </w:pPr>
                  <w:r>
                    <w:rPr>
                      <w:rFonts w:hint="eastAsia"/>
                      <w:b/>
                      <w:bCs/>
                      <w:color w:val="auto"/>
                      <w:szCs w:val="21"/>
                    </w:rPr>
                    <w:t>昼间</w:t>
                  </w:r>
                </w:p>
              </w:tc>
              <w:tc>
                <w:tcPr>
                  <w:tcW w:w="761"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b/>
                      <w:bCs/>
                      <w:color w:val="auto"/>
                      <w:szCs w:val="21"/>
                    </w:rPr>
                  </w:pPr>
                  <w:r>
                    <w:rPr>
                      <w:rFonts w:hint="eastAsia"/>
                      <w:b/>
                      <w:bCs/>
                      <w:color w:val="auto"/>
                      <w:szCs w:val="21"/>
                    </w:rPr>
                    <w:t>昼间</w:t>
                  </w:r>
                </w:p>
              </w:tc>
              <w:tc>
                <w:tcPr>
                  <w:tcW w:w="751"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77" w:type="dxa"/>
                  <w:noWrap w:val="0"/>
                  <w:vAlign w:val="center"/>
                </w:tcPr>
                <w:p>
                  <w:pPr>
                    <w:snapToGrid w:val="0"/>
                    <w:jc w:val="center"/>
                    <w:rPr>
                      <w:rFonts w:hint="eastAsia"/>
                      <w:b/>
                      <w:bCs/>
                      <w:color w:val="auto"/>
                      <w:szCs w:val="21"/>
                    </w:rPr>
                  </w:pPr>
                  <w:r>
                    <w:rPr>
                      <w:rFonts w:hint="eastAsia"/>
                      <w:b/>
                      <w:bCs/>
                      <w:color w:val="auto"/>
                      <w:szCs w:val="21"/>
                    </w:rPr>
                    <w:t>昼间</w:t>
                  </w:r>
                </w:p>
              </w:tc>
              <w:tc>
                <w:tcPr>
                  <w:tcW w:w="742"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82" w:type="dxa"/>
                  <w:noWrap w:val="0"/>
                  <w:vAlign w:val="center"/>
                </w:tcPr>
                <w:p>
                  <w:pPr>
                    <w:snapToGrid w:val="0"/>
                    <w:jc w:val="center"/>
                    <w:rPr>
                      <w:rFonts w:hint="eastAsia"/>
                      <w:b/>
                      <w:bCs/>
                      <w:color w:val="auto"/>
                      <w:szCs w:val="21"/>
                    </w:rPr>
                  </w:pPr>
                  <w:r>
                    <w:rPr>
                      <w:rFonts w:hint="eastAsia"/>
                      <w:b/>
                      <w:bCs/>
                      <w:color w:val="auto"/>
                      <w:szCs w:val="21"/>
                    </w:rPr>
                    <w:t>昼间</w:t>
                  </w:r>
                </w:p>
              </w:tc>
              <w:tc>
                <w:tcPr>
                  <w:tcW w:w="775"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49.1</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49.1</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36.41</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36.41</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36.26</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36.26</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33.89</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33.89</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厂界北侧居民1#</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rPr>
                    <w:t>30.42</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rPr>
                    <w:t>30.42</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51</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42</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51.04</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42.29</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color w:val="000000" w:themeColor="text1"/>
                      <w:sz w:val="21"/>
                      <w:szCs w:val="21"/>
                      <w:lang w:val="en-US" w:eastAsia="zh-CN"/>
                      <w14:textFill>
                        <w14:solidFill>
                          <w14:schemeClr w14:val="tx1"/>
                        </w14:solidFill>
                      </w14:textFill>
                    </w:rPr>
                    <w:t>东</w:t>
                  </w:r>
                  <w:r>
                    <w:rPr>
                      <w:rFonts w:hint="eastAsia" w:ascii="Times New Roman" w:hAnsi="Times New Roman" w:eastAsia="宋体"/>
                      <w:color w:val="000000" w:themeColor="text1"/>
                      <w:sz w:val="21"/>
                      <w:szCs w:val="21"/>
                      <w14:textFill>
                        <w14:solidFill>
                          <w14:schemeClr w14:val="tx1"/>
                        </w14:solidFill>
                      </w14:textFill>
                    </w:rPr>
                    <w:t>侧居民2#</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rPr>
                    <w:t>39.47</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rPr>
                    <w:t>39.47</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53</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41</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53.19</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43.31</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color w:val="000000" w:themeColor="text1"/>
                      <w:sz w:val="21"/>
                      <w:szCs w:val="21"/>
                      <w:lang w:val="en-US" w:eastAsia="zh-CN"/>
                      <w14:textFill>
                        <w14:solidFill>
                          <w14:schemeClr w14:val="tx1"/>
                        </w14:solidFill>
                      </w14:textFill>
                    </w:rPr>
                    <w:t>南</w:t>
                  </w:r>
                  <w:r>
                    <w:rPr>
                      <w:rFonts w:hint="eastAsia" w:ascii="Times New Roman" w:hAnsi="Times New Roman" w:eastAsia="宋体"/>
                      <w:color w:val="000000" w:themeColor="text1"/>
                      <w:sz w:val="21"/>
                      <w:szCs w:val="21"/>
                      <w14:textFill>
                        <w14:solidFill>
                          <w14:schemeClr w14:val="tx1"/>
                        </w14:solidFill>
                      </w14:textFill>
                    </w:rPr>
                    <w:t>侧居民3#</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rPr>
                    <w:t>32.77</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rPr>
                    <w:t>32.77</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49</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39</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49.10</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39.93</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color w:val="000000" w:themeColor="text1"/>
                      <w:sz w:val="21"/>
                      <w:szCs w:val="21"/>
                      <w:lang w:val="en-US" w:eastAsia="zh-CN"/>
                      <w14:textFill>
                        <w14:solidFill>
                          <w14:schemeClr w14:val="tx1"/>
                        </w14:solidFill>
                      </w14:textFill>
                    </w:rPr>
                    <w:t>西</w:t>
                  </w:r>
                  <w:r>
                    <w:rPr>
                      <w:rFonts w:hint="eastAsia" w:ascii="Times New Roman" w:hAnsi="Times New Roman" w:eastAsia="宋体"/>
                      <w:color w:val="000000" w:themeColor="text1"/>
                      <w:sz w:val="21"/>
                      <w:szCs w:val="21"/>
                      <w14:textFill>
                        <w14:solidFill>
                          <w14:schemeClr w14:val="tx1"/>
                        </w14:solidFill>
                      </w14:textFill>
                    </w:rPr>
                    <w:t>侧居民4#</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rPr>
                    <w:t>33.10</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rPr>
                    <w:t>33.10</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53</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z w:val="21"/>
                      <w:szCs w:val="21"/>
                      <w:highlight w:val="none"/>
                      <w:lang w:val="en-US" w:eastAsia="zh-CN"/>
                    </w:rPr>
                    <w:t>43</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53.04</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rPr>
                    <w:t>43.42</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lang w:val="en-US" w:eastAsia="zh-CN"/>
              </w:rPr>
              <w:t>清粮筛、输送机、</w:t>
            </w:r>
            <w:r>
              <w:rPr>
                <w:rFonts w:hint="eastAsia" w:cs="Times New Roman"/>
                <w:color w:val="auto"/>
                <w:sz w:val="24"/>
                <w:szCs w:val="24"/>
                <w:lang w:val="en-US" w:eastAsia="zh-CN"/>
              </w:rPr>
              <w:t>提升机、</w:t>
            </w:r>
            <w:r>
              <w:rPr>
                <w:rFonts w:hint="default" w:ascii="Times New Roman" w:hAnsi="Times New Roman" w:cs="Times New Roman"/>
                <w:color w:val="auto"/>
                <w:sz w:val="24"/>
                <w:szCs w:val="24"/>
                <w:lang w:val="en-US" w:eastAsia="zh-CN"/>
              </w:rPr>
              <w:t>风机、烘干塔等</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bCs/>
                <w:color w:val="auto"/>
                <w:spacing w:val="-10"/>
                <w:sz w:val="24"/>
                <w:szCs w:val="24"/>
                <w:lang w:val="en-US" w:eastAsia="zh-CN"/>
              </w:rPr>
              <w:t>选用低噪声设备，</w:t>
            </w:r>
            <w:r>
              <w:rPr>
                <w:rFonts w:hint="default" w:ascii="Times New Roman" w:hAnsi="Times New Roman" w:cs="Times New Roman"/>
                <w:color w:val="auto"/>
                <w:sz w:val="24"/>
                <w:szCs w:val="24"/>
                <w:lang w:val="en-US" w:eastAsia="zh-CN"/>
              </w:rPr>
              <w:t>清粮筛、烘干塔等</w:t>
            </w:r>
            <w:r>
              <w:rPr>
                <w:rFonts w:hint="default" w:ascii="Times New Roman" w:hAnsi="Times New Roman" w:eastAsia="宋体" w:cs="Times New Roman"/>
                <w:bCs/>
                <w:color w:val="auto"/>
                <w:spacing w:val="-10"/>
                <w:sz w:val="24"/>
                <w:szCs w:val="24"/>
                <w:lang w:val="en-US" w:eastAsia="zh-CN"/>
              </w:rPr>
              <w:t>噪声设备装设减振垫，风机进、出风口装设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，敏感点噪声满足《声环境质量标准》（GB3096-2008）中的2类标准。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）环境噪声监测要求</w:t>
            </w:r>
          </w:p>
          <w:p>
            <w:pPr>
              <w:adjustRightInd w:val="0"/>
              <w:snapToGrid w:val="0"/>
              <w:ind w:firstLine="482"/>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9</w:t>
            </w:r>
            <w:r>
              <w:rPr>
                <w:rFonts w:hint="default" w:ascii="Times New Roman" w:hAnsi="Times New Roman" w:cs="Times New Roman"/>
                <w:b/>
                <w:color w:val="auto"/>
                <w:szCs w:val="21"/>
              </w:rPr>
              <w:t xml:space="preserve">  噪声监测计划一览表</w:t>
            </w:r>
          </w:p>
          <w:tbl>
            <w:tblPr>
              <w:tblStyle w:val="32"/>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每</w:t>
                  </w:r>
                  <w:r>
                    <w:rPr>
                      <w:rFonts w:hint="eastAsia" w:cs="Times New Roman"/>
                      <w:bCs/>
                      <w:color w:val="auto"/>
                      <w:kern w:val="0"/>
                      <w:szCs w:val="21"/>
                      <w:lang w:val="en-US" w:eastAsia="zh-CN"/>
                    </w:rPr>
                    <w:t>年运行期</w:t>
                  </w:r>
                  <w:r>
                    <w:rPr>
                      <w:rFonts w:hint="default" w:ascii="Times New Roman" w:hAnsi="Times New Roman" w:cs="Times New Roman"/>
                      <w:bCs/>
                      <w:color w:val="auto"/>
                      <w:kern w:val="0"/>
                      <w:szCs w:val="21"/>
                    </w:rPr>
                    <w:t>开展1次昼夜监测</w:t>
                  </w:r>
                </w:p>
              </w:tc>
              <w:tc>
                <w:tcPr>
                  <w:tcW w:w="2793" w:type="dxa"/>
                  <w:noWrap w:val="0"/>
                  <w:vAlign w:val="center"/>
                </w:tcPr>
                <w:p>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2</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敏感点</w:t>
                  </w:r>
                </w:p>
              </w:tc>
              <w:tc>
                <w:tcPr>
                  <w:tcW w:w="818" w:type="dxa"/>
                  <w:shd w:val="clear" w:color="auto" w:fill="auto"/>
                  <w:noWrap w:val="0"/>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每</w:t>
                  </w:r>
                  <w:r>
                    <w:rPr>
                      <w:rFonts w:hint="eastAsia" w:cs="Times New Roman"/>
                      <w:bCs/>
                      <w:color w:val="auto"/>
                      <w:kern w:val="0"/>
                      <w:szCs w:val="21"/>
                      <w:lang w:val="en-US" w:eastAsia="zh-CN"/>
                    </w:rPr>
                    <w:t>年运行期</w:t>
                  </w:r>
                  <w:r>
                    <w:rPr>
                      <w:rFonts w:hint="default" w:ascii="Times New Roman" w:hAnsi="Times New Roman" w:cs="Times New Roman"/>
                      <w:bCs/>
                      <w:color w:val="auto"/>
                      <w:kern w:val="0"/>
                      <w:szCs w:val="21"/>
                    </w:rPr>
                    <w:t>开展1次昼夜监测</w:t>
                  </w:r>
                </w:p>
              </w:tc>
              <w:tc>
                <w:tcPr>
                  <w:tcW w:w="2793" w:type="dxa"/>
                  <w:noWrap w:val="0"/>
                  <w:vAlign w:val="center"/>
                </w:tcPr>
                <w:p>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r>
                    <w:rPr>
                      <w:rFonts w:hint="eastAsia" w:ascii="Times New Roman" w:hAnsi="Times New Roman" w:cs="Times New Roman"/>
                      <w:bCs/>
                      <w:color w:val="auto"/>
                      <w:kern w:val="0"/>
                      <w:szCs w:val="21"/>
                      <w:highlight w:val="none"/>
                      <w:lang w:val="en-US" w:eastAsia="zh-CN"/>
                    </w:rPr>
                    <w:t>声环境质量</w:t>
                  </w:r>
                  <w:r>
                    <w:rPr>
                      <w:rFonts w:hint="default" w:ascii="Times New Roman" w:hAnsi="Times New Roman" w:cs="Times New Roman"/>
                      <w:bCs/>
                      <w:color w:val="auto"/>
                      <w:kern w:val="0"/>
                      <w:szCs w:val="21"/>
                      <w:highlight w:val="none"/>
                    </w:rPr>
                    <w:t>标准》（GB</w:t>
                  </w:r>
                  <w:r>
                    <w:rPr>
                      <w:rFonts w:hint="eastAsia" w:ascii="Times New Roman" w:hAnsi="Times New Roman" w:cs="Times New Roman"/>
                      <w:bCs/>
                      <w:color w:val="auto"/>
                      <w:kern w:val="0"/>
                      <w:szCs w:val="21"/>
                      <w:highlight w:val="none"/>
                      <w:lang w:val="en-US" w:eastAsia="zh-CN"/>
                    </w:rPr>
                    <w:t>3096</w:t>
                  </w:r>
                  <w:r>
                    <w:rPr>
                      <w:rFonts w:hint="default" w:ascii="Times New Roman" w:hAnsi="Times New Roman" w:cs="Times New Roman"/>
                      <w:bCs/>
                      <w:color w:val="auto"/>
                      <w:kern w:val="0"/>
                      <w:szCs w:val="21"/>
                      <w:highlight w:val="none"/>
                    </w:rPr>
                    <w:t>-2008）中的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4、固体废物</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本项目运营期产生的固体废弃物，一般固废主要包括</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热风炉产生的炉渣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lang w:val="en-US" w:eastAsia="zh-CN"/>
              </w:rPr>
              <w:t>输送产生的</w:t>
            </w:r>
            <w:r>
              <w:rPr>
                <w:rFonts w:hint="default" w:ascii="Times New Roman" w:hAnsi="Times New Roman" w:cs="Times New Roman"/>
                <w:color w:val="auto"/>
                <w:sz w:val="24"/>
                <w:szCs w:val="24"/>
                <w:highlight w:val="none"/>
                <w:lang w:eastAsia="zh-CN"/>
              </w:rPr>
              <w:t>粉尘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清理原粮中的杂质（泥沙）：年产生量约</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t/a，依托当地环卫部门统一收集处理。</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本项目</w:t>
            </w:r>
            <w:r>
              <w:rPr>
                <w:rFonts w:hint="eastAsia" w:ascii="Times New Roman" w:hAnsi="Times New Roman" w:eastAsia="宋体" w:cs="Times New Roman"/>
                <w:bCs/>
                <w:color w:val="auto"/>
                <w:spacing w:val="-10"/>
                <w:sz w:val="24"/>
                <w:szCs w:val="24"/>
                <w:highlight w:val="none"/>
                <w:lang w:val="en-US" w:eastAsia="zh-CN"/>
              </w:rPr>
              <w:t>热风炉</w:t>
            </w:r>
            <w:r>
              <w:rPr>
                <w:rFonts w:hint="default" w:ascii="Times New Roman" w:hAnsi="Times New Roman" w:eastAsia="宋体" w:cs="Times New Roman"/>
                <w:bCs/>
                <w:color w:val="auto"/>
                <w:spacing w:val="-10"/>
                <w:sz w:val="24"/>
                <w:szCs w:val="24"/>
                <w:highlight w:val="none"/>
                <w:lang w:val="en-US" w:eastAsia="zh-CN"/>
              </w:rPr>
              <w:t>产生的</w:t>
            </w:r>
            <w:r>
              <w:rPr>
                <w:rFonts w:hint="eastAsia" w:ascii="Times New Roman" w:hAnsi="Times New Roman" w:eastAsia="宋体"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量</w:t>
            </w:r>
            <w:r>
              <w:rPr>
                <w:rFonts w:hint="eastAsia" w:ascii="Times New Roman" w:hAnsi="Times New Roman" w:eastAsia="宋体" w:cs="Times New Roman"/>
                <w:bCs/>
                <w:color w:val="auto"/>
                <w:spacing w:val="-10"/>
                <w:sz w:val="24"/>
                <w:szCs w:val="24"/>
                <w:highlight w:val="none"/>
                <w:lang w:val="en-US" w:eastAsia="zh-CN"/>
              </w:rPr>
              <w:t>参照</w:t>
            </w:r>
            <w:r>
              <w:rPr>
                <w:rFonts w:hint="default" w:ascii="Times New Roman" w:hAnsi="Times New Roman" w:eastAsia="宋体" w:cs="Times New Roman"/>
                <w:bCs/>
                <w:color w:val="auto"/>
                <w:spacing w:val="-10"/>
                <w:sz w:val="24"/>
                <w:szCs w:val="24"/>
                <w:highlight w:val="none"/>
                <w:lang w:val="en-US" w:eastAsia="zh-CN"/>
              </w:rPr>
              <w:t>《污染源源强核算技术指南 锅炉》（HJ 991—2018）中</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8.1.1 物料衡算法</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进行计算确定，计算公式如下：</w:t>
            </w:r>
          </w:p>
          <w:p>
            <w:pPr>
              <w:pStyle w:val="87"/>
              <w:keepNext w:val="0"/>
              <w:keepLines w:val="0"/>
              <w:pageBreakBefore w:val="0"/>
              <w:kinsoku/>
              <w:wordWrap/>
              <w:overflowPunct/>
              <w:topLinePunct w:val="0"/>
              <w:autoSpaceDE/>
              <w:autoSpaceDN/>
              <w:bidi w:val="0"/>
              <w:spacing w:line="360" w:lineRule="auto"/>
              <w:ind w:left="0" w:leftChars="0" w:right="0" w:rightChars="0" w:firstLine="480" w:firstLineChars="200"/>
              <w:jc w:val="center"/>
              <w:rPr>
                <w:color w:val="auto"/>
                <w:sz w:val="24"/>
                <w:szCs w:val="24"/>
                <w:lang w:eastAsia="en-US"/>
              </w:rPr>
            </w:pPr>
            <w:r>
              <w:rPr>
                <w:color w:val="auto"/>
                <w:position w:val="-28"/>
                <w:sz w:val="24"/>
                <w:szCs w:val="24"/>
              </w:rPr>
              <w:object>
                <v:shape id="_x0000_i1034" o:spt="75" type="#_x0000_t75" style="height:34pt;width:146pt;" o:ole="t" filled="f" o:preferrelative="t" stroked="f" coordsize="21600,21600">
                  <v:path/>
                  <v:fill on="f" focussize="0,0"/>
                  <v:stroke on="f"/>
                  <v:imagedata r:id="rId41" o:title=""/>
                  <o:lock v:ext="edit" aspectratio="t"/>
                  <w10:wrap type="none"/>
                  <w10:anchorlock/>
                </v:shape>
                <o:OLEObject Type="Embed" ProgID="Equation.KSEE3" ShapeID="_x0000_i1034" DrawAspect="Content" ObjectID="_1468075734" r:id="rId40">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式中：E</w:t>
            </w:r>
            <w:r>
              <w:rPr>
                <w:bCs/>
                <w:color w:val="auto"/>
                <w:spacing w:val="-10"/>
                <w:sz w:val="24"/>
                <w:szCs w:val="24"/>
                <w:vertAlign w:val="subscript"/>
              </w:rPr>
              <w:t>hz</w:t>
            </w:r>
            <w:r>
              <w:rPr>
                <w:bCs/>
                <w:color w:val="auto"/>
                <w:spacing w:val="-10"/>
                <w:sz w:val="24"/>
                <w:szCs w:val="24"/>
              </w:rPr>
              <w:t>—核算时段内灰渣产生量，t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R—核算时段内</w:t>
            </w:r>
            <w:r>
              <w:rPr>
                <w:rFonts w:hint="eastAsia"/>
                <w:bCs/>
                <w:color w:val="auto"/>
                <w:spacing w:val="-10"/>
                <w:sz w:val="24"/>
                <w:szCs w:val="24"/>
              </w:rPr>
              <w:t>热风</w:t>
            </w:r>
            <w:r>
              <w:rPr>
                <w:bCs/>
                <w:color w:val="auto"/>
                <w:spacing w:val="-10"/>
                <w:sz w:val="24"/>
                <w:szCs w:val="24"/>
              </w:rPr>
              <w:t>炉燃料耗量，</w:t>
            </w:r>
            <w:r>
              <w:rPr>
                <w:rFonts w:hint="eastAsia"/>
                <w:bCs/>
                <w:color w:val="auto"/>
                <w:spacing w:val="-10"/>
                <w:sz w:val="24"/>
                <w:szCs w:val="24"/>
                <w:lang w:val="en-US" w:eastAsia="zh-CN"/>
              </w:rPr>
              <w:t>1000</w:t>
            </w:r>
            <w:r>
              <w:rPr>
                <w:bCs/>
                <w:color w:val="auto"/>
                <w:spacing w:val="-10"/>
                <w:sz w:val="24"/>
                <w:szCs w:val="24"/>
              </w:rPr>
              <w:t>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A</w:t>
            </w:r>
            <w:r>
              <w:rPr>
                <w:bCs/>
                <w:color w:val="auto"/>
                <w:spacing w:val="-10"/>
                <w:sz w:val="24"/>
                <w:szCs w:val="24"/>
                <w:vertAlign w:val="subscript"/>
              </w:rPr>
              <w:t>ar</w:t>
            </w:r>
            <w:r>
              <w:rPr>
                <w:bCs/>
                <w:color w:val="auto"/>
                <w:spacing w:val="-10"/>
                <w:sz w:val="24"/>
                <w:szCs w:val="24"/>
              </w:rPr>
              <w:t>—收到基灰分的质量分数，</w:t>
            </w:r>
            <w:r>
              <w:rPr>
                <w:rFonts w:hint="eastAsia"/>
                <w:bCs/>
                <w:color w:val="auto"/>
                <w:spacing w:val="-10"/>
                <w:sz w:val="24"/>
                <w:szCs w:val="24"/>
                <w:lang w:val="en-US" w:eastAsia="zh-CN"/>
              </w:rPr>
              <w:t>16.33</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net，ar</w:t>
            </w:r>
            <w:r>
              <w:rPr>
                <w:bCs/>
                <w:color w:val="auto"/>
                <w:spacing w:val="-10"/>
                <w:sz w:val="24"/>
                <w:szCs w:val="24"/>
              </w:rPr>
              <w:t>—燃料收到基低位发热量，</w:t>
            </w:r>
            <w:r>
              <w:rPr>
                <w:rFonts w:hint="eastAsia"/>
                <w:bCs/>
                <w:color w:val="auto"/>
                <w:spacing w:val="-10"/>
                <w:sz w:val="24"/>
                <w:szCs w:val="24"/>
                <w:lang w:val="en-US" w:eastAsia="zh-CN"/>
              </w:rPr>
              <w:t>14132K</w:t>
            </w:r>
            <w:r>
              <w:rPr>
                <w:bCs/>
                <w:color w:val="auto"/>
                <w:spacing w:val="-10"/>
                <w:sz w:val="24"/>
                <w:szCs w:val="24"/>
              </w:rPr>
              <w:t>J/kg</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4</w:t>
            </w:r>
            <w:r>
              <w:rPr>
                <w:bCs/>
                <w:color w:val="auto"/>
                <w:spacing w:val="-10"/>
                <w:sz w:val="24"/>
                <w:szCs w:val="24"/>
              </w:rPr>
              <w:t>—锅炉机械不完全燃烧热损失，</w:t>
            </w:r>
            <w:r>
              <w:rPr>
                <w:rFonts w:hint="eastAsia"/>
                <w:bCs/>
                <w:color w:val="auto"/>
                <w:spacing w:val="-10"/>
                <w:sz w:val="24"/>
                <w:szCs w:val="24"/>
                <w:lang w:val="en-US" w:eastAsia="zh-CN"/>
              </w:rPr>
              <w:t>10</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rFonts w:hint="default" w:eastAsia="宋体"/>
                <w:bCs/>
                <w:color w:val="auto"/>
                <w:spacing w:val="-10"/>
                <w:sz w:val="24"/>
                <w:szCs w:val="24"/>
                <w:lang w:val="en-US" w:eastAsia="zh-CN"/>
              </w:rPr>
            </w:pPr>
            <w:r>
              <w:rPr>
                <w:bCs/>
                <w:color w:val="auto"/>
                <w:spacing w:val="-10"/>
                <w:sz w:val="24"/>
                <w:szCs w:val="24"/>
              </w:rPr>
              <w:t>经计算得出年</w:t>
            </w:r>
            <w:r>
              <w:rPr>
                <w:rFonts w:hint="eastAsia"/>
                <w:bCs/>
                <w:color w:val="auto"/>
                <w:spacing w:val="-10"/>
                <w:sz w:val="24"/>
                <w:szCs w:val="24"/>
              </w:rPr>
              <w:t>热风炉</w:t>
            </w:r>
            <w:r>
              <w:rPr>
                <w:bCs/>
                <w:color w:val="auto"/>
                <w:spacing w:val="-10"/>
                <w:sz w:val="24"/>
                <w:szCs w:val="24"/>
              </w:rPr>
              <w:t>灰渣量E</w:t>
            </w:r>
            <w:r>
              <w:rPr>
                <w:bCs/>
                <w:color w:val="auto"/>
                <w:spacing w:val="-10"/>
                <w:sz w:val="24"/>
                <w:szCs w:val="24"/>
                <w:vertAlign w:val="subscript"/>
              </w:rPr>
              <w:t>hz</w:t>
            </w:r>
            <w:r>
              <w:rPr>
                <w:bCs/>
                <w:color w:val="auto"/>
                <w:spacing w:val="-10"/>
                <w:sz w:val="24"/>
                <w:szCs w:val="24"/>
              </w:rPr>
              <w:t>=</w:t>
            </w:r>
            <w:r>
              <w:rPr>
                <w:rFonts w:hint="eastAsia"/>
                <w:bCs/>
                <w:color w:val="auto"/>
                <w:spacing w:val="-10"/>
                <w:sz w:val="24"/>
                <w:szCs w:val="24"/>
                <w:lang w:val="en-US" w:eastAsia="zh-CN"/>
              </w:rPr>
              <w:t>205t/a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color w:val="auto"/>
                <w:sz w:val="24"/>
                <w:szCs w:val="24"/>
                <w:highlight w:val="none"/>
              </w:rPr>
              <w:t>灰渣清理后直接装袋，灰渣库临时堆放，</w:t>
            </w:r>
            <w:r>
              <w:rPr>
                <w:rFonts w:hint="default" w:ascii="Times New Roman" w:hAnsi="Times New Roman" w:eastAsia="宋体"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900-001-S0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0.06</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类别代码为</w:t>
            </w:r>
            <w:r>
              <w:rPr>
                <w:rFonts w:hint="default" w:ascii="Times New Roman" w:hAnsi="Times New Roman" w:eastAsia="宋体" w:cs="Times New Roman"/>
                <w:color w:val="auto"/>
                <w:sz w:val="24"/>
                <w:szCs w:val="24"/>
                <w:highlight w:val="none"/>
              </w:rPr>
              <w:t>900-099-S64</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）装卸、输送</w:t>
            </w:r>
            <w:r>
              <w:rPr>
                <w:rFonts w:hint="eastAsia"/>
                <w:color w:val="auto"/>
                <w:lang w:eastAsia="zh-CN"/>
              </w:rPr>
              <w:t>、</w:t>
            </w:r>
            <w:r>
              <w:rPr>
                <w:rFonts w:hint="eastAsia"/>
                <w:color w:val="auto"/>
                <w:sz w:val="24"/>
                <w:szCs w:val="24"/>
                <w:lang w:eastAsia="zh-CN"/>
              </w:rPr>
              <w:t>烘干塔</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，年回收粉尘量为</w:t>
            </w:r>
            <w:r>
              <w:rPr>
                <w:rFonts w:hint="eastAsia" w:cs="Times New Roman"/>
                <w:bCs/>
                <w:color w:val="auto"/>
                <w:spacing w:val="-10"/>
                <w:sz w:val="24"/>
                <w:szCs w:val="24"/>
                <w:highlight w:val="none"/>
                <w:lang w:val="en-US" w:eastAsia="zh-CN"/>
              </w:rPr>
              <w:t>2.16</w:t>
            </w:r>
            <w:r>
              <w:rPr>
                <w:rFonts w:hint="default" w:ascii="Times New Roman" w:hAnsi="Times New Roman" w:eastAsia="宋体" w:cs="Times New Roman"/>
                <w:bCs/>
                <w:color w:val="auto"/>
                <w:spacing w:val="-10"/>
                <w:sz w:val="24"/>
                <w:szCs w:val="24"/>
                <w:highlight w:val="none"/>
                <w:lang w:val="en-US" w:eastAsia="zh-CN"/>
              </w:rPr>
              <w:t>t/a，集中收集，交由市政环卫部门处理。</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本项目热风炉环保措施采用布袋除尘器，布袋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年换一次，产生废布袋0.02t/a，由除尘器厂家检修后直接带走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eastAsia="zh-CN"/>
              </w:rPr>
              <w:t>类别代码为</w:t>
            </w:r>
            <w:r>
              <w:rPr>
                <w:rFonts w:hint="eastAsia" w:ascii="Times New Roman" w:hAnsi="Times New Roman" w:eastAsia="宋体" w:cs="Times New Roman"/>
                <w:color w:val="auto"/>
                <w:kern w:val="2"/>
                <w:sz w:val="24"/>
                <w:szCs w:val="24"/>
                <w:highlight w:val="none"/>
                <w:lang w:val="en-US" w:eastAsia="zh-CN" w:bidi="ar-SA"/>
              </w:rPr>
              <w:t>900-009-S59。</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（6）不合格粮食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本项目粮食烘干后仍会有不合格粮食，不合格粮食产生量为1t/a，外售给周边农户。代码为</w:t>
            </w:r>
            <w:r>
              <w:rPr>
                <w:rFonts w:hint="default" w:ascii="Times New Roman" w:hAnsi="Times New Roman" w:eastAsia="宋体" w:cs="Times New Roman"/>
                <w:color w:val="auto"/>
                <w:sz w:val="24"/>
                <w:szCs w:val="24"/>
                <w:highlight w:val="none"/>
                <w:lang w:val="en-US" w:eastAsia="zh-CN"/>
              </w:rPr>
              <w:t>010-099-S80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pStyle w:val="83"/>
              <w:keepNext w:val="0"/>
              <w:keepLines w:val="0"/>
              <w:pageBreakBefore w:val="0"/>
              <w:widowControl w:val="0"/>
              <w:tabs>
                <w:tab w:val="clear" w:pos="605"/>
              </w:tabs>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 xml:space="preserve"> 固体废物污染源源强核算结果及相关参数一览表</w:t>
            </w:r>
          </w:p>
          <w:tbl>
            <w:tblPr>
              <w:tblStyle w:val="32"/>
              <w:tblW w:w="76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95"/>
              <w:gridCol w:w="1075"/>
              <w:gridCol w:w="1225"/>
              <w:gridCol w:w="1263"/>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295"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30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295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141"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263"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沙泥</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205</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205</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35" w:name="_Toc12807"/>
      <w:bookmarkStart w:id="36" w:name="_Toc19727"/>
      <w:r>
        <w:rPr>
          <w:rFonts w:hint="default" w:ascii="Times New Roman" w:hAnsi="Times New Roman" w:eastAsia="黑体" w:cs="Times New Roman"/>
          <w:snapToGrid w:val="0"/>
          <w:color w:val="auto"/>
          <w:sz w:val="30"/>
          <w:szCs w:val="30"/>
        </w:rPr>
        <w:t>五、</w:t>
      </w:r>
      <w:bookmarkStart w:id="37" w:name="_Hlk54167917"/>
      <w:r>
        <w:rPr>
          <w:rFonts w:hint="default" w:ascii="Times New Roman" w:hAnsi="Times New Roman" w:eastAsia="黑体" w:cs="Times New Roman"/>
          <w:snapToGrid w:val="0"/>
          <w:color w:val="auto"/>
          <w:sz w:val="30"/>
          <w:szCs w:val="30"/>
        </w:rPr>
        <w:t>环境保护措施监督检查清单</w:t>
      </w:r>
      <w:bookmarkEnd w:id="35"/>
      <w:bookmarkEnd w:id="36"/>
      <w:bookmarkEnd w:id="37"/>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152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装卸、筛分、输送</w:t>
            </w:r>
            <w:r>
              <w:rPr>
                <w:rFonts w:hint="eastAsia" w:ascii="Times New Roman" w:hAnsi="Times New Roman" w:eastAsia="宋体" w:cs="Times New Roman"/>
                <w:color w:val="auto"/>
                <w:sz w:val="24"/>
                <w:szCs w:val="24"/>
                <w:lang w:val="en-US" w:eastAsia="zh-CN"/>
              </w:rPr>
              <w:t>、</w:t>
            </w:r>
            <w:r>
              <w:rPr>
                <w:rFonts w:hint="eastAsia"/>
                <w:color w:val="auto"/>
                <w:sz w:val="24"/>
                <w:szCs w:val="24"/>
                <w:lang w:eastAsia="zh-CN"/>
              </w:rPr>
              <w:t>烘干塔</w:t>
            </w:r>
            <w:r>
              <w:rPr>
                <w:rFonts w:hint="default" w:ascii="Times New Roman" w:hAnsi="Times New Roman" w:eastAsia="宋体" w:cs="Times New Roman"/>
                <w:color w:val="auto"/>
                <w:sz w:val="24"/>
                <w:szCs w:val="24"/>
                <w:lang w:val="en-US" w:eastAsia="zh-CN"/>
              </w:rPr>
              <w:t>等过程</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smallCaps w:val="0"/>
                <w:snapToGrid w:val="0"/>
                <w:color w:val="auto"/>
                <w:kern w:val="0"/>
                <w:sz w:val="24"/>
                <w:szCs w:val="24"/>
                <w:highlight w:val="none"/>
                <w:lang w:val="en-US" w:eastAsia="zh-CN" w:bidi="ar-SA"/>
              </w:rPr>
              <w:t>粮食仓库封闭，封闭传送带，装卸区设置遮挡设施，</w:t>
            </w:r>
            <w:r>
              <w:rPr>
                <w:rFonts w:hint="default" w:ascii="Times New Roman" w:hAnsi="Times New Roman" w:cs="Times New Roman"/>
                <w:color w:val="auto"/>
                <w:sz w:val="24"/>
                <w:szCs w:val="24"/>
                <w:lang w:val="en-US" w:eastAsia="zh-CN"/>
              </w:rPr>
              <w:t>采用封闭式清理筛，</w:t>
            </w:r>
            <w:r>
              <w:rPr>
                <w:rFonts w:hint="eastAsia" w:ascii="Times New Roman" w:hAnsi="Times New Roman" w:eastAsia="宋体" w:cs="Times New Roman"/>
                <w:b w:val="0"/>
                <w:bCs w:val="0"/>
                <w:i w:val="0"/>
                <w:iCs w:val="0"/>
                <w:color w:val="auto"/>
                <w:spacing w:val="0"/>
                <w:kern w:val="0"/>
                <w:sz w:val="24"/>
                <w:szCs w:val="24"/>
                <w:lang w:val="en-US" w:eastAsia="zh-CN"/>
              </w:rPr>
              <w:t>烘干塔体两侧排气孔设置折流挡板</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热风炉烟囱</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布袋除尘器（除尘效率99%）</w:t>
            </w:r>
            <w:r>
              <w:rPr>
                <w:rFonts w:hint="eastAsia" w:cs="Times New Roman"/>
                <w:color w:val="auto"/>
                <w:sz w:val="24"/>
                <w:szCs w:val="24"/>
                <w:lang w:val="en-US" w:eastAsia="zh-CN"/>
              </w:rPr>
              <w:t>+低氮燃烧器+</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《工业炉窑大气污染物排放标准》（GB9078-1996）表2、表4中标准要求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highlight w:val="none"/>
                <w:vertAlign w:val="baseline"/>
                <w:lang w:val="en-US" w:eastAsia="zh-CN" w:bidi="ar"/>
              </w:rPr>
              <w:t>《大气污染物综合排放标准》(GB16297-1996)中表2标准要求.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、SS、动植物油</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排入厂内防渗旱厕，定期清掏，堆肥处置</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清粮筛分机、输送机、风机、烘干塔等设备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选用低噪声设备，噪声设备装设减振垫，风机进风口装设消音器，再通过厂房隔声等措施</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厂界噪声执行</w:t>
            </w:r>
            <w:r>
              <w:rPr>
                <w:rFonts w:hint="default" w:ascii="Times New Roman" w:hAnsi="Times New Roman" w:cs="Times New Roman"/>
                <w:color w:val="auto"/>
                <w:sz w:val="24"/>
                <w:szCs w:val="24"/>
              </w:rPr>
              <w:t>《工业企业厂界环境噪声排放标准》（GB12348-2008）表1中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w:t>
            </w:r>
            <w:r>
              <w:rPr>
                <w:rFonts w:hint="eastAsia" w:cs="Times New Roman"/>
                <w:color w:val="auto"/>
                <w:sz w:val="24"/>
                <w:szCs w:val="24"/>
                <w:lang w:eastAsia="zh-CN"/>
              </w:rPr>
              <w:t>、</w:t>
            </w:r>
            <w:r>
              <w:rPr>
                <w:rFonts w:hint="eastAsia" w:cs="Times New Roman"/>
                <w:color w:val="auto"/>
                <w:sz w:val="24"/>
                <w:szCs w:val="24"/>
                <w:lang w:val="en-US" w:eastAsia="zh-CN"/>
              </w:rPr>
              <w:t>敏感点噪声执行《声环境质量标准》（GB3096-2008）中2类标准要求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生活垃圾、清理原粮中的杂质（泥沙）集中收集，依托当地环卫部门统一收集处理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pacing w:val="-10"/>
                <w:sz w:val="24"/>
                <w:szCs w:val="24"/>
                <w:highlight w:val="none"/>
                <w:lang w:val="en-US" w:eastAsia="zh-CN"/>
              </w:rPr>
              <w:t>炉渣、除尘灰集中收集，外售综合利用。装卸、筛分、输送</w:t>
            </w:r>
            <w:r>
              <w:rPr>
                <w:rFonts w:hint="eastAsia" w:ascii="Times New Roman" w:hAnsi="Times New Roman" w:eastAsia="宋体" w:cs="Times New Roman"/>
                <w:bCs/>
                <w:color w:val="auto"/>
                <w:spacing w:val="-10"/>
                <w:sz w:val="24"/>
                <w:szCs w:val="24"/>
                <w:highlight w:val="none"/>
                <w:lang w:val="en-US" w:eastAsia="zh-CN"/>
              </w:rPr>
              <w:t>、</w:t>
            </w:r>
            <w:r>
              <w:rPr>
                <w:rFonts w:hint="eastAsia"/>
                <w:color w:val="auto"/>
                <w:sz w:val="24"/>
                <w:szCs w:val="24"/>
                <w:lang w:eastAsia="zh-CN"/>
              </w:rPr>
              <w:t>烘干塔运行</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，集中收集，交由市政环卫部门处理。</w:t>
            </w:r>
            <w:r>
              <w:rPr>
                <w:rFonts w:hint="eastAsia" w:cs="Times New Roman"/>
                <w:bCs/>
                <w:color w:val="auto"/>
                <w:spacing w:val="-10"/>
                <w:sz w:val="24"/>
                <w:szCs w:val="24"/>
                <w:highlight w:val="none"/>
                <w:lang w:val="en-US" w:eastAsia="zh-CN"/>
              </w:rPr>
              <w:t>废布袋由厂家回收处置，产生的不合格粮食外售给周边农户。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693"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693"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pPr>
              <w:adjustRightInd w:val="0"/>
              <w:snapToGrid w:val="0"/>
              <w:jc w:val="center"/>
              <w:rPr>
                <w:rFonts w:hint="default" w:ascii="Times New Roman" w:hAnsi="Times New Roman" w:eastAsia="宋体" w:cs="Times New Roman"/>
                <w:color w:val="auto"/>
                <w:sz w:val="24"/>
                <w:szCs w:val="24"/>
              </w:rPr>
            </w:pPr>
            <w:r>
              <w:rPr>
                <w:rFonts w:ascii="Times New Roman" w:hAnsi="Times New Roman" w:eastAsia="宋体"/>
                <w:color w:val="auto"/>
                <w:sz w:val="24"/>
                <w:szCs w:val="24"/>
                <w:highlight w:val="none"/>
              </w:rPr>
              <w:t>本项目属于《固定污染源排污许可分类管理名录（2019年版）》中</w:t>
            </w:r>
            <w:r>
              <w:rPr>
                <w:rFonts w:hint="eastAsia" w:ascii="Times New Roman" w:hAnsi="Times New Roman" w:eastAsia="宋体"/>
                <w:color w:val="auto"/>
                <w:sz w:val="24"/>
                <w:szCs w:val="24"/>
                <w:highlight w:val="none"/>
                <w:lang w:val="en-US" w:eastAsia="zh-CN"/>
              </w:rPr>
              <w:t>五一中110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工业炉窑，除纳入重点排污单位名录的，除以天然气或者电为能源的加热炉，热处理炉，干燥炉窑以外的其他工业炉窑</w:t>
            </w:r>
            <w:r>
              <w:rPr>
                <w:rFonts w:ascii="Times New Roman" w:hAnsi="Times New Roman" w:eastAsia="宋体"/>
                <w:color w:val="auto"/>
                <w:sz w:val="24"/>
                <w:szCs w:val="24"/>
                <w:highlight w:val="none"/>
              </w:rPr>
              <w:t>，因此实行</w:t>
            </w:r>
            <w:r>
              <w:rPr>
                <w:rFonts w:hint="eastAsia" w:ascii="Times New Roman" w:hAnsi="Times New Roman" w:eastAsia="宋体"/>
                <w:color w:val="auto"/>
                <w:sz w:val="24"/>
                <w:szCs w:val="24"/>
                <w:highlight w:val="none"/>
                <w:lang w:val="en-US" w:eastAsia="zh-CN"/>
              </w:rPr>
              <w:t>简化管理</w:t>
            </w:r>
            <w:r>
              <w:rPr>
                <w:rFonts w:ascii="Times New Roman" w:hAnsi="Times New Roman" w:eastAsia="宋体"/>
                <w:color w:val="auto"/>
                <w:sz w:val="24"/>
                <w:szCs w:val="24"/>
                <w:highlight w:val="none"/>
              </w:rPr>
              <w:t>。</w:t>
            </w:r>
          </w:p>
        </w:tc>
      </w:tr>
    </w:tbl>
    <w:p>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38" w:name="_Toc30963"/>
      <w:bookmarkStart w:id="39" w:name="_Toc10988"/>
      <w:r>
        <w:rPr>
          <w:rFonts w:hint="default" w:ascii="Times New Roman" w:hAnsi="Times New Roman" w:eastAsia="黑体" w:cs="Times New Roman"/>
          <w:snapToGrid w:val="0"/>
          <w:color w:val="auto"/>
          <w:sz w:val="30"/>
          <w:szCs w:val="30"/>
        </w:rPr>
        <w:t>六、结论</w:t>
      </w:r>
      <w:bookmarkEnd w:id="38"/>
      <w:bookmarkEnd w:id="39"/>
    </w:p>
    <w:tbl>
      <w:tblPr>
        <w:tblStyle w:val="32"/>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40" w:name="_Toc29721"/>
      <w:bookmarkStart w:id="41" w:name="_Toc4565"/>
      <w:r>
        <w:rPr>
          <w:rFonts w:hint="default" w:ascii="Times New Roman" w:hAnsi="Times New Roman" w:eastAsia="黑体" w:cs="Times New Roman"/>
          <w:snapToGrid w:val="0"/>
          <w:color w:val="auto"/>
          <w:sz w:val="32"/>
          <w:szCs w:val="32"/>
        </w:rPr>
        <w:t>附表</w:t>
      </w:r>
      <w:bookmarkEnd w:id="40"/>
      <w:bookmarkEnd w:id="41"/>
    </w:p>
    <w:p>
      <w:pPr>
        <w:bidi w:val="0"/>
        <w:jc w:val="center"/>
        <w:outlineLvl w:val="0"/>
        <w:rPr>
          <w:rFonts w:hint="default" w:ascii="Times New Roman" w:hAnsi="Times New Roman" w:cs="Times New Roman"/>
          <w:color w:val="auto"/>
          <w:sz w:val="28"/>
          <w:szCs w:val="28"/>
          <w:lang w:val="en-US" w:eastAsia="zh-CN"/>
        </w:rPr>
      </w:pPr>
      <w:bookmarkStart w:id="42" w:name="_Toc10746"/>
      <w:bookmarkStart w:id="43" w:name="_Toc27572"/>
      <w:bookmarkStart w:id="44" w:name="_Toc6734"/>
      <w:bookmarkStart w:id="45" w:name="_Toc3439"/>
      <w:bookmarkStart w:id="46" w:name="_Toc15726"/>
      <w:r>
        <w:rPr>
          <w:rFonts w:hint="default" w:ascii="Times New Roman" w:hAnsi="Times New Roman" w:cs="Times New Roman"/>
          <w:color w:val="auto"/>
          <w:sz w:val="28"/>
          <w:szCs w:val="28"/>
        </w:rPr>
        <w:t>建设项目污染物排放量汇总表</w:t>
      </w:r>
      <w:bookmarkEnd w:id="42"/>
      <w:bookmarkEnd w:id="43"/>
      <w:bookmarkEnd w:id="44"/>
      <w:bookmarkEnd w:id="45"/>
      <w:bookmarkEnd w:id="46"/>
    </w:p>
    <w:p>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 t/a</w:t>
      </w:r>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1.177</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1.177</w:t>
            </w:r>
          </w:p>
        </w:tc>
        <w:tc>
          <w:tcPr>
            <w:tcW w:w="101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1.177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0.504</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0.504</w:t>
            </w:r>
          </w:p>
        </w:tc>
        <w:tc>
          <w:tcPr>
            <w:tcW w:w="101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1.072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1.072</w:t>
            </w:r>
          </w:p>
        </w:tc>
        <w:tc>
          <w:tcPr>
            <w:tcW w:w="101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1.072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2.16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2.16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沙泥</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205</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205</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废布袋</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生活垃圾</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r>
    </w:tbl>
    <w:p>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eastAsia="黑体" w:cs="Times New Roman"/>
          <w:color w:val="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6115050</wp:posOffset>
                </wp:positionH>
                <wp:positionV relativeFrom="paragraph">
                  <wp:posOffset>3060065</wp:posOffset>
                </wp:positionV>
                <wp:extent cx="995045" cy="285750"/>
                <wp:effectExtent l="376555" t="220345" r="19050" b="8255"/>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84141"/>
                            <a:gd name="adj2" fmla="val -122000"/>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81.5pt;margin-top:240.95pt;height:22.5pt;width:78.35pt;z-index:251661312;mso-width-relative:page;mso-height-relative:page;" filled="f" stroked="t" coordsize="21600,21600" o:gfxdata="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KFW9twAAAAMAQAADwAAAAAAAAABACAAAAAiAAAAZHJz&#10;L2Rvd25yZXYueG1sUEsBAhQAFAAAAAgAh07iQAiFrBk5AgAATAQAAA4AAAAAAAAAAQAgAAAAKwEA&#10;AGRycy9lMm9Eb2MueG1sUEsFBgAAAAAGAAYAWQEAANYFAAAAAA==&#10;" adj="-7374,-15552">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7322820</wp:posOffset>
            </wp:positionH>
            <wp:positionV relativeFrom="paragraph">
              <wp:posOffset>19050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5046980" cy="5715000"/>
            <wp:effectExtent l="0" t="0" r="127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2"/>
                    <a:stretch>
                      <a:fillRect/>
                    </a:stretch>
                  </pic:blipFill>
                  <pic:spPr>
                    <a:xfrm>
                      <a:off x="0" y="0"/>
                      <a:ext cx="5046980" cy="5715000"/>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cs="Times New Roman"/>
          <w:color w:val="auto"/>
        </w:rPr>
      </w:pPr>
      <w:bookmarkStart w:id="47" w:name="_Toc26382"/>
      <w:bookmarkStart w:id="48" w:name="_Toc23128"/>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47"/>
      <w:bookmarkEnd w:id="48"/>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49" w:name="_Toc23849"/>
      <w:r>
        <w:rPr>
          <w:color w:val="auto"/>
          <w:sz w:val="24"/>
        </w:rPr>
        <mc:AlternateContent>
          <mc:Choice Requires="wps">
            <w:drawing>
              <wp:anchor distT="0" distB="0" distL="114300" distR="114300" simplePos="0" relativeHeight="251663360" behindDoc="0" locked="0" layoutInCell="1" allowOverlap="1">
                <wp:simplePos x="0" y="0"/>
                <wp:positionH relativeFrom="column">
                  <wp:posOffset>4184650</wp:posOffset>
                </wp:positionH>
                <wp:positionV relativeFrom="paragraph">
                  <wp:posOffset>2191385</wp:posOffset>
                </wp:positionV>
                <wp:extent cx="238125" cy="219075"/>
                <wp:effectExtent l="12700" t="12700" r="15875" b="15875"/>
                <wp:wrapNone/>
                <wp:docPr id="60" name="同心圆 60"/>
                <wp:cNvGraphicFramePr/>
                <a:graphic xmlns:a="http://schemas.openxmlformats.org/drawingml/2006/main">
                  <a:graphicData uri="http://schemas.microsoft.com/office/word/2010/wordprocessingShape">
                    <wps:wsp>
                      <wps:cNvSpPr/>
                      <wps:spPr>
                        <a:xfrm>
                          <a:off x="5919470" y="2959735"/>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29.5pt;margin-top:172.55pt;height:17.25pt;width:18.75pt;z-index:251663360;v-text-anchor:middle;mso-width-relative:page;mso-height-relative:page;" fillcolor="#92D050" filled="t" stroked="t" coordsize="21600,21600" o:gfxdata="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BV+s90AAAALAQAADwAAAAAAAAABACAAAAAiAAAAZHJzL2Rvd25yZXYueG1sUEsBAhQAFAAA&#10;AAgAh07iQLJ1bntcAgAAoAQAAA4AAAAAAAAAAQAgAAAALAEAAGRycy9lMm9Eb2MueG1sUEsFBgAA&#10;AAAGAAYAWQEAAPoFAAAAAA==&#10;" adj="4968">
                <v:fill on="t" focussize="0,0"/>
                <v:stroke weight="2pt" color="#92D050 [2404]" joinstyle="round"/>
                <v:imagedata o:title=""/>
                <o:lock v:ext="edit" aspectratio="f"/>
              </v:shape>
            </w:pict>
          </mc:Fallback>
        </mc:AlternateContent>
      </w:r>
      <w:r>
        <w:rPr>
          <w:color w:val="auto"/>
        </w:rPr>
        <w:drawing>
          <wp:anchor distT="0" distB="0" distL="114300" distR="114300" simplePos="0" relativeHeight="251667456" behindDoc="0" locked="0" layoutInCell="1" allowOverlap="1">
            <wp:simplePos x="0" y="0"/>
            <wp:positionH relativeFrom="column">
              <wp:posOffset>81915</wp:posOffset>
            </wp:positionH>
            <wp:positionV relativeFrom="paragraph">
              <wp:posOffset>85725</wp:posOffset>
            </wp:positionV>
            <wp:extent cx="855345" cy="829945"/>
            <wp:effectExtent l="0" t="0" r="1905" b="8255"/>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6024245</wp:posOffset>
                </wp:positionH>
                <wp:positionV relativeFrom="paragraph">
                  <wp:posOffset>5036185</wp:posOffset>
                </wp:positionV>
                <wp:extent cx="257175" cy="228600"/>
                <wp:effectExtent l="12700" t="12700" r="15875" b="25400"/>
                <wp:wrapNone/>
                <wp:docPr id="63" name="矩形 63"/>
                <wp:cNvGraphicFramePr/>
                <a:graphic xmlns:a="http://schemas.openxmlformats.org/drawingml/2006/main">
                  <a:graphicData uri="http://schemas.microsoft.com/office/word/2010/wordprocessingShape">
                    <wps:wsp>
                      <wps:cNvSpPr/>
                      <wps:spPr>
                        <a:xfrm>
                          <a:off x="6710045" y="5950585"/>
                          <a:ext cx="257175" cy="2286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35pt;margin-top:396.55pt;height:18pt;width:20.25pt;z-index:251666432;v-text-anchor:middle;mso-width-relative:page;mso-height-relative:page;" filled="f" stroked="t" coordsize="21600,21600" o:gfxdata="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jAUb2QAAAAsBAAAP&#10;AAAAAAAAAAEAIAAAACIAAABkcnMvZG93bnJldi54bWxQSwECFAAUAAAACACHTuJAzjbiZ1ACAABz&#10;BAAADgAAAAAAAAABACAAAAAoAQAAZHJzL2Uyb0RvYy54bWxQSwUGAAAAAAYABgBZAQAA6g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6071870</wp:posOffset>
                </wp:positionH>
                <wp:positionV relativeFrom="paragraph">
                  <wp:posOffset>4683760</wp:posOffset>
                </wp:positionV>
                <wp:extent cx="238125" cy="219075"/>
                <wp:effectExtent l="12700" t="12700" r="15875" b="15875"/>
                <wp:wrapNone/>
                <wp:docPr id="62" name="同心圆 62"/>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78.1pt;margin-top:368.8pt;height:17.25pt;width:18.75pt;z-index:251665408;v-text-anchor:middle;mso-width-relative:page;mso-height-relative:page;" fillcolor="#92D050" filled="t" stroked="t" coordsize="21600,21600" o:gfxdata="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xIuldwAAAALAQAA&#10;DwAAAAAAAAABACAAAAAiAAAAZHJzL2Rvd25yZXYueG1sUEsBAhQAFAAAAAgAh07iQGQNDMVOAgAA&#10;lAQAAA4AAAAAAAAAAQAgAAAAKwEAAGRycy9lMm9Eb2MueG1sUEsFBgAAAAAGAAYAWQEAAOsFAAAA&#10;AA==&#10;" adj="4968">
                <v:fill on="t" focussize="0,0"/>
                <v:stroke weight="2pt" color="#92D050 [2404]" joinstyle="round"/>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5500370</wp:posOffset>
                </wp:positionH>
                <wp:positionV relativeFrom="paragraph">
                  <wp:posOffset>4483735</wp:posOffset>
                </wp:positionV>
                <wp:extent cx="885825" cy="1323975"/>
                <wp:effectExtent l="4445" t="5080" r="5080" b="4445"/>
                <wp:wrapNone/>
                <wp:docPr id="61" name="文本框 61"/>
                <wp:cNvGraphicFramePr/>
                <a:graphic xmlns:a="http://schemas.openxmlformats.org/drawingml/2006/main">
                  <a:graphicData uri="http://schemas.microsoft.com/office/word/2010/wordprocessingShape">
                    <wps:wsp>
                      <wps:cNvSpPr txBox="1"/>
                      <wps:spPr>
                        <a:xfrm>
                          <a:off x="6186170" y="5398135"/>
                          <a:ext cx="885825" cy="1323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default"/>
                                <w:lang w:val="en-US" w:eastAsia="zh-CN"/>
                              </w:rPr>
                            </w:pPr>
                            <w:r>
                              <w:rPr>
                                <w:rFonts w:hint="eastAsia"/>
                                <w:lang w:val="en-US" w:eastAsia="zh-CN"/>
                              </w:rPr>
                              <w:t>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1pt;margin-top:353.05pt;height:104.25pt;width:69.75pt;z-index:251664384;mso-width-relative:page;mso-height-relative:page;" fillcolor="#FFFFFF [3201]" filled="t" stroked="t" coordsize="21600,21600" o:gfxdata="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1Fk7YAAAADAEAAA8AAAAA&#10;AAAAAQAgAAAAIgAAAGRycy9kb3ducmV2LnhtbFBLAQIUABQAAAAIAIdO4kDAjIIZTQIAAHcEAAAO&#10;AAAAAAAAAAEAIAAAACcBAABkcnMvZTJvRG9jLnhtbFBLBQYAAAAABgAGAFkBAADm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default"/>
                          <w:lang w:val="en-US" w:eastAsia="zh-CN"/>
                        </w:rPr>
                      </w:pPr>
                      <w:r>
                        <w:rPr>
                          <w:rFonts w:hint="eastAsia"/>
                          <w:lang w:val="en-US" w:eastAsia="zh-CN"/>
                        </w:rPr>
                        <w:t>厂界</w:t>
                      </w:r>
                    </w:p>
                  </w:txbxContent>
                </v:textbox>
              </v:shape>
            </w:pict>
          </mc:Fallback>
        </mc:AlternateContent>
      </w:r>
      <w:r>
        <w:drawing>
          <wp:inline distT="0" distB="0" distL="114300" distR="114300">
            <wp:extent cx="6181090" cy="5301615"/>
            <wp:effectExtent l="0" t="0" r="10160" b="133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3"/>
                    <a:stretch>
                      <a:fillRect/>
                    </a:stretch>
                  </pic:blipFill>
                  <pic:spPr>
                    <a:xfrm>
                      <a:off x="0" y="0"/>
                      <a:ext cx="6181090" cy="530161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0" w:name="_Toc6874"/>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49"/>
      <w:bookmarkEnd w:id="50"/>
    </w:p>
    <w:p>
      <w:pPr>
        <w:pStyle w:val="4"/>
        <w:bidi w:val="0"/>
        <w:rPr>
          <w:rFonts w:hint="default" w:ascii="Times New Roman" w:hAnsi="Times New Roman" w:cs="Times New Roman"/>
          <w:color w:val="auto"/>
          <w:lang w:val="en-US" w:eastAsia="zh-CN"/>
        </w:rPr>
      </w:pPr>
      <w:bookmarkStart w:id="51" w:name="_Toc26831"/>
      <w:bookmarkStart w:id="52" w:name="_Toc15650"/>
      <w:r>
        <w:rPr>
          <w:rFonts w:hint="default" w:ascii="Times New Roman" w:hAnsi="Times New Roman" w:cs="Times New Roman"/>
          <w:color w:val="auto"/>
          <w:lang w:val="en-US" w:eastAsia="zh-CN"/>
        </w:rPr>
        <w:t>附件1 营业执照</w:t>
      </w:r>
      <w:bookmarkEnd w:id="51"/>
      <w:bookmarkEnd w:id="52"/>
    </w:p>
    <w:p>
      <w:pPr>
        <w:bidi w:val="0"/>
        <w:jc w:val="center"/>
        <w:rPr>
          <w:rFonts w:hint="default" w:ascii="Times New Roman" w:hAnsi="Times New Roman" w:cs="Times New Roman"/>
          <w:color w:val="auto"/>
          <w:lang w:val="en-US" w:eastAsia="zh-CN"/>
        </w:rPr>
      </w:pPr>
    </w:p>
    <w:p>
      <w:pPr>
        <w:pStyle w:val="2"/>
        <w:jc w:val="center"/>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53" w:name="_Toc918"/>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53"/>
    </w:p>
    <w:p>
      <w:pPr>
        <w:rPr>
          <w:rFonts w:hint="default" w:ascii="Times New Roman" w:hAnsi="Times New Roman" w:cs="Times New Roman"/>
          <w:color w:val="auto"/>
          <w:lang w:val="en-US" w:eastAsia="zh-CN"/>
        </w:rPr>
      </w:pPr>
    </w:p>
    <w:p>
      <w:pPr>
        <w:rPr>
          <w:rFonts w:hint="default" w:ascii="Times New Roman" w:hAnsi="Times New Roman" w:cs="Times New Roman"/>
          <w:color w:val="auto"/>
          <w:lang w:eastAsia="zh-CN"/>
        </w:rPr>
      </w:pPr>
    </w:p>
    <w:p>
      <w:pPr>
        <w:pStyle w:val="29"/>
        <w:jc w:val="cente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default" w:ascii="Times New Roman" w:hAnsi="Times New Roman" w:cs="Times New Roman"/>
          <w:color w:val="auto"/>
          <w:lang w:val="en-US" w:eastAsia="zh-CN"/>
        </w:rPr>
      </w:pPr>
      <w:bookmarkStart w:id="54" w:name="_Toc9020"/>
      <w:bookmarkStart w:id="55" w:name="_Toc9031"/>
      <w:r>
        <w:rPr>
          <w:rFonts w:hint="default" w:ascii="Times New Roman" w:hAnsi="Times New Roman" w:cs="Times New Roman"/>
          <w:color w:val="auto"/>
          <w:lang w:val="en-US" w:eastAsia="zh-CN"/>
        </w:rPr>
        <w:t>附件3 燃料分析单</w:t>
      </w:r>
      <w:bookmarkEnd w:id="54"/>
      <w:bookmarkEnd w:id="55"/>
    </w:p>
    <w:p>
      <w:pPr>
        <w:bidi w:val="0"/>
        <w:jc w:val="center"/>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default" w:ascii="Times New Roman" w:hAnsi="Times New Roman" w:cs="Times New Roman"/>
          <w:color w:val="auto"/>
          <w:lang w:val="en-US" w:eastAsia="zh-CN"/>
        </w:rPr>
      </w:pPr>
      <w:bookmarkStart w:id="56" w:name="_Toc23724"/>
      <w:bookmarkStart w:id="57" w:name="_Toc14983"/>
      <w:r>
        <w:rPr>
          <w:rFonts w:hint="default" w:ascii="Times New Roman" w:hAnsi="Times New Roman" w:cs="Times New Roman"/>
          <w:color w:val="auto"/>
          <w:lang w:val="en-US" w:eastAsia="zh-CN"/>
        </w:rPr>
        <w:t>附件4 监测报告</w:t>
      </w:r>
      <w:bookmarkEnd w:id="56"/>
      <w:bookmarkEnd w:id="57"/>
    </w:p>
    <w:p>
      <w:pPr>
        <w:rPr>
          <w:rFonts w:hint="default" w:ascii="Times New Roman" w:hAnsi="Times New Roman" w:eastAsia="宋体" w:cs="Times New Roman"/>
          <w:color w:val="auto"/>
          <w:lang w:eastAsia="zh-CN"/>
        </w:rPr>
      </w:pPr>
    </w:p>
    <w:p>
      <w:pPr>
        <w:rPr>
          <w:rFonts w:hint="default"/>
          <w:lang w:val="en-US" w:eastAsia="zh-CN"/>
        </w:rPr>
      </w:pPr>
      <w:r>
        <w:drawing>
          <wp:inline distT="0" distB="0" distL="114300" distR="114300">
            <wp:extent cx="5269865" cy="6870065"/>
            <wp:effectExtent l="0" t="0" r="6985" b="698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44"/>
                    <a:stretch>
                      <a:fillRect/>
                    </a:stretch>
                  </pic:blipFill>
                  <pic:spPr>
                    <a:xfrm>
                      <a:off x="0" y="0"/>
                      <a:ext cx="5269865" cy="6870065"/>
                    </a:xfrm>
                    <a:prstGeom prst="rect">
                      <a:avLst/>
                    </a:prstGeom>
                    <a:noFill/>
                    <a:ln>
                      <a:noFill/>
                    </a:ln>
                  </pic:spPr>
                </pic:pic>
              </a:graphicData>
            </a:graphic>
          </wp:inline>
        </w:drawing>
      </w:r>
      <w:r>
        <w:drawing>
          <wp:inline distT="0" distB="0" distL="114300" distR="114300">
            <wp:extent cx="5272405" cy="7445375"/>
            <wp:effectExtent l="0" t="0" r="4445" b="317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5"/>
                    <a:stretch>
                      <a:fillRect/>
                    </a:stretch>
                  </pic:blipFill>
                  <pic:spPr>
                    <a:xfrm>
                      <a:off x="0" y="0"/>
                      <a:ext cx="5272405" cy="7445375"/>
                    </a:xfrm>
                    <a:prstGeom prst="rect">
                      <a:avLst/>
                    </a:prstGeom>
                    <a:noFill/>
                    <a:ln>
                      <a:noFill/>
                    </a:ln>
                  </pic:spPr>
                </pic:pic>
              </a:graphicData>
            </a:graphic>
          </wp:inline>
        </w:drawing>
      </w:r>
      <w:bookmarkStart w:id="61" w:name="_GoBack"/>
      <w:bookmarkEnd w:id="61"/>
    </w:p>
    <w:p>
      <w:pPr>
        <w:pStyle w:val="2"/>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default" w:ascii="Times New Roman" w:hAnsi="Times New Roman" w:eastAsia="黑体" w:cs="Times New Roman"/>
          <w:snapToGrid w:val="0"/>
          <w:color w:val="auto"/>
          <w:sz w:val="32"/>
          <w:szCs w:val="32"/>
          <w:lang w:val="en-US" w:eastAsia="zh-CN"/>
        </w:rPr>
      </w:pPr>
      <w:bookmarkStart w:id="58" w:name="_Toc32608"/>
      <w:bookmarkStart w:id="59" w:name="_Toc31022"/>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核定总量计算说明</w:t>
      </w:r>
      <w:bookmarkEnd w:id="58"/>
      <w:bookmarkEnd w:id="59"/>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本项目烘干塔热源为1台</w:t>
      </w:r>
      <w:r>
        <w:rPr>
          <w:rFonts w:hint="eastAsia" w:cs="Times New Roman"/>
          <w:bCs/>
          <w:color w:val="auto"/>
          <w:spacing w:val="-10"/>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bCs/>
          <w:color w:val="auto"/>
          <w:spacing w:val="-10"/>
          <w:sz w:val="24"/>
          <w:szCs w:val="24"/>
          <w:highlight w:val="none"/>
          <w:lang w:val="en-US" w:eastAsia="zh-CN"/>
        </w:rPr>
        <w:t>生物质热风炉，本项目年消耗生物质压块燃料</w:t>
      </w:r>
      <w:r>
        <w:rPr>
          <w:rFonts w:hint="eastAsia" w:cs="Times New Roman"/>
          <w:bCs/>
          <w:color w:val="auto"/>
          <w:spacing w:val="-10"/>
          <w:sz w:val="24"/>
          <w:szCs w:val="24"/>
          <w:highlight w:val="none"/>
          <w:lang w:val="en-US" w:eastAsia="zh-CN"/>
        </w:rPr>
        <w:t>1000</w:t>
      </w:r>
      <w:r>
        <w:rPr>
          <w:rFonts w:hint="default" w:ascii="Times New Roman" w:hAnsi="Times New Roman" w:eastAsia="宋体" w:cs="Times New Roman"/>
          <w:bCs/>
          <w:color w:val="auto"/>
          <w:spacing w:val="-10"/>
          <w:sz w:val="24"/>
          <w:szCs w:val="24"/>
          <w:highlight w:val="none"/>
          <w:lang w:val="en-US" w:eastAsia="zh-CN"/>
        </w:rPr>
        <w:t>t，热风炉年运行时间为</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h。热风炉烟气经1台除尘效率为99%的布袋除尘器处理后，由15m高烟囱排放。</w:t>
      </w:r>
    </w:p>
    <w:p>
      <w:pPr>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根据《排污许可证申请与核发技术规范 工业炉窑》</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HJ 1121-2020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年许可排放量计算方法按照优先顺序依次为基准排气量法、绩效值法、气量法</w:t>
      </w:r>
      <w:r>
        <w:rPr>
          <w:rFonts w:hint="eastAsia" w:ascii="Times New Roman" w:hAnsi="Times New Roman" w:eastAsia="宋体" w:cs="Times New Roman"/>
          <w:color w:val="auto"/>
          <w:kern w:val="0"/>
          <w:sz w:val="24"/>
          <w:szCs w:val="24"/>
          <w:highlight w:val="none"/>
          <w:lang w:val="en-US" w:eastAsia="zh-CN" w:bidi="ar"/>
        </w:rPr>
        <w:t>。本项目采用气量法进行计算。</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Mi=Q×C×T×10</w:t>
      </w:r>
      <w:r>
        <w:rPr>
          <w:rFonts w:hint="eastAsia" w:ascii="Times New Roman" w:hAnsi="Times New Roman" w:eastAsia="宋体" w:cs="Times New Roman"/>
          <w:color w:val="auto"/>
          <w:kern w:val="0"/>
          <w:sz w:val="24"/>
          <w:szCs w:val="24"/>
          <w:highlight w:val="none"/>
          <w:vertAlign w:val="superscript"/>
          <w:lang w:val="en-US" w:eastAsia="zh-CN" w:bidi="ar"/>
        </w:rPr>
        <w:t>-9</w:t>
      </w:r>
    </w:p>
    <w:p>
      <w:pPr>
        <w:pStyle w:val="2"/>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position w:val="-28"/>
          <w:sz w:val="24"/>
          <w:szCs w:val="24"/>
          <w:highlight w:val="none"/>
          <w:lang w:val="en-US" w:eastAsia="zh-CN" w:bidi="ar"/>
        </w:rPr>
        <w:object>
          <v:shape id="_x0000_i1035" o:spt="75" type="#_x0000_t75" style="height:34pt;width:31.95pt;" o:ole="t" filled="f" o:preferrelative="t" stroked="f" coordsize="21600,21600">
            <v:path/>
            <v:fill on="f" focussize="0,0"/>
            <v:stroke on="f"/>
            <v:imagedata r:id="rId47" o:title=""/>
            <o:lock v:ext="edit" aspectratio="t"/>
            <w10:wrap type="none"/>
            <w10:anchorlock/>
          </v:shape>
          <o:OLEObject Type="Embed" ProgID="Equation.KSEE3" ShapeID="_x0000_i1035" DrawAspect="Content" ObjectID="_1468075735" r:id="rId46">
            <o:LockedField>false</o:LockedField>
          </o:OLEObject>
        </w:objec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Mi—第i个排放口污染物年许可排放量</w:t>
      </w:r>
    </w:p>
    <w:p>
      <w:pPr>
        <w:pStyle w:val="2"/>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—第i个主要排放口对应工业炉窑前三年实际</w:t>
      </w:r>
      <w:r>
        <w:rPr>
          <w:rFonts w:hint="eastAsia" w:ascii="Times New Roman" w:eastAsia="宋体" w:cs="Times New Roman"/>
          <w:color w:val="auto"/>
          <w:kern w:val="0"/>
          <w:sz w:val="24"/>
          <w:szCs w:val="24"/>
          <w:highlight w:val="none"/>
          <w:lang w:val="en-US" w:eastAsia="zh-CN" w:bidi="ar"/>
        </w:rPr>
        <w:t>年生产时间最大值</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Q—</w:t>
      </w:r>
      <w:r>
        <w:rPr>
          <w:rFonts w:hint="eastAsia" w:cs="Times New Roman"/>
          <w:color w:val="auto"/>
          <w:kern w:val="0"/>
          <w:sz w:val="24"/>
          <w:szCs w:val="24"/>
          <w:highlight w:val="none"/>
          <w:lang w:val="en-US" w:eastAsia="zh-CN" w:bidi="ar"/>
        </w:rPr>
        <w:t>第i个排放口风量，m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pPr>
        <w:pStyle w:val="2"/>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C—污染物许可排放浓度限值(标态)，mg/m</w:t>
      </w:r>
      <w:r>
        <w:rPr>
          <w:rFonts w:hint="eastAsia" w:ascii="Times New Roman" w:hAnsi="Times New Roman" w:eastAsia="宋体" w:cs="Times New Roman"/>
          <w:color w:val="auto"/>
          <w:kern w:val="0"/>
          <w:sz w:val="24"/>
          <w:szCs w:val="24"/>
          <w:highlight w:val="none"/>
          <w:vertAlign w:val="superscript"/>
          <w:lang w:val="en-US" w:eastAsia="zh-CN" w:bidi="ar"/>
        </w:rPr>
        <w:t>3</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—污染物年许可排放量</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颗粒物</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6207</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200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960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1.192</w:t>
      </w:r>
      <w:r>
        <w:rPr>
          <w:rFonts w:hint="eastAsia" w:ascii="Times New Roman" w:hAnsi="Times New Roman" w:eastAsia="宋体" w:cs="Times New Roman"/>
          <w:color w:val="auto"/>
          <w:kern w:val="0"/>
          <w:sz w:val="24"/>
          <w:szCs w:val="24"/>
          <w:highlight w:val="none"/>
          <w:lang w:val="en-US" w:eastAsia="zh-CN" w:bidi="ar"/>
        </w:rPr>
        <w:t>t</w:t>
      </w:r>
    </w:p>
    <w:p>
      <w:pPr>
        <w:keepNext w:val="0"/>
        <w:keepLines w:val="0"/>
        <w:pageBreakBefore w:val="0"/>
        <w:kinsoku/>
        <w:wordWrap/>
        <w:overflowPunct w:val="0"/>
        <w:topLinePunct w:val="0"/>
        <w:bidi w:val="0"/>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ascii="Times New Roman" w:hAnsi="Times New Roman" w:eastAsia="宋体" w:cs="Times New Roman"/>
          <w:color w:val="auto"/>
          <w:sz w:val="24"/>
          <w:szCs w:val="24"/>
          <w:highlight w:val="none"/>
        </w:rPr>
        <w:t>无组织</w:t>
      </w:r>
      <w:r>
        <w:rPr>
          <w:rFonts w:hint="eastAsia" w:ascii="Times New Roman" w:hAnsi="Times New Roman" w:eastAsia="宋体" w:cs="Times New Roman"/>
          <w:color w:val="auto"/>
          <w:sz w:val="24"/>
          <w:szCs w:val="24"/>
          <w:highlight w:val="none"/>
          <w:lang w:val="en-US" w:eastAsia="zh-CN"/>
        </w:rPr>
        <w:t>颗粒物</w:t>
      </w:r>
      <w:r>
        <w:rPr>
          <w:rFonts w:ascii="Times New Roman" w:hAnsi="Times New Roman" w:eastAsia="宋体" w:cs="Times New Roman"/>
          <w:color w:val="auto"/>
          <w:sz w:val="24"/>
          <w:szCs w:val="24"/>
          <w:highlight w:val="none"/>
        </w:rPr>
        <w:t>合计排放量为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t/a。</w:t>
      </w:r>
    </w:p>
    <w:p>
      <w:pPr>
        <w:keepNext w:val="0"/>
        <w:keepLines w:val="0"/>
        <w:pageBreakBefore w:val="0"/>
        <w:kinsoku/>
        <w:wordWrap/>
        <w:overflowPunct w:val="0"/>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合计颗粒物核定排放量为=</w:t>
      </w:r>
      <w:r>
        <w:rPr>
          <w:rFonts w:hint="eastAsia" w:cs="Times New Roman"/>
          <w:color w:val="auto"/>
          <w:sz w:val="24"/>
          <w:szCs w:val="24"/>
          <w:highlight w:val="none"/>
          <w:lang w:val="en-US" w:eastAsia="zh-CN"/>
        </w:rPr>
        <w:t>1.192</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1.552</w:t>
      </w:r>
      <w:r>
        <w:rPr>
          <w:rFonts w:hint="eastAsia" w:ascii="Times New Roman" w:hAnsi="Times New Roman" w:eastAsia="宋体" w:cs="Times New Roman"/>
          <w:color w:val="auto"/>
          <w:sz w:val="24"/>
          <w:szCs w:val="24"/>
          <w:highlight w:val="none"/>
          <w:lang w:val="en-US" w:eastAsia="zh-CN"/>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二氧化硫</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6207</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850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960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5.065</w:t>
      </w:r>
      <w:r>
        <w:rPr>
          <w:rFonts w:hint="eastAsia" w:ascii="Times New Roman" w:hAnsi="Times New Roman" w:eastAsia="宋体" w:cs="Times New Roman"/>
          <w:color w:val="auto"/>
          <w:kern w:val="0"/>
          <w:sz w:val="24"/>
          <w:szCs w:val="24"/>
          <w:highlight w:val="none"/>
          <w:lang w:val="en-US" w:eastAsia="zh-CN" w:bidi="ar"/>
        </w:rPr>
        <w:t>t</w:t>
      </w:r>
    </w:p>
    <w:p>
      <w:pPr>
        <w:pStyle w:val="2"/>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故二氧化硫核定排放量为</w:t>
      </w:r>
      <w:r>
        <w:rPr>
          <w:rFonts w:hint="eastAsia" w:ascii="Times New Roman" w:eastAsia="宋体" w:cs="Times New Roman"/>
          <w:color w:val="auto"/>
          <w:kern w:val="0"/>
          <w:sz w:val="24"/>
          <w:szCs w:val="24"/>
          <w:highlight w:val="none"/>
          <w:lang w:val="en-US" w:eastAsia="zh-CN" w:bidi="ar"/>
        </w:rPr>
        <w:t>5.065</w:t>
      </w:r>
      <w:r>
        <w:rPr>
          <w:rFonts w:hint="eastAsia"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氮氧化物</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，氮氧化物无浓度限值要求，因此不进行排放量核定。</w:t>
      </w:r>
    </w:p>
    <w:p>
      <w:pPr>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eastAsia" w:ascii="Times New Roman" w:hAnsi="Times New Roman" w:cs="Times New Roman"/>
          <w:color w:val="auto"/>
          <w:highlight w:val="none"/>
          <w:lang w:val="en-US" w:eastAsia="zh-CN"/>
        </w:rPr>
      </w:pPr>
      <w:bookmarkStart w:id="60" w:name="_Toc2135"/>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生态环境分区管控分析报告</w:t>
      </w:r>
      <w:bookmarkEnd w:id="60"/>
    </w:p>
    <w:p>
      <w:pPr>
        <w:rPr>
          <w:rFonts w:hint="default"/>
          <w:lang w:val="en-US" w:eastAsia="zh-CN"/>
        </w:rPr>
      </w:pPr>
      <w:r>
        <w:drawing>
          <wp:inline distT="0" distB="0" distL="114300" distR="114300">
            <wp:extent cx="5272405" cy="4079240"/>
            <wp:effectExtent l="0" t="0" r="4445" b="1651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8"/>
                    <a:stretch>
                      <a:fillRect/>
                    </a:stretch>
                  </pic:blipFill>
                  <pic:spPr>
                    <a:xfrm>
                      <a:off x="0" y="0"/>
                      <a:ext cx="5272405" cy="4079240"/>
                    </a:xfrm>
                    <a:prstGeom prst="rect">
                      <a:avLst/>
                    </a:prstGeom>
                    <a:noFill/>
                    <a:ln>
                      <a:noFill/>
                    </a:ln>
                  </pic:spPr>
                </pic:pic>
              </a:graphicData>
            </a:graphic>
          </wp:inline>
        </w:drawing>
      </w:r>
      <w:r>
        <w:drawing>
          <wp:inline distT="0" distB="0" distL="114300" distR="114300">
            <wp:extent cx="5270500" cy="2722245"/>
            <wp:effectExtent l="0" t="0" r="6350" b="190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49"/>
                    <a:stretch>
                      <a:fillRect/>
                    </a:stretch>
                  </pic:blipFill>
                  <pic:spPr>
                    <a:xfrm>
                      <a:off x="0" y="0"/>
                      <a:ext cx="5270500" cy="2722245"/>
                    </a:xfrm>
                    <a:prstGeom prst="rect">
                      <a:avLst/>
                    </a:prstGeom>
                    <a:noFill/>
                    <a:ln>
                      <a:noFill/>
                    </a:ln>
                  </pic:spPr>
                </pic:pic>
              </a:graphicData>
            </a:graphic>
          </wp:inline>
        </w:drawing>
      </w:r>
      <w:r>
        <w:drawing>
          <wp:inline distT="0" distB="0" distL="114300" distR="114300">
            <wp:extent cx="5272405" cy="3514725"/>
            <wp:effectExtent l="0" t="0" r="4445" b="952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50"/>
                    <a:stretch>
                      <a:fillRect/>
                    </a:stretch>
                  </pic:blipFill>
                  <pic:spPr>
                    <a:xfrm>
                      <a:off x="0" y="0"/>
                      <a:ext cx="5272405" cy="3514725"/>
                    </a:xfrm>
                    <a:prstGeom prst="rect">
                      <a:avLst/>
                    </a:prstGeom>
                    <a:noFill/>
                    <a:ln>
                      <a:noFill/>
                    </a:ln>
                  </pic:spPr>
                </pic:pic>
              </a:graphicData>
            </a:graphic>
          </wp:inline>
        </w:drawing>
      </w:r>
      <w:r>
        <w:drawing>
          <wp:inline distT="0" distB="0" distL="114300" distR="114300">
            <wp:extent cx="5273675" cy="3678555"/>
            <wp:effectExtent l="0" t="0" r="3175" b="1714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51"/>
                    <a:stretch>
                      <a:fillRect/>
                    </a:stretch>
                  </pic:blipFill>
                  <pic:spPr>
                    <a:xfrm>
                      <a:off x="0" y="0"/>
                      <a:ext cx="5273675" cy="3678555"/>
                    </a:xfrm>
                    <a:prstGeom prst="rect">
                      <a:avLst/>
                    </a:prstGeom>
                    <a:noFill/>
                    <a:ln>
                      <a:noFill/>
                    </a:ln>
                  </pic:spPr>
                </pic:pic>
              </a:graphicData>
            </a:graphic>
          </wp:inline>
        </w:drawing>
      </w:r>
      <w:r>
        <w:drawing>
          <wp:inline distT="0" distB="0" distL="114300" distR="114300">
            <wp:extent cx="5269865" cy="3858260"/>
            <wp:effectExtent l="0" t="0" r="6985" b="889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52"/>
                    <a:stretch>
                      <a:fillRect/>
                    </a:stretch>
                  </pic:blipFill>
                  <pic:spPr>
                    <a:xfrm>
                      <a:off x="0" y="0"/>
                      <a:ext cx="5269865" cy="3858260"/>
                    </a:xfrm>
                    <a:prstGeom prst="rect">
                      <a:avLst/>
                    </a:prstGeom>
                    <a:noFill/>
                    <a:ln>
                      <a:noFill/>
                    </a:ln>
                  </pic:spPr>
                </pic:pic>
              </a:graphicData>
            </a:graphic>
          </wp:inline>
        </w:drawing>
      </w:r>
      <w:r>
        <w:drawing>
          <wp:inline distT="0" distB="0" distL="114300" distR="114300">
            <wp:extent cx="5269865" cy="3728720"/>
            <wp:effectExtent l="0" t="0" r="6985" b="508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53"/>
                    <a:stretch>
                      <a:fillRect/>
                    </a:stretch>
                  </pic:blipFill>
                  <pic:spPr>
                    <a:xfrm>
                      <a:off x="0" y="0"/>
                      <a:ext cx="5269865" cy="3728720"/>
                    </a:xfrm>
                    <a:prstGeom prst="rect">
                      <a:avLst/>
                    </a:prstGeom>
                    <a:noFill/>
                    <a:ln>
                      <a:noFill/>
                    </a:ln>
                  </pic:spPr>
                </pic:pic>
              </a:graphicData>
            </a:graphic>
          </wp:inline>
        </w:drawing>
      </w:r>
      <w:r>
        <w:drawing>
          <wp:inline distT="0" distB="0" distL="114300" distR="114300">
            <wp:extent cx="5269230" cy="3544570"/>
            <wp:effectExtent l="0" t="0" r="7620" b="17780"/>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54"/>
                    <a:stretch>
                      <a:fillRect/>
                    </a:stretch>
                  </pic:blipFill>
                  <pic:spPr>
                    <a:xfrm>
                      <a:off x="0" y="0"/>
                      <a:ext cx="5269230" cy="3544570"/>
                    </a:xfrm>
                    <a:prstGeom prst="rect">
                      <a:avLst/>
                    </a:prstGeom>
                    <a:noFill/>
                    <a:ln>
                      <a:noFill/>
                    </a:ln>
                  </pic:spPr>
                </pic:pic>
              </a:graphicData>
            </a:graphic>
          </wp:inline>
        </w:drawing>
      </w:r>
      <w:r>
        <w:drawing>
          <wp:inline distT="0" distB="0" distL="114300" distR="114300">
            <wp:extent cx="5267325" cy="3724275"/>
            <wp:effectExtent l="0" t="0" r="9525" b="952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55"/>
                    <a:stretch>
                      <a:fillRect/>
                    </a:stretch>
                  </pic:blipFill>
                  <pic:spPr>
                    <a:xfrm>
                      <a:off x="0" y="0"/>
                      <a:ext cx="5267325" cy="3724275"/>
                    </a:xfrm>
                    <a:prstGeom prst="rect">
                      <a:avLst/>
                    </a:prstGeom>
                    <a:noFill/>
                    <a:ln>
                      <a:noFill/>
                    </a:ln>
                  </pic:spPr>
                </pic:pic>
              </a:graphicData>
            </a:graphic>
          </wp:inline>
        </w:drawing>
      </w:r>
      <w:r>
        <w:drawing>
          <wp:inline distT="0" distB="0" distL="114300" distR="114300">
            <wp:extent cx="4981575" cy="3562350"/>
            <wp:effectExtent l="0" t="0" r="9525"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56"/>
                    <a:stretch>
                      <a:fillRect/>
                    </a:stretch>
                  </pic:blipFill>
                  <pic:spPr>
                    <a:xfrm>
                      <a:off x="0" y="0"/>
                      <a:ext cx="4981575" cy="3562350"/>
                    </a:xfrm>
                    <a:prstGeom prst="rect">
                      <a:avLst/>
                    </a:prstGeom>
                    <a:noFill/>
                    <a:ln>
                      <a:noFill/>
                    </a:ln>
                  </pic:spPr>
                </pic:pic>
              </a:graphicData>
            </a:graphic>
          </wp:inline>
        </w:drawing>
      </w:r>
      <w:r>
        <w:drawing>
          <wp:inline distT="0" distB="0" distL="114300" distR="114300">
            <wp:extent cx="5270500" cy="3498215"/>
            <wp:effectExtent l="0" t="0" r="6350" b="698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57"/>
                    <a:stretch>
                      <a:fillRect/>
                    </a:stretch>
                  </pic:blipFill>
                  <pic:spPr>
                    <a:xfrm>
                      <a:off x="0" y="0"/>
                      <a:ext cx="5270500" cy="3498215"/>
                    </a:xfrm>
                    <a:prstGeom prst="rect">
                      <a:avLst/>
                    </a:prstGeom>
                    <a:noFill/>
                    <a:ln>
                      <a:noFill/>
                    </a:ln>
                  </pic:spPr>
                </pic:pic>
              </a:graphicData>
            </a:graphic>
          </wp:inline>
        </w:drawing>
      </w:r>
      <w:r>
        <w:drawing>
          <wp:inline distT="0" distB="0" distL="114300" distR="114300">
            <wp:extent cx="5270500" cy="3562350"/>
            <wp:effectExtent l="0" t="0" r="6350" b="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58"/>
                    <a:stretch>
                      <a:fillRect/>
                    </a:stretch>
                  </pic:blipFill>
                  <pic:spPr>
                    <a:xfrm>
                      <a:off x="0" y="0"/>
                      <a:ext cx="5270500" cy="3562350"/>
                    </a:xfrm>
                    <a:prstGeom prst="rect">
                      <a:avLst/>
                    </a:prstGeom>
                    <a:noFill/>
                    <a:ln>
                      <a:noFill/>
                    </a:ln>
                  </pic:spPr>
                </pic:pic>
              </a:graphicData>
            </a:graphic>
          </wp:inline>
        </w:drawing>
      </w:r>
      <w:r>
        <w:drawing>
          <wp:inline distT="0" distB="0" distL="114300" distR="114300">
            <wp:extent cx="5273675" cy="3549650"/>
            <wp:effectExtent l="0" t="0" r="3175" b="1270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59"/>
                    <a:stretch>
                      <a:fillRect/>
                    </a:stretch>
                  </pic:blipFill>
                  <pic:spPr>
                    <a:xfrm>
                      <a:off x="0" y="0"/>
                      <a:ext cx="5273675" cy="3549650"/>
                    </a:xfrm>
                    <a:prstGeom prst="rect">
                      <a:avLst/>
                    </a:prstGeom>
                    <a:noFill/>
                    <a:ln>
                      <a:noFill/>
                    </a:ln>
                  </pic:spPr>
                </pic:pic>
              </a:graphicData>
            </a:graphic>
          </wp:inline>
        </w:drawing>
      </w: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57907DA4-74B5-4537-9417-D4A8892675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D621951-A391-4849-A7EA-C7ED92CE996B}"/>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4DD9BD17-2CE8-4233-A88C-6A48930F02FA}"/>
  </w:font>
  <w:font w:name="方正小标宋_GBK">
    <w:panose1 w:val="02000000000000000000"/>
    <w:charset w:val="86"/>
    <w:family w:val="script"/>
    <w:pitch w:val="default"/>
    <w:sig w:usb0="00000000" w:usb1="00000000" w:usb2="00000000" w:usb3="00000000" w:csb0="00000000" w:csb1="00000000"/>
    <w:embedRegular r:id="rId4" w:fontKey="{62E3B759-3E80-4976-ADC8-BB706DDECC93}"/>
  </w:font>
  <w:font w:name="楷体_GB2312">
    <w:panose1 w:val="02010609030101010101"/>
    <w:charset w:val="86"/>
    <w:family w:val="modern"/>
    <w:pitch w:val="default"/>
    <w:sig w:usb0="00000001" w:usb1="080E0000" w:usb2="00000000" w:usb3="00000000" w:csb0="00040000" w:csb1="00000000"/>
    <w:embedRegular r:id="rId5" w:fontKey="{78B83903-4BA0-446B-8E45-6DE871D22E40}"/>
  </w:font>
  <w:font w:name="PingFangSC-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embedRegular r:id="rId6" w:fontKey="{4EC462D0-C1E7-4322-9375-3C26662FCA3E}"/>
  </w:font>
  <w:font w:name="等线">
    <w:panose1 w:val="02010600030101010101"/>
    <w:charset w:val="86"/>
    <w:family w:val="auto"/>
    <w:pitch w:val="default"/>
    <w:sig w:usb0="A00002BF" w:usb1="38CF7CFA" w:usb2="00000016" w:usb3="00000000" w:csb0="0004000F" w:csb1="00000000"/>
    <w:embedRegular r:id="rId7" w:fontKey="{1EC49AC6-5453-4804-86A0-8E1132ECBF7C}"/>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5"/>
      </w:rPr>
    </w:pPr>
    <w:r>
      <w:fldChar w:fldCharType="begin"/>
    </w:r>
    <w:r>
      <w:rPr>
        <w:rStyle w:val="35"/>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szO28cBAAB0AwAADgAAAAAAAAABACAAAAAeAQAAZHJzL2Uyb0RvYy54&#10;bWxQSwUGAAAAAAYABgBZAQAAVwUAAAAA&#10;">
              <v:fill on="f" focussize="0,0"/>
              <v:stroke on="f"/>
              <v:imagedata o:title=""/>
              <o:lock v:ext="edit" aspectratio="f"/>
              <v:textbox inset="0mm,0mm,0mm,0mm" style="mso-fit-shape-to-text:t;">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5xC6DIAQAAdAMAAA4AAAAAAAAAAQAgAAAAHgEAAGRycy9lMm9Eb2Mu&#10;eG1sUEsFBgAAAAAGAAYAWQEAAFgFAAAAAA==&#10;">
              <v:fill on="f" focussize="0,0"/>
              <v:stroke on="f"/>
              <v:imagedata o:title=""/>
              <o:lock v:ext="edit" aspectratio="f"/>
              <v:textbox inset="0mm,0mm,0mm,0mm" style="mso-fit-shape-to-text:t;">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982EB17"/>
    <w:multiLevelType w:val="singleLevel"/>
    <w:tmpl w:val="C982EB17"/>
    <w:lvl w:ilvl="0" w:tentative="0">
      <w:start w:val="1"/>
      <w:numFmt w:val="decimal"/>
      <w:suff w:val="nothing"/>
      <w:lvlText w:val="%1、"/>
      <w:lvlJc w:val="left"/>
    </w:lvl>
  </w:abstractNum>
  <w:abstractNum w:abstractNumId="2">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212D18B1"/>
    <w:multiLevelType w:val="singleLevel"/>
    <w:tmpl w:val="212D18B1"/>
    <w:lvl w:ilvl="0" w:tentative="0">
      <w:start w:val="1"/>
      <w:numFmt w:val="decimal"/>
      <w:suff w:val="nothing"/>
      <w:lvlText w:val="%1、"/>
      <w:lvlJc w:val="left"/>
    </w:lvl>
  </w:abstractNum>
  <w:abstractNum w:abstractNumId="4">
    <w:nsid w:val="76896012"/>
    <w:multiLevelType w:val="singleLevel"/>
    <w:tmpl w:val="76896012"/>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E0ODY0YzUzMzU2N2EyOTFkYjA4ZWVlNmY4N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E16686"/>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707328"/>
    <w:rsid w:val="08BA0E3B"/>
    <w:rsid w:val="08C475AE"/>
    <w:rsid w:val="08F6498F"/>
    <w:rsid w:val="092217DD"/>
    <w:rsid w:val="093A7294"/>
    <w:rsid w:val="099830FE"/>
    <w:rsid w:val="0A0E259B"/>
    <w:rsid w:val="0A1B74D6"/>
    <w:rsid w:val="0A1D015B"/>
    <w:rsid w:val="0A255CB5"/>
    <w:rsid w:val="0A263993"/>
    <w:rsid w:val="0A2D3AC2"/>
    <w:rsid w:val="0A361932"/>
    <w:rsid w:val="0AA755DF"/>
    <w:rsid w:val="0B041011"/>
    <w:rsid w:val="0B120D44"/>
    <w:rsid w:val="0B676151"/>
    <w:rsid w:val="0B701CFA"/>
    <w:rsid w:val="0B9F6E8C"/>
    <w:rsid w:val="0BA85FDE"/>
    <w:rsid w:val="0BD27BF6"/>
    <w:rsid w:val="0BD302DF"/>
    <w:rsid w:val="0BE42C4E"/>
    <w:rsid w:val="0C2A0C3B"/>
    <w:rsid w:val="0C3B3C7D"/>
    <w:rsid w:val="0C5E4350"/>
    <w:rsid w:val="0C623AD8"/>
    <w:rsid w:val="0CAB2EAE"/>
    <w:rsid w:val="0CCB2787"/>
    <w:rsid w:val="0CCE444A"/>
    <w:rsid w:val="0D621C7D"/>
    <w:rsid w:val="0DB433B1"/>
    <w:rsid w:val="0DF26598"/>
    <w:rsid w:val="0E0D1141"/>
    <w:rsid w:val="0E1F1513"/>
    <w:rsid w:val="0E423DE1"/>
    <w:rsid w:val="0E73034D"/>
    <w:rsid w:val="0E9D1781"/>
    <w:rsid w:val="0E9F5443"/>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3C5834"/>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8E8127F"/>
    <w:rsid w:val="190C7F4A"/>
    <w:rsid w:val="19490C49"/>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2C13E6"/>
    <w:rsid w:val="1E340689"/>
    <w:rsid w:val="1E49588A"/>
    <w:rsid w:val="1E5A63DC"/>
    <w:rsid w:val="1E7A43DA"/>
    <w:rsid w:val="1ECC5B48"/>
    <w:rsid w:val="1ED24AB3"/>
    <w:rsid w:val="1EF02975"/>
    <w:rsid w:val="1F4443B2"/>
    <w:rsid w:val="1F671A4A"/>
    <w:rsid w:val="1F7D1EE6"/>
    <w:rsid w:val="1FA63B31"/>
    <w:rsid w:val="1FE7539E"/>
    <w:rsid w:val="200F4CC3"/>
    <w:rsid w:val="203936FA"/>
    <w:rsid w:val="20431449"/>
    <w:rsid w:val="20671BE0"/>
    <w:rsid w:val="207B4C6C"/>
    <w:rsid w:val="20864E0B"/>
    <w:rsid w:val="20963CB8"/>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82584"/>
    <w:rsid w:val="26CB3E5F"/>
    <w:rsid w:val="26CE741C"/>
    <w:rsid w:val="275142B7"/>
    <w:rsid w:val="277057A2"/>
    <w:rsid w:val="27E33207"/>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85680A"/>
    <w:rsid w:val="2A9C3ADF"/>
    <w:rsid w:val="2AB4501D"/>
    <w:rsid w:val="2AEE3107"/>
    <w:rsid w:val="2AF51608"/>
    <w:rsid w:val="2B0320F9"/>
    <w:rsid w:val="2B465DBF"/>
    <w:rsid w:val="2B4A5F6D"/>
    <w:rsid w:val="2B5409F0"/>
    <w:rsid w:val="2B6163EE"/>
    <w:rsid w:val="2B7B7489"/>
    <w:rsid w:val="2B8C25FF"/>
    <w:rsid w:val="2BA936A8"/>
    <w:rsid w:val="2BBA491B"/>
    <w:rsid w:val="2BCA2FFD"/>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5270F"/>
    <w:rsid w:val="2E07165B"/>
    <w:rsid w:val="2E120A28"/>
    <w:rsid w:val="2E4C262D"/>
    <w:rsid w:val="2E51371E"/>
    <w:rsid w:val="2E667F96"/>
    <w:rsid w:val="2E8226AB"/>
    <w:rsid w:val="2F1A45B6"/>
    <w:rsid w:val="2F5B158F"/>
    <w:rsid w:val="2F841E28"/>
    <w:rsid w:val="2FC4498F"/>
    <w:rsid w:val="2FD065E6"/>
    <w:rsid w:val="2FD96870"/>
    <w:rsid w:val="30082A1C"/>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EC5FDB"/>
    <w:rsid w:val="35F6773C"/>
    <w:rsid w:val="36074A7F"/>
    <w:rsid w:val="36923549"/>
    <w:rsid w:val="36B75FBF"/>
    <w:rsid w:val="36BD0C45"/>
    <w:rsid w:val="375F3C64"/>
    <w:rsid w:val="37AD3910"/>
    <w:rsid w:val="37E00298"/>
    <w:rsid w:val="38226065"/>
    <w:rsid w:val="389E6D44"/>
    <w:rsid w:val="38B302F9"/>
    <w:rsid w:val="38F12CD3"/>
    <w:rsid w:val="38F24280"/>
    <w:rsid w:val="38F94775"/>
    <w:rsid w:val="392971ED"/>
    <w:rsid w:val="39325651"/>
    <w:rsid w:val="393F6A4C"/>
    <w:rsid w:val="39945324"/>
    <w:rsid w:val="39B05882"/>
    <w:rsid w:val="39E958F2"/>
    <w:rsid w:val="39EB6C17"/>
    <w:rsid w:val="39F7575A"/>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951CC"/>
    <w:rsid w:val="44CD14E0"/>
    <w:rsid w:val="44F20B0B"/>
    <w:rsid w:val="450F185A"/>
    <w:rsid w:val="452013C5"/>
    <w:rsid w:val="4529706E"/>
    <w:rsid w:val="45297855"/>
    <w:rsid w:val="452E5F4C"/>
    <w:rsid w:val="453C0CE7"/>
    <w:rsid w:val="45612018"/>
    <w:rsid w:val="458946E9"/>
    <w:rsid w:val="45A47C0E"/>
    <w:rsid w:val="45CD51CE"/>
    <w:rsid w:val="45D12B05"/>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7002B"/>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DB576C"/>
    <w:rsid w:val="4AF561A9"/>
    <w:rsid w:val="4B410B3E"/>
    <w:rsid w:val="4B6B6DDC"/>
    <w:rsid w:val="4B7E5F4D"/>
    <w:rsid w:val="4B8962C1"/>
    <w:rsid w:val="4B976271"/>
    <w:rsid w:val="4B9E4B6B"/>
    <w:rsid w:val="4BA45A83"/>
    <w:rsid w:val="4BA47516"/>
    <w:rsid w:val="4BA641D0"/>
    <w:rsid w:val="4BC67AC5"/>
    <w:rsid w:val="4BC92923"/>
    <w:rsid w:val="4C166F33"/>
    <w:rsid w:val="4C4A0649"/>
    <w:rsid w:val="4C5E0E5B"/>
    <w:rsid w:val="4C625B87"/>
    <w:rsid w:val="4C7E5ECA"/>
    <w:rsid w:val="4C876AA5"/>
    <w:rsid w:val="4D0430A4"/>
    <w:rsid w:val="4D0A4024"/>
    <w:rsid w:val="4D0E00FB"/>
    <w:rsid w:val="4D176606"/>
    <w:rsid w:val="4D4365FE"/>
    <w:rsid w:val="4DCD0A6E"/>
    <w:rsid w:val="4DEC4FB0"/>
    <w:rsid w:val="4DEF101A"/>
    <w:rsid w:val="4E075D8A"/>
    <w:rsid w:val="4E1121D8"/>
    <w:rsid w:val="4E244CA2"/>
    <w:rsid w:val="4E4C00C0"/>
    <w:rsid w:val="4E561ACB"/>
    <w:rsid w:val="4E817E28"/>
    <w:rsid w:val="4EC00FAD"/>
    <w:rsid w:val="4EC878DB"/>
    <w:rsid w:val="4ED97085"/>
    <w:rsid w:val="4F124EEE"/>
    <w:rsid w:val="4F232A45"/>
    <w:rsid w:val="4F232B85"/>
    <w:rsid w:val="4F3E2CB1"/>
    <w:rsid w:val="4F8F3D7E"/>
    <w:rsid w:val="4F910714"/>
    <w:rsid w:val="4F9843DC"/>
    <w:rsid w:val="4FB716BA"/>
    <w:rsid w:val="4FC62A8C"/>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6C67A8"/>
    <w:rsid w:val="52854557"/>
    <w:rsid w:val="52963C92"/>
    <w:rsid w:val="52DA41EC"/>
    <w:rsid w:val="531A586A"/>
    <w:rsid w:val="531B228D"/>
    <w:rsid w:val="53702648"/>
    <w:rsid w:val="537D4275"/>
    <w:rsid w:val="53A039CC"/>
    <w:rsid w:val="53A1505A"/>
    <w:rsid w:val="53A22660"/>
    <w:rsid w:val="53DD1FE5"/>
    <w:rsid w:val="53FB691A"/>
    <w:rsid w:val="54063E08"/>
    <w:rsid w:val="542D54B9"/>
    <w:rsid w:val="543437E8"/>
    <w:rsid w:val="548F5F1C"/>
    <w:rsid w:val="54B65E06"/>
    <w:rsid w:val="54E516BA"/>
    <w:rsid w:val="54E714E5"/>
    <w:rsid w:val="54F73313"/>
    <w:rsid w:val="54F80955"/>
    <w:rsid w:val="55102C57"/>
    <w:rsid w:val="555170A7"/>
    <w:rsid w:val="5587536D"/>
    <w:rsid w:val="559B174B"/>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2467F1"/>
    <w:rsid w:val="5E575246"/>
    <w:rsid w:val="5E5D4FB5"/>
    <w:rsid w:val="5E656409"/>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D5758"/>
    <w:rsid w:val="61382315"/>
    <w:rsid w:val="61DC6D71"/>
    <w:rsid w:val="61E215D8"/>
    <w:rsid w:val="621B3775"/>
    <w:rsid w:val="62265F1F"/>
    <w:rsid w:val="62341E34"/>
    <w:rsid w:val="62356C42"/>
    <w:rsid w:val="62364782"/>
    <w:rsid w:val="62460D5D"/>
    <w:rsid w:val="6258314A"/>
    <w:rsid w:val="627C1941"/>
    <w:rsid w:val="627C7800"/>
    <w:rsid w:val="627E5269"/>
    <w:rsid w:val="628975C5"/>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59469E"/>
    <w:rsid w:val="66771136"/>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322639"/>
    <w:rsid w:val="6BA012FB"/>
    <w:rsid w:val="6BB90F67"/>
    <w:rsid w:val="6BC175D1"/>
    <w:rsid w:val="6BC21E6E"/>
    <w:rsid w:val="6BCD1DFF"/>
    <w:rsid w:val="6BD953F8"/>
    <w:rsid w:val="6BED64C6"/>
    <w:rsid w:val="6BF210FF"/>
    <w:rsid w:val="6C354BE3"/>
    <w:rsid w:val="6C4531E7"/>
    <w:rsid w:val="6C636C38"/>
    <w:rsid w:val="6C7A7704"/>
    <w:rsid w:val="6C7F6C7B"/>
    <w:rsid w:val="6C823765"/>
    <w:rsid w:val="6D2C5D14"/>
    <w:rsid w:val="6D351168"/>
    <w:rsid w:val="6DB34098"/>
    <w:rsid w:val="6DB545B6"/>
    <w:rsid w:val="6DBD0E0D"/>
    <w:rsid w:val="6DE02FB4"/>
    <w:rsid w:val="6E491D5D"/>
    <w:rsid w:val="6E4F0DF9"/>
    <w:rsid w:val="6E514CED"/>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6C6B7B"/>
    <w:rsid w:val="727B779A"/>
    <w:rsid w:val="72AA7672"/>
    <w:rsid w:val="72B629AE"/>
    <w:rsid w:val="72BB5E2B"/>
    <w:rsid w:val="72DB36EB"/>
    <w:rsid w:val="72E4384F"/>
    <w:rsid w:val="73122968"/>
    <w:rsid w:val="7319373A"/>
    <w:rsid w:val="731F5D5E"/>
    <w:rsid w:val="73454CF0"/>
    <w:rsid w:val="73610D05"/>
    <w:rsid w:val="73761542"/>
    <w:rsid w:val="737949FD"/>
    <w:rsid w:val="738241DD"/>
    <w:rsid w:val="73C51AD5"/>
    <w:rsid w:val="73E03A38"/>
    <w:rsid w:val="741E793C"/>
    <w:rsid w:val="745E3944"/>
    <w:rsid w:val="74A0673B"/>
    <w:rsid w:val="74A1161E"/>
    <w:rsid w:val="74D96EAB"/>
    <w:rsid w:val="750B1D5B"/>
    <w:rsid w:val="75593167"/>
    <w:rsid w:val="757235DC"/>
    <w:rsid w:val="75AE16EA"/>
    <w:rsid w:val="75D749B5"/>
    <w:rsid w:val="75E11409"/>
    <w:rsid w:val="75E4007E"/>
    <w:rsid w:val="7635099D"/>
    <w:rsid w:val="764D5D05"/>
    <w:rsid w:val="76C54FA2"/>
    <w:rsid w:val="773B0C2D"/>
    <w:rsid w:val="775C65B3"/>
    <w:rsid w:val="77762421"/>
    <w:rsid w:val="77847A66"/>
    <w:rsid w:val="779827CA"/>
    <w:rsid w:val="77B15DCD"/>
    <w:rsid w:val="77B56B1F"/>
    <w:rsid w:val="77C10F8E"/>
    <w:rsid w:val="77E96907"/>
    <w:rsid w:val="780F09F4"/>
    <w:rsid w:val="783422F1"/>
    <w:rsid w:val="78787A55"/>
    <w:rsid w:val="787D4AFC"/>
    <w:rsid w:val="7892546A"/>
    <w:rsid w:val="78A90480"/>
    <w:rsid w:val="7920055F"/>
    <w:rsid w:val="792A78BF"/>
    <w:rsid w:val="79314295"/>
    <w:rsid w:val="79452804"/>
    <w:rsid w:val="79461626"/>
    <w:rsid w:val="79933905"/>
    <w:rsid w:val="79954DB6"/>
    <w:rsid w:val="79B759E3"/>
    <w:rsid w:val="79B83386"/>
    <w:rsid w:val="79CA6F82"/>
    <w:rsid w:val="7A140C39"/>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locked/>
    <w:uiPriority w:val="0"/>
    <w:pPr>
      <w:keepNext/>
      <w:keepLines/>
      <w:spacing w:before="260" w:after="260" w:line="416" w:lineRule="auto"/>
      <w:outlineLvl w:val="2"/>
    </w:pPr>
    <w:rPr>
      <w:b/>
      <w:bCs/>
      <w:sz w:val="32"/>
      <w:szCs w:val="32"/>
    </w:rPr>
  </w:style>
  <w:style w:type="character" w:default="1" w:styleId="34">
    <w:name w:val="Default Paragraph Font"/>
    <w:semiHidden/>
    <w:qFormat/>
    <w:uiPriority w:val="0"/>
  </w:style>
  <w:style w:type="table" w:default="1" w:styleId="32">
    <w:name w:val="Normal Table"/>
    <w:semiHidden/>
    <w:qFormat/>
    <w:uiPriority w:val="0"/>
    <w:tblPr>
      <w:tblLayout w:type="fixed"/>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styleId="7">
    <w:name w:val="Normal Indent"/>
    <w:basedOn w:val="1"/>
    <w:qFormat/>
    <w:locked/>
    <w:uiPriority w:val="0"/>
    <w:pPr>
      <w:ind w:firstLine="420"/>
    </w:pPr>
    <w:rPr>
      <w:szCs w:val="21"/>
      <w:u w:val="none" w:color="000000"/>
    </w:rPr>
  </w:style>
  <w:style w:type="paragraph" w:styleId="8">
    <w:name w:val="annotation text"/>
    <w:basedOn w:val="1"/>
    <w:next w:val="9"/>
    <w:link w:val="39"/>
    <w:semiHidden/>
    <w:qFormat/>
    <w:uiPriority w:val="0"/>
    <w:pPr>
      <w:jc w:val="left"/>
    </w:pPr>
    <w:rPr>
      <w:kern w:val="0"/>
      <w:sz w:val="24"/>
      <w:szCs w:val="20"/>
    </w:rPr>
  </w:style>
  <w:style w:type="paragraph" w:styleId="9">
    <w:name w:val="Body Text Indent 3"/>
    <w:basedOn w:val="1"/>
    <w:next w:val="10"/>
    <w:qFormat/>
    <w:locked/>
    <w:uiPriority w:val="0"/>
    <w:pPr>
      <w:spacing w:after="120"/>
      <w:ind w:left="420" w:leftChars="200"/>
    </w:pPr>
    <w:rPr>
      <w:sz w:val="16"/>
      <w:szCs w:val="16"/>
    </w:rPr>
  </w:style>
  <w:style w:type="paragraph" w:styleId="10">
    <w:name w:val="Balloon Text"/>
    <w:basedOn w:val="1"/>
    <w:next w:val="11"/>
    <w:link w:val="43"/>
    <w:semiHidden/>
    <w:qFormat/>
    <w:uiPriority w:val="0"/>
    <w:rPr>
      <w:kern w:val="0"/>
      <w:sz w:val="18"/>
      <w:szCs w:val="20"/>
    </w:rPr>
  </w:style>
  <w:style w:type="paragraph" w:styleId="11">
    <w:name w:val="Block Text"/>
    <w:basedOn w:val="1"/>
    <w:next w:val="1"/>
    <w:qFormat/>
    <w:locked/>
    <w:uiPriority w:val="0"/>
    <w:pPr>
      <w:spacing w:line="240" w:lineRule="auto"/>
      <w:ind w:left="113" w:right="113" w:firstLine="3584"/>
      <w:jc w:val="center"/>
    </w:pPr>
  </w:style>
  <w:style w:type="paragraph" w:styleId="12">
    <w:name w:val="Body Text"/>
    <w:basedOn w:val="1"/>
    <w:next w:val="13"/>
    <w:link w:val="40"/>
    <w:qFormat/>
    <w:uiPriority w:val="0"/>
    <w:pPr>
      <w:widowControl/>
      <w:snapToGrid w:val="0"/>
      <w:spacing w:before="60" w:after="160" w:line="259" w:lineRule="auto"/>
      <w:ind w:right="113"/>
    </w:pPr>
    <w:rPr>
      <w:kern w:val="0"/>
      <w:sz w:val="18"/>
      <w:szCs w:val="20"/>
    </w:rPr>
  </w:style>
  <w:style w:type="paragraph" w:customStyle="1" w:styleId="13">
    <w:name w:val="Normal (Web)1"/>
    <w:basedOn w:val="1"/>
    <w:next w:val="14"/>
    <w:qFormat/>
    <w:uiPriority w:val="0"/>
    <w:pPr>
      <w:widowControl/>
      <w:jc w:val="left"/>
    </w:pPr>
    <w:rPr>
      <w:rFonts w:ascii="宋体" w:cs="Times New Roman"/>
      <w:kern w:val="0"/>
      <w:sz w:val="24"/>
      <w:szCs w:val="21"/>
    </w:rPr>
  </w:style>
  <w:style w:type="paragraph" w:customStyle="1" w:styleId="14">
    <w:name w:val="Date1"/>
    <w:basedOn w:val="1"/>
    <w:next w:val="1"/>
    <w:qFormat/>
    <w:uiPriority w:val="0"/>
    <w:pPr>
      <w:ind w:left="2500" w:leftChars="2500"/>
    </w:pPr>
  </w:style>
  <w:style w:type="paragraph" w:styleId="15">
    <w:name w:val="Body Text Indent"/>
    <w:basedOn w:val="1"/>
    <w:next w:val="16"/>
    <w:link w:val="41"/>
    <w:qFormat/>
    <w:uiPriority w:val="0"/>
    <w:pPr>
      <w:spacing w:after="120"/>
      <w:ind w:left="420" w:leftChars="200"/>
    </w:pPr>
    <w:rPr>
      <w:kern w:val="0"/>
      <w:sz w:val="24"/>
      <w:szCs w:val="20"/>
    </w:rPr>
  </w:style>
  <w:style w:type="paragraph" w:styleId="16">
    <w:name w:val="header"/>
    <w:basedOn w:val="1"/>
    <w:next w:val="17"/>
    <w:link w:val="4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7">
    <w:name w:val="样式5"/>
    <w:basedOn w:val="1"/>
    <w:qFormat/>
    <w:uiPriority w:val="0"/>
    <w:pPr>
      <w:spacing w:before="0" w:after="0" w:line="380" w:lineRule="exact"/>
      <w:ind w:firstLine="566" w:firstLineChars="202"/>
    </w:pPr>
    <w:rPr>
      <w:rFonts w:eastAsia="华文行楷"/>
    </w:rPr>
  </w:style>
  <w:style w:type="paragraph" w:styleId="18">
    <w:name w:val="Plain Text"/>
    <w:basedOn w:val="1"/>
    <w:qFormat/>
    <w:locked/>
    <w:uiPriority w:val="0"/>
    <w:rPr>
      <w:rFonts w:ascii="宋体" w:hAnsi="Courier New" w:eastAsia="仿宋_GB2312"/>
      <w:sz w:val="28"/>
      <w:szCs w:val="20"/>
    </w:rPr>
  </w:style>
  <w:style w:type="paragraph" w:styleId="19">
    <w:name w:val="List Bullet 5"/>
    <w:basedOn w:val="1"/>
    <w:qFormat/>
    <w:locked/>
    <w:uiPriority w:val="0"/>
    <w:pPr>
      <w:numPr>
        <w:ilvl w:val="0"/>
        <w:numId w:val="1"/>
      </w:numPr>
    </w:pPr>
  </w:style>
  <w:style w:type="paragraph" w:styleId="20">
    <w:name w:val="Date"/>
    <w:basedOn w:val="1"/>
    <w:next w:val="1"/>
    <w:link w:val="42"/>
    <w:qFormat/>
    <w:uiPriority w:val="0"/>
    <w:pPr>
      <w:ind w:left="100" w:leftChars="2500"/>
    </w:pPr>
    <w:rPr>
      <w:kern w:val="0"/>
      <w:sz w:val="24"/>
      <w:szCs w:val="20"/>
    </w:rPr>
  </w:style>
  <w:style w:type="paragraph" w:styleId="21">
    <w:name w:val="Body Text Indent 2"/>
    <w:basedOn w:val="1"/>
    <w:qFormat/>
    <w:locked/>
    <w:uiPriority w:val="0"/>
    <w:pPr>
      <w:spacing w:after="120" w:afterLines="0" w:line="480" w:lineRule="auto"/>
      <w:ind w:left="420" w:leftChars="200"/>
    </w:pPr>
    <w:rPr>
      <w:kern w:val="0"/>
      <w:sz w:val="28"/>
      <w:szCs w:val="20"/>
    </w:rPr>
  </w:style>
  <w:style w:type="paragraph" w:styleId="22">
    <w:name w:val="footer"/>
    <w:basedOn w:val="1"/>
    <w:link w:val="44"/>
    <w:qFormat/>
    <w:uiPriority w:val="99"/>
    <w:pPr>
      <w:tabs>
        <w:tab w:val="center" w:pos="4153"/>
        <w:tab w:val="right" w:pos="8306"/>
      </w:tabs>
      <w:snapToGrid w:val="0"/>
      <w:jc w:val="left"/>
    </w:pPr>
    <w:rPr>
      <w:kern w:val="0"/>
      <w:sz w:val="18"/>
      <w:szCs w:val="20"/>
    </w:rPr>
  </w:style>
  <w:style w:type="paragraph" w:styleId="23">
    <w:name w:val="toc 1"/>
    <w:basedOn w:val="1"/>
    <w:next w:val="1"/>
    <w:qFormat/>
    <w:locked/>
    <w:uiPriority w:val="39"/>
  </w:style>
  <w:style w:type="paragraph" w:styleId="24">
    <w:name w:val="List"/>
    <w:basedOn w:val="1"/>
    <w:qFormat/>
    <w:locked/>
    <w:uiPriority w:val="0"/>
    <w:pPr>
      <w:jc w:val="center"/>
    </w:pPr>
    <w:rPr>
      <w:kern w:val="0"/>
      <w:szCs w:val="20"/>
    </w:rPr>
  </w:style>
  <w:style w:type="paragraph" w:styleId="25">
    <w:name w:val="toc 2"/>
    <w:basedOn w:val="1"/>
    <w:next w:val="1"/>
    <w:qFormat/>
    <w:locked/>
    <w:uiPriority w:val="0"/>
    <w:pPr>
      <w:ind w:left="420" w:leftChars="200"/>
    </w:pPr>
  </w:style>
  <w:style w:type="paragraph" w:styleId="26">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7">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8"/>
    <w:next w:val="8"/>
    <w:link w:val="47"/>
    <w:semiHidden/>
    <w:qFormat/>
    <w:uiPriority w:val="0"/>
    <w:rPr>
      <w:b/>
      <w:sz w:val="24"/>
      <w:szCs w:val="20"/>
    </w:rPr>
  </w:style>
  <w:style w:type="paragraph" w:styleId="29">
    <w:name w:val="Body Text First Indent"/>
    <w:basedOn w:val="1"/>
    <w:next w:val="30"/>
    <w:qFormat/>
    <w:locked/>
    <w:uiPriority w:val="0"/>
    <w:pPr>
      <w:ind w:firstLine="420" w:firstLineChars="100"/>
    </w:pPr>
  </w:style>
  <w:style w:type="paragraph" w:customStyle="1" w:styleId="30">
    <w:name w:val="样式 正文首行缩进 + 首行缩进:  2 字符1"/>
    <w:basedOn w:val="1"/>
    <w:next w:val="23"/>
    <w:qFormat/>
    <w:uiPriority w:val="0"/>
    <w:pPr>
      <w:spacing w:line="360" w:lineRule="auto"/>
      <w:ind w:firstLine="480" w:firstLineChars="200"/>
    </w:pPr>
    <w:rPr>
      <w:sz w:val="24"/>
    </w:rPr>
  </w:style>
  <w:style w:type="paragraph" w:styleId="31">
    <w:name w:val="Body Text First Indent 2"/>
    <w:basedOn w:val="15"/>
    <w:next w:val="1"/>
    <w:qFormat/>
    <w:locked/>
    <w:uiPriority w:val="0"/>
    <w:pPr>
      <w:ind w:firstLine="420" w:firstLineChars="200"/>
    </w:p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5">
    <w:name w:val="page number"/>
    <w:basedOn w:val="34"/>
    <w:qFormat/>
    <w:locked/>
    <w:uiPriority w:val="0"/>
  </w:style>
  <w:style w:type="character" w:styleId="36">
    <w:name w:val="Hyperlink"/>
    <w:qFormat/>
    <w:locked/>
    <w:uiPriority w:val="99"/>
    <w:rPr>
      <w:color w:val="3366CC"/>
      <w:u w:val="single"/>
    </w:rPr>
  </w:style>
  <w:style w:type="character" w:styleId="37">
    <w:name w:val="annotation reference"/>
    <w:semiHidden/>
    <w:qFormat/>
    <w:uiPriority w:val="0"/>
    <w:rPr>
      <w:sz w:val="21"/>
    </w:rPr>
  </w:style>
  <w:style w:type="paragraph" w:customStyle="1" w:styleId="38">
    <w:name w:val="11111"/>
    <w:basedOn w:val="1"/>
    <w:next w:val="1"/>
    <w:qFormat/>
    <w:uiPriority w:val="99"/>
    <w:pPr>
      <w:spacing w:line="360" w:lineRule="auto"/>
      <w:ind w:firstLine="200" w:firstLineChars="200"/>
    </w:pPr>
    <w:rPr>
      <w:rFonts w:ascii="宋体" w:hAnsi="宋体" w:cs="宋体"/>
      <w:sz w:val="24"/>
      <w:szCs w:val="24"/>
    </w:rPr>
  </w:style>
  <w:style w:type="character" w:customStyle="1" w:styleId="39">
    <w:name w:val="批注文字 Char"/>
    <w:link w:val="8"/>
    <w:qFormat/>
    <w:locked/>
    <w:uiPriority w:val="0"/>
    <w:rPr>
      <w:rFonts w:ascii="Times New Roman" w:hAnsi="Times New Roman" w:eastAsia="宋体"/>
      <w:sz w:val="24"/>
    </w:rPr>
  </w:style>
  <w:style w:type="character" w:customStyle="1" w:styleId="40">
    <w:name w:val="正文文本 Char"/>
    <w:link w:val="12"/>
    <w:qFormat/>
    <w:locked/>
    <w:uiPriority w:val="0"/>
    <w:rPr>
      <w:sz w:val="18"/>
    </w:rPr>
  </w:style>
  <w:style w:type="character" w:customStyle="1" w:styleId="41">
    <w:name w:val="正文文本缩进 Char"/>
    <w:link w:val="15"/>
    <w:semiHidden/>
    <w:qFormat/>
    <w:locked/>
    <w:uiPriority w:val="0"/>
    <w:rPr>
      <w:rFonts w:ascii="Times New Roman" w:hAnsi="Times New Roman" w:eastAsia="宋体"/>
      <w:sz w:val="24"/>
    </w:rPr>
  </w:style>
  <w:style w:type="character" w:customStyle="1" w:styleId="42">
    <w:name w:val="日期 Char"/>
    <w:link w:val="20"/>
    <w:qFormat/>
    <w:locked/>
    <w:uiPriority w:val="0"/>
    <w:rPr>
      <w:rFonts w:ascii="Times New Roman" w:hAnsi="Times New Roman" w:eastAsia="宋体"/>
      <w:sz w:val="24"/>
    </w:rPr>
  </w:style>
  <w:style w:type="character" w:customStyle="1" w:styleId="43">
    <w:name w:val="批注框文本 Char"/>
    <w:link w:val="10"/>
    <w:semiHidden/>
    <w:qFormat/>
    <w:locked/>
    <w:uiPriority w:val="0"/>
    <w:rPr>
      <w:rFonts w:ascii="Times New Roman" w:hAnsi="Times New Roman" w:eastAsia="宋体"/>
      <w:sz w:val="18"/>
    </w:rPr>
  </w:style>
  <w:style w:type="character" w:customStyle="1" w:styleId="44">
    <w:name w:val="页脚 Char"/>
    <w:link w:val="22"/>
    <w:qFormat/>
    <w:locked/>
    <w:uiPriority w:val="99"/>
    <w:rPr>
      <w:sz w:val="18"/>
    </w:rPr>
  </w:style>
  <w:style w:type="character" w:customStyle="1" w:styleId="45">
    <w:name w:val="页眉 Char"/>
    <w:link w:val="16"/>
    <w:qFormat/>
    <w:locked/>
    <w:uiPriority w:val="0"/>
    <w:rPr>
      <w:sz w:val="18"/>
    </w:rPr>
  </w:style>
  <w:style w:type="character" w:customStyle="1" w:styleId="46">
    <w:name w:val="普通(网站) Char"/>
    <w:link w:val="27"/>
    <w:qFormat/>
    <w:locked/>
    <w:uiPriority w:val="0"/>
    <w:rPr>
      <w:rFonts w:ascii="宋体" w:hAnsi="宋体" w:eastAsia="宋体"/>
      <w:sz w:val="24"/>
    </w:rPr>
  </w:style>
  <w:style w:type="character" w:customStyle="1" w:styleId="47">
    <w:name w:val="批注主题 Char"/>
    <w:link w:val="28"/>
    <w:semiHidden/>
    <w:qFormat/>
    <w:locked/>
    <w:uiPriority w:val="0"/>
    <w:rPr>
      <w:rFonts w:ascii="Times New Roman" w:hAnsi="Times New Roman" w:eastAsia="宋体"/>
      <w:b/>
      <w:kern w:val="2"/>
      <w:sz w:val="24"/>
    </w:rPr>
  </w:style>
  <w:style w:type="paragraph" w:customStyle="1" w:styleId="48">
    <w:name w:val="【正文】"/>
    <w:basedOn w:val="1"/>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4"/>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4"/>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2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next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64"/>
    <w:next w:val="18"/>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2"/>
    <w:next w:val="10"/>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bgb表头"/>
    <w:basedOn w:val="1"/>
    <w:next w:val="1"/>
    <w:qFormat/>
    <w:uiPriority w:val="0"/>
    <w:pPr>
      <w:adjustRightInd w:val="0"/>
      <w:snapToGrid w:val="0"/>
      <w:spacing w:line="480" w:lineRule="exact"/>
      <w:contextualSpacing/>
      <w:jc w:val="center"/>
    </w:pPr>
    <w:rPr>
      <w:color w:val="000000"/>
      <w:kern w:val="0"/>
      <w:sz w:val="24"/>
      <w:szCs w:val="21"/>
    </w:rPr>
  </w:style>
  <w:style w:type="table" w:customStyle="1" w:styleId="103">
    <w:name w:val="Table Normal1"/>
    <w:unhideWhenUsed/>
    <w:qFormat/>
    <w:uiPriority w:val="2"/>
    <w:pPr>
      <w:widowControl w:val="0"/>
    </w:pPr>
    <w:rPr>
      <w:rFonts w:eastAsia="宋体"/>
      <w:lang w:eastAsia="en-US"/>
    </w:rPr>
    <w:tblPr>
      <w:tblLayout w:type="fixed"/>
      <w:tblCellMar>
        <w:top w:w="0" w:type="dxa"/>
        <w:left w:w="0" w:type="dxa"/>
        <w:bottom w:w="0" w:type="dxa"/>
        <w:right w:w="0" w:type="dxa"/>
      </w:tblCellMar>
    </w:tblPr>
  </w:style>
  <w:style w:type="paragraph" w:customStyle="1" w:styleId="104">
    <w:name w:val="a正文"/>
    <w:basedOn w:val="61"/>
    <w:qFormat/>
    <w:uiPriority w:val="0"/>
    <w:pPr>
      <w:spacing w:line="520" w:lineRule="exact"/>
      <w:ind w:firstLine="200"/>
    </w:pPr>
    <w:rPr>
      <w:rFonts w:cs="Times New Roman"/>
    </w:rPr>
  </w:style>
  <w:style w:type="paragraph" w:customStyle="1" w:styleId="105">
    <w:name w:val="正文1"/>
    <w:basedOn w:val="106"/>
    <w:next w:val="1"/>
    <w:qFormat/>
    <w:uiPriority w:val="0"/>
    <w:pPr>
      <w:widowControl w:val="0"/>
      <w:tabs>
        <w:tab w:val="left" w:pos="567"/>
      </w:tabs>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06">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107">
    <w:name w:val="0表格文字"/>
    <w:basedOn w:val="108"/>
    <w:next w:val="10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0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oleObject" Target="embeddings/oleObject11.bin"/><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wmf"/><Relationship Id="rId37" Type="http://schemas.openxmlformats.org/officeDocument/2006/relationships/oleObject" Target="embeddings/oleObject9.bin"/><Relationship Id="rId36" Type="http://schemas.openxmlformats.org/officeDocument/2006/relationships/image" Target="media/image20.wmf"/><Relationship Id="rId35" Type="http://schemas.openxmlformats.org/officeDocument/2006/relationships/oleObject" Target="embeddings/oleObject8.bin"/><Relationship Id="rId34" Type="http://schemas.openxmlformats.org/officeDocument/2006/relationships/image" Target="media/image19.wmf"/><Relationship Id="rId33" Type="http://schemas.openxmlformats.org/officeDocument/2006/relationships/oleObject" Target="embeddings/oleObject7.bin"/><Relationship Id="rId32" Type="http://schemas.openxmlformats.org/officeDocument/2006/relationships/image" Target="media/image18.wmf"/><Relationship Id="rId31" Type="http://schemas.openxmlformats.org/officeDocument/2006/relationships/oleObject" Target="embeddings/oleObject6.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6.wmf"/><Relationship Id="rId27" Type="http://schemas.openxmlformats.org/officeDocument/2006/relationships/oleObject" Target="embeddings/oleObject4.bin"/><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U0TXpBbE4wUWxNa01sTWpKbGJHVnRaVzUwY3lVeU1pVXpRU1UzUWlVeU1ubDRRVlZxVjFsRmJWa3dPRFExT0RJ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55VTRSU1U0T1NWRk55VkNNU1ZDT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ubDRRVlZxVjFsRmJWa3dPRFExT0RJ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WMwVjVRV2RYVFhwNWNESXdOamM0Tk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NEpVSkdKVGt3SlVVNEpVSkZKVGt6SlVVekpUZ3dKVGd4SlVVNEpVRXpKVGcxSlVVMUpUaEVKVUk0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TlXYm1sU1oycEVRVUk1TVRNME16a2xNaklsTWtNbE1qSjBlWEJsSlRJeUpUTkJKVEl5Ym5WdFltVnlKVEl5SlRKREpUSXlZMkYwWldkdmNua2xNaklsTTBFbE1qSmtaV1poZFd4MEpUSXlKVEpESlRJeWRtRnNkV1VsTWpJbE0wRWxNaklsTWpJbE4wUWxNa01sTjBJbE1qSnVZVzFsSlRJeUpUTkJKVEl5SlVVMUpUa3dKVGhFSlVVM0pVRTNKVUl3SlRJeUpUSkRKVEl5YVdRbE1qSWxNMEVsTWpKbWRXeGhkR2xZUTFsbU9USXdORFk1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uTkZlVUZuVjAxNmVYQXlNRFkzT0RR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WJIZExTbEYwWmtWMVZ6a3hPVEl6T0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0pVRkVKVGxDSlVVNUpUZ3dKVGc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XgxZEVwb1VIaGxjV2t3T0RjeU5Ua2xNaklsTWtNbE1qSjBlWEJsSlRJeUpUTkJKVEl5Ym5WdFltVnlKVEl5SlRKREpUSXlZMkYwWldkdmNua2xNaklsTTBFbE1qSmtaV1poZFd4MEpUSXlKVEpESlRJeWRtRnNkV1VsTWpJbE0wRWxNaklsTWpJbE4wUWxNa01sTjBJbE1qSnVZVzFsSlRJeUpUTkJKVEl5SlVVMUpUa3dKVGhFSlVVM0pVRTNKVUl3SlRJeUpUSkRKVEl5YVdRbE1qSWxNMEVsTWpKbVprcG5jVmhKUm1OTE5UUTVNVGM1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teDNTMHBSZEdaRmRWYzVNVGt5TXpn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FrUmtabEo1VUVOR1ZEYzNNamN6Tk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0pUZ3pKVGs0SlVVMUpVSTVKVUl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kZHV1ZkelFuaGFXWEkxTlRBMk16VWxNaklsTWtNbE1qSjBlWEJsSlRJeUpUTkJKVEl5Ym5WdFltVnlKVEl5SlRKREpUSXlZMkYwWldkdmNua2xNaklsTTBFbE1qSmtaV1poZFd4MEpUSXlKVEpESlRJeWRtRnNkV1VsTWpJbE0wRWxNaklsTWpJbE4wUWxNa01sTjBJbE1qSnVZVzFsSlRJeUpUTkJKVEl5SlVVMUpUa3dKVGhFSlVVM0pVRTNKVUl3SlRJeUpUSkRKVEl5YVdRbE1qSWxNMEVsTWpKM1NuaFVTVTVKZW1kVU5qYzBNVFUz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rSkVaR1pTZVZCRFJsUTNOekkzTXpR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NWTjNURnA1VWxaalFUVTFOelE1Tml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UpVSTVKVUl5SlVVM0pVSXlKVUZG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a1JXZWtoclYwRnJkVTh4TXpjMk5URWxNaklsTWtNbE1qSjBlWEJsSlRJeUpUTkJKVEl5Ym5WdFltVnlKVEl5SlRKREpUSXlZMkYwWldkdmNua2xNaklsTTBFbE1qSmtaV1poZFd4MEpUSXlKVEpESlRJeWRtRnNkV1VsTWpJbE0wRWxNaklsTWpJbE4wUWxNa01sTjBJbE1qSnVZVzFsSlRJeUpUTkJKVEl5SlVVMUpUa3dKVGhFSlVVM0pVRTNKVUl3SlRJeUpUSkRKVEl5YVdRbE1qSWxNMEVsTWpKTGJHUk9SSE42WVZGSE16RTBPRGsy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5TVkJOQ1U1TmlWRk5TVTVOQ1ZCU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"/>
    </extobj>
    <extobj name="ECB019B1-382A-4266-B25C-5B523AA43C14-2">
      <extobjdata type="ECB019B1-382A-4266-B25C-5B523AA43C14" data="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60</Pages>
  <Words>18778</Words>
  <Characters>22035</Characters>
  <Lines>13</Lines>
  <Paragraphs>3</Paragraphs>
  <TotalTime>0</TotalTime>
  <ScaleCrop>false</ScaleCrop>
  <LinksUpToDate>false</LinksUpToDate>
  <CharactersWithSpaces>23271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2026-04-29T07:58:00Z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89F3B985284A4025B8E04A32DB18766D_13</vt:lpwstr>
  </property>
  <property fmtid="{D5CDD505-2E9C-101B-9397-08002B2CF9AE}" pid="4" name="KSOTemplateDocerSaveRecord">
    <vt:lpwstr>eyJoZGlkIjoiMWMxYjE0ODY0YzUzMzU2N2EyOTFkYjA4ZWVlNmY4NDEiLCJ1c2VySWQiOiI2NTgwMzMwNjkifQ==</vt:lpwstr>
  </property>
</Properties>
</file>