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sz w:val="72"/>
          <w:szCs w:val="72"/>
          <w14:textFill>
            <w14:solidFill>
              <w14:schemeClr w14:val="tx1"/>
            </w14:solidFill>
          </w14:textFill>
        </w:rPr>
      </w:pPr>
      <w:bookmarkStart w:id="0" w:name="_Toc10436"/>
      <w:r>
        <w:rPr>
          <w:color w:val="000000" w:themeColor="text1"/>
          <w:sz w:val="72"/>
          <w:szCs w:val="72"/>
          <w14:textFill>
            <w14:solidFill>
              <w14:schemeClr w14:val="tx1"/>
            </w14:solidFill>
          </w14:textFill>
        </w:rPr>
        <w:t>建设项目环境影响报告表</w:t>
      </w:r>
      <w:bookmarkEnd w:id="0"/>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djustRightInd w:val="0"/>
        <w:snapToGrid w:val="0"/>
        <w:spacing w:line="288" w:lineRule="auto"/>
        <w:ind w:left="1440" w:hanging="1440" w:hangingChars="400"/>
        <w:jc w:val="center"/>
        <w:rPr>
          <w:rFonts w:hint="eastAsia" w:eastAsia="仿宋_GB2312"/>
          <w:color w:val="000000" w:themeColor="text1"/>
          <w:sz w:val="36"/>
          <w:szCs w:val="36"/>
          <w:u w:val="single"/>
          <w:lang w:eastAsia="zh-CN"/>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hint="eastAsia" w:eastAsia="仿宋_GB2312"/>
          <w:color w:val="000000" w:themeColor="text1"/>
          <w:sz w:val="36"/>
          <w:szCs w:val="36"/>
          <w:u w:val="single"/>
          <w:lang w:eastAsia="zh-CN"/>
          <w14:textFill>
            <w14:solidFill>
              <w14:schemeClr w14:val="tx1"/>
            </w14:solidFill>
          </w14:textFill>
        </w:rPr>
        <w:t>嘉荫县万邦商混有限公司商品混凝土搅拌站扩建项目</w:t>
      </w:r>
    </w:p>
    <w:p>
      <w:pPr>
        <w:adjustRightInd w:val="0"/>
        <w:snapToGrid w:val="0"/>
        <w:spacing w:line="288" w:lineRule="auto"/>
        <w:ind w:left="1440" w:hanging="1440" w:hangingChars="400"/>
        <w:jc w:val="center"/>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lang w:eastAsia="zh-CN"/>
          <w14:textFill>
            <w14:solidFill>
              <w14:schemeClr w14:val="tx1"/>
            </w14:solidFill>
          </w14:textFill>
        </w:rPr>
        <w:t>嘉荫县万邦商混有限公司</w:t>
      </w:r>
    </w:p>
    <w:p>
      <w:pPr>
        <w:adjustRightInd w:val="0"/>
        <w:snapToGrid w:val="0"/>
        <w:spacing w:line="288" w:lineRule="auto"/>
        <w:jc w:val="center"/>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hint="eastAsia" w:eastAsia="仿宋_GB2312"/>
          <w:color w:val="000000" w:themeColor="text1"/>
          <w:sz w:val="36"/>
          <w:szCs w:val="36"/>
          <w:u w:val="single"/>
          <w14:textFill>
            <w14:solidFill>
              <w14:schemeClr w14:val="tx1"/>
            </w14:solidFill>
          </w14:textFill>
        </w:rPr>
        <w:t>202</w:t>
      </w:r>
      <w:r>
        <w:rPr>
          <w:rFonts w:hint="eastAsia" w:eastAsia="仿宋_GB2312"/>
          <w:color w:val="000000" w:themeColor="text1"/>
          <w:sz w:val="36"/>
          <w:szCs w:val="36"/>
          <w:u w:val="single"/>
          <w:lang w:val="en-US" w:eastAsia="zh-CN"/>
          <w14:textFill>
            <w14:solidFill>
              <w14:schemeClr w14:val="tx1"/>
            </w14:solidFill>
          </w14:textFill>
        </w:rPr>
        <w:t>6</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6</w:t>
      </w:r>
      <w:r>
        <w:rPr>
          <w:rFonts w:eastAsia="仿宋_GB2312"/>
          <w:color w:val="000000" w:themeColor="text1"/>
          <w:sz w:val="36"/>
          <w:szCs w:val="36"/>
          <w:u w:val="single"/>
          <w14:textFill>
            <w14:solidFill>
              <w14:schemeClr w14:val="tx1"/>
            </w14:solidFill>
          </w14:textFill>
        </w:rPr>
        <w:t>月</w:t>
      </w:r>
    </w:p>
    <w:p>
      <w:pPr>
        <w:rPr>
          <w:color w:val="000000" w:themeColor="text1"/>
          <w14:textFill>
            <w14:solidFill>
              <w14:schemeClr w14:val="tx1"/>
            </w14:solidFill>
          </w14:textFill>
        </w:rPr>
      </w:pPr>
      <w:bookmarkStart w:id="1" w:name="_Hlk57884087"/>
    </w:p>
    <w:p>
      <w:pPr>
        <w:rPr>
          <w:color w:val="000000" w:themeColor="text1"/>
          <w14:textFill>
            <w14:solidFill>
              <w14:schemeClr w14:val="tx1"/>
            </w14:solidFill>
          </w14:textFill>
        </w:rPr>
      </w:pPr>
    </w:p>
    <w:p>
      <w:pPr>
        <w:pStyle w:val="42"/>
        <w:ind w:firstLine="0" w:firstLineChars="0"/>
        <w:rPr>
          <w:color w:val="000000" w:themeColor="text1"/>
          <w14:textFill>
            <w14:solidFill>
              <w14:schemeClr w14:val="tx1"/>
            </w14:solidFill>
          </w14:textFill>
        </w:rPr>
      </w:pPr>
    </w:p>
    <w:p>
      <w:pPr>
        <w:rPr>
          <w:color w:val="000000" w:themeColor="text1"/>
          <w14:textFill>
            <w14:solidFill>
              <w14:schemeClr w14:val="tx1"/>
            </w14:solidFill>
          </w14:textFill>
        </w:rPr>
      </w:pPr>
    </w:p>
    <w:bookmarkEnd w:id="1"/>
    <w:p>
      <w:pPr>
        <w:adjustRightInd w:val="0"/>
        <w:snapToGrid w:val="0"/>
        <w:spacing w:line="288" w:lineRule="auto"/>
        <w:ind w:firstLine="720"/>
        <w:jc w:val="center"/>
        <w:rPr>
          <w:rFonts w:eastAsia="仿宋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pStyle w:val="42"/>
        <w:spacing w:line="240" w:lineRule="auto"/>
        <w:ind w:firstLine="0" w:firstLineChars="0"/>
        <w:jc w:val="center"/>
        <w:rPr>
          <w:color w:val="000000" w:themeColor="text1"/>
          <w:lang w:val="zh-CN"/>
          <w14:textFill>
            <w14:solidFill>
              <w14:schemeClr w14:val="tx1"/>
            </w14:solidFill>
          </w14:textFill>
        </w:rPr>
      </w:pPr>
    </w:p>
    <w:p>
      <w:pPr>
        <w:pStyle w:val="42"/>
        <w:spacing w:line="240" w:lineRule="auto"/>
        <w:ind w:firstLine="0" w:firstLineChars="0"/>
        <w:jc w:val="center"/>
        <w:rPr>
          <w:color w:val="000000" w:themeColor="text1"/>
          <w:lang w:val="zh-CN"/>
          <w14:textFill>
            <w14:solidFill>
              <w14:schemeClr w14:val="tx1"/>
            </w14:solidFill>
          </w14:textFill>
        </w:rPr>
      </w:pPr>
    </w:p>
    <w:p>
      <w:pPr>
        <w:pStyle w:val="42"/>
        <w:spacing w:line="240" w:lineRule="auto"/>
        <w:ind w:firstLine="0" w:firstLineChars="0"/>
        <w:jc w:val="center"/>
        <w:rPr>
          <w:color w:val="000000" w:themeColor="text1"/>
          <w:lang w:val="zh-CN"/>
          <w14:textFill>
            <w14:solidFill>
              <w14:schemeClr w14:val="tx1"/>
            </w14:solidFill>
          </w14:textFill>
        </w:rPr>
      </w:pPr>
    </w:p>
    <w:p>
      <w:pPr>
        <w:pStyle w:val="42"/>
        <w:spacing w:line="240" w:lineRule="auto"/>
        <w:ind w:firstLine="0" w:firstLineChars="0"/>
        <w:jc w:val="center"/>
        <w:rPr>
          <w:color w:val="000000" w:themeColor="text1"/>
          <w:lang w:val="zh-CN"/>
          <w14:textFill>
            <w14:solidFill>
              <w14:schemeClr w14:val="tx1"/>
            </w14:solidFill>
          </w14:textFill>
        </w:rPr>
      </w:pPr>
    </w:p>
    <w:p>
      <w:pPr>
        <w:pStyle w:val="42"/>
        <w:spacing w:line="240" w:lineRule="auto"/>
        <w:ind w:firstLine="0" w:firstLineChars="0"/>
        <w:jc w:val="center"/>
        <w:rPr>
          <w:color w:val="000000" w:themeColor="text1"/>
          <w:lang w:val="zh-CN"/>
          <w14:textFill>
            <w14:solidFill>
              <w14:schemeClr w14:val="tx1"/>
            </w14:solidFill>
          </w14:textFill>
        </w:rPr>
      </w:pPr>
    </w:p>
    <w:p>
      <w:pPr>
        <w:ind w:firstLine="602"/>
        <w:rPr>
          <w:b/>
          <w:bCs/>
          <w:color w:val="000000" w:themeColor="text1"/>
          <w:sz w:val="30"/>
          <w:szCs w:val="30"/>
          <w:lang w:val="zh-CN"/>
          <w14:textFill>
            <w14:solidFill>
              <w14:schemeClr w14:val="tx1"/>
            </w14:solidFill>
          </w14:textFill>
        </w:rPr>
      </w:pPr>
    </w:p>
    <w:p>
      <w:pPr>
        <w:pStyle w:val="42"/>
        <w:rPr>
          <w:color w:val="000000" w:themeColor="text1"/>
          <w:lang w:val="zh-CN"/>
          <w14:textFill>
            <w14:solidFill>
              <w14:schemeClr w14:val="tx1"/>
            </w14:solidFill>
          </w14:textFill>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b/>
          <w:bCs/>
          <w:color w:val="000000" w:themeColor="text1"/>
          <w:sz w:val="44"/>
          <w:szCs w:val="44"/>
          <w:highlight w:val="none"/>
          <w:lang w:val="zh-CN"/>
          <w14:textFill>
            <w14:solidFill>
              <w14:schemeClr w14:val="tx1"/>
            </w14:solidFill>
          </w14:textFill>
        </w:rPr>
        <w:id w:val="-1457798705"/>
        <w:docPartObj>
          <w:docPartGallery w:val="Table of Contents"/>
          <w:docPartUnique/>
        </w:docPartObj>
      </w:sdtPr>
      <w:sdtEndPr>
        <w:rPr>
          <w:b w:val="0"/>
          <w:bCs w:val="0"/>
          <w:color w:val="000000" w:themeColor="text1"/>
          <w:sz w:val="24"/>
          <w:szCs w:val="24"/>
          <w:highlight w:val="none"/>
          <w:lang w:val="zh-CN"/>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bCs/>
              <w:color w:val="000000" w:themeColor="text1"/>
              <w:sz w:val="44"/>
              <w:szCs w:val="44"/>
              <w:highlight w:val="none"/>
              <w14:textFill>
                <w14:solidFill>
                  <w14:schemeClr w14:val="tx1"/>
                </w14:solidFill>
              </w14:textFill>
            </w:rPr>
          </w:pPr>
          <w:bookmarkStart w:id="2" w:name="_Toc20005"/>
          <w:r>
            <w:rPr>
              <w:b/>
              <w:bCs/>
              <w:color w:val="000000" w:themeColor="text1"/>
              <w:sz w:val="44"/>
              <w:szCs w:val="44"/>
              <w:highlight w:val="none"/>
              <w:lang w:val="zh-CN"/>
              <w14:textFill>
                <w14:solidFill>
                  <w14:schemeClr w14:val="tx1"/>
                </w14:solidFill>
              </w14:textFill>
            </w:rPr>
            <w:t xml:space="preserve">目 </w:t>
          </w:r>
          <w:r>
            <w:rPr>
              <w:b/>
              <w:bCs/>
              <w:color w:val="000000" w:themeColor="text1"/>
              <w:sz w:val="44"/>
              <w:szCs w:val="44"/>
              <w:highlight w:val="none"/>
              <w14:textFill>
                <w14:solidFill>
                  <w14:schemeClr w14:val="tx1"/>
                </w14:solidFill>
              </w14:textFill>
            </w:rPr>
            <w:t xml:space="preserve"> </w:t>
          </w:r>
          <w:r>
            <w:rPr>
              <w:b/>
              <w:bCs/>
              <w:color w:val="000000" w:themeColor="text1"/>
              <w:sz w:val="44"/>
              <w:szCs w:val="44"/>
              <w:highlight w:val="none"/>
              <w:lang w:val="zh-CN"/>
              <w14:textFill>
                <w14:solidFill>
                  <w14:schemeClr w14:val="tx1"/>
                </w14:solidFill>
              </w14:textFill>
            </w:rPr>
            <w:t>录</w:t>
          </w:r>
          <w:bookmarkEnd w:id="2"/>
        </w:p>
        <w:p>
          <w:pPr>
            <w:pStyle w:val="24"/>
            <w:tabs>
              <w:tab w:val="right" w:leader="dot" w:pos="8844"/>
            </w:tabs>
            <w:spacing w:line="360" w:lineRule="auto"/>
            <w:rPr>
              <w:sz w:val="24"/>
              <w:szCs w:val="24"/>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TOC \o "1-3" \h \z \u </w:instrText>
          </w:r>
          <w:r>
            <w:rPr>
              <w:color w:val="000000" w:themeColor="text1"/>
              <w:sz w:val="28"/>
              <w:szCs w:val="28"/>
              <w14:textFill>
                <w14:solidFill>
                  <w14:schemeClr w14:val="tx1"/>
                </w14:solidFill>
              </w14:textFill>
            </w:rPr>
            <w:fldChar w:fldCharType="separate"/>
          </w:r>
          <w:r>
            <w:rPr>
              <w:color w:val="000000" w:themeColor="text1"/>
              <w:sz w:val="24"/>
              <w:szCs w:val="24"/>
              <w14:textFill>
                <w14:solidFill>
                  <w14:schemeClr w14:val="tx1"/>
                </w14:solidFill>
              </w14:textFill>
            </w:rPr>
            <w:fldChar w:fldCharType="begin"/>
          </w:r>
          <w:r>
            <w:rPr>
              <w:sz w:val="24"/>
              <w:szCs w:val="24"/>
            </w:rPr>
            <w:instrText xml:space="preserve"> HYPERLINK \l _Toc2706 </w:instrText>
          </w:r>
          <w:r>
            <w:rPr>
              <w:sz w:val="24"/>
              <w:szCs w:val="24"/>
            </w:rPr>
            <w:fldChar w:fldCharType="separate"/>
          </w:r>
          <w:r>
            <w:rPr>
              <w:rFonts w:eastAsia="黑体"/>
              <w:sz w:val="24"/>
              <w:szCs w:val="24"/>
            </w:rPr>
            <w:t>一、建设项目基本情况</w:t>
          </w:r>
          <w:r>
            <w:rPr>
              <w:sz w:val="24"/>
              <w:szCs w:val="24"/>
            </w:rPr>
            <w:tab/>
          </w:r>
          <w:r>
            <w:rPr>
              <w:sz w:val="24"/>
              <w:szCs w:val="24"/>
            </w:rPr>
            <w:fldChar w:fldCharType="begin"/>
          </w:r>
          <w:r>
            <w:rPr>
              <w:sz w:val="24"/>
              <w:szCs w:val="24"/>
            </w:rPr>
            <w:instrText xml:space="preserve"> PAGEREF _Toc2706 \h </w:instrText>
          </w:r>
          <w:r>
            <w:rPr>
              <w:sz w:val="24"/>
              <w:szCs w:val="24"/>
            </w:rPr>
            <w:fldChar w:fldCharType="separate"/>
          </w:r>
          <w:r>
            <w:rPr>
              <w:sz w:val="24"/>
              <w:szCs w:val="24"/>
            </w:rPr>
            <w:t>1</w:t>
          </w:r>
          <w:r>
            <w:rPr>
              <w:sz w:val="24"/>
              <w:szCs w:val="24"/>
            </w:rPr>
            <w:fldChar w:fldCharType="end"/>
          </w:r>
          <w:r>
            <w:rPr>
              <w:color w:val="000000" w:themeColor="text1"/>
              <w:sz w:val="24"/>
              <w:szCs w:val="24"/>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_Toc6412 </w:instrText>
          </w:r>
          <w:r>
            <w:rPr>
              <w:bCs/>
              <w:sz w:val="24"/>
              <w:szCs w:val="24"/>
              <w:lang w:val="zh-CN"/>
            </w:rPr>
            <w:fldChar w:fldCharType="separate"/>
          </w:r>
          <w:r>
            <w:rPr>
              <w:rFonts w:eastAsia="黑体"/>
              <w:sz w:val="24"/>
              <w:szCs w:val="24"/>
            </w:rPr>
            <w:t>二、建设项目工程分析</w:t>
          </w:r>
          <w:r>
            <w:rPr>
              <w:sz w:val="24"/>
              <w:szCs w:val="24"/>
            </w:rPr>
            <w:tab/>
          </w:r>
          <w:r>
            <w:rPr>
              <w:sz w:val="24"/>
              <w:szCs w:val="24"/>
            </w:rPr>
            <w:fldChar w:fldCharType="begin"/>
          </w:r>
          <w:r>
            <w:rPr>
              <w:sz w:val="24"/>
              <w:szCs w:val="24"/>
            </w:rPr>
            <w:instrText xml:space="preserve"> PAGEREF _Toc6412 \h </w:instrText>
          </w:r>
          <w:r>
            <w:rPr>
              <w:sz w:val="24"/>
              <w:szCs w:val="24"/>
            </w:rPr>
            <w:fldChar w:fldCharType="separate"/>
          </w:r>
          <w:r>
            <w:rPr>
              <w:sz w:val="24"/>
              <w:szCs w:val="24"/>
            </w:rPr>
            <w:t>14</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_Toc18634 </w:instrText>
          </w:r>
          <w:r>
            <w:rPr>
              <w:bCs/>
              <w:sz w:val="24"/>
              <w:szCs w:val="24"/>
              <w:lang w:val="zh-CN"/>
            </w:rPr>
            <w:fldChar w:fldCharType="separate"/>
          </w:r>
          <w:r>
            <w:rPr>
              <w:rFonts w:eastAsia="黑体"/>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_Toc18634 \h </w:instrText>
          </w:r>
          <w:r>
            <w:rPr>
              <w:sz w:val="24"/>
              <w:szCs w:val="24"/>
            </w:rPr>
            <w:fldChar w:fldCharType="separate"/>
          </w:r>
          <w:r>
            <w:rPr>
              <w:sz w:val="24"/>
              <w:szCs w:val="24"/>
            </w:rPr>
            <w:t>27</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_Toc21883 </w:instrText>
          </w:r>
          <w:r>
            <w:rPr>
              <w:bCs/>
              <w:sz w:val="24"/>
              <w:szCs w:val="24"/>
              <w:lang w:val="zh-CN"/>
            </w:rPr>
            <w:fldChar w:fldCharType="separate"/>
          </w:r>
          <w:r>
            <w:rPr>
              <w:rFonts w:eastAsia="黑体"/>
              <w:sz w:val="24"/>
              <w:szCs w:val="24"/>
            </w:rPr>
            <w:t>四、主要环境影响和保护措施</w:t>
          </w:r>
          <w:r>
            <w:rPr>
              <w:sz w:val="24"/>
              <w:szCs w:val="24"/>
            </w:rPr>
            <w:tab/>
          </w:r>
          <w:r>
            <w:rPr>
              <w:sz w:val="24"/>
              <w:szCs w:val="24"/>
            </w:rPr>
            <w:fldChar w:fldCharType="begin"/>
          </w:r>
          <w:r>
            <w:rPr>
              <w:sz w:val="24"/>
              <w:szCs w:val="24"/>
            </w:rPr>
            <w:instrText xml:space="preserve"> PAGEREF _Toc21883 \h </w:instrText>
          </w:r>
          <w:r>
            <w:rPr>
              <w:sz w:val="24"/>
              <w:szCs w:val="24"/>
            </w:rPr>
            <w:fldChar w:fldCharType="separate"/>
          </w:r>
          <w:r>
            <w:rPr>
              <w:sz w:val="24"/>
              <w:szCs w:val="24"/>
            </w:rPr>
            <w:t>32</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_Toc4954 </w:instrText>
          </w:r>
          <w:r>
            <w:rPr>
              <w:bCs/>
              <w:sz w:val="24"/>
              <w:szCs w:val="24"/>
              <w:lang w:val="zh-CN"/>
            </w:rPr>
            <w:fldChar w:fldCharType="separate"/>
          </w:r>
          <w:r>
            <w:rPr>
              <w:rFonts w:eastAsia="黑体"/>
              <w:sz w:val="24"/>
              <w:szCs w:val="24"/>
            </w:rPr>
            <w:t>五</w:t>
          </w:r>
          <w:r>
            <w:rPr>
              <w:rFonts w:eastAsia="黑体"/>
              <w:sz w:val="24"/>
              <w:szCs w:val="24"/>
              <w:highlight w:val="none"/>
            </w:rPr>
            <w:t>、环境保护措施监督检查清单</w:t>
          </w:r>
          <w:r>
            <w:rPr>
              <w:sz w:val="24"/>
              <w:szCs w:val="24"/>
            </w:rPr>
            <w:tab/>
          </w:r>
          <w:r>
            <w:rPr>
              <w:sz w:val="24"/>
              <w:szCs w:val="24"/>
            </w:rPr>
            <w:fldChar w:fldCharType="begin"/>
          </w:r>
          <w:r>
            <w:rPr>
              <w:sz w:val="24"/>
              <w:szCs w:val="24"/>
            </w:rPr>
            <w:instrText xml:space="preserve"> PAGEREF _Toc4954 \h </w:instrText>
          </w:r>
          <w:r>
            <w:rPr>
              <w:sz w:val="24"/>
              <w:szCs w:val="24"/>
            </w:rPr>
            <w:fldChar w:fldCharType="separate"/>
          </w:r>
          <w:r>
            <w:rPr>
              <w:sz w:val="24"/>
              <w:szCs w:val="24"/>
            </w:rPr>
            <w:t>46</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_Toc18137 </w:instrText>
          </w:r>
          <w:r>
            <w:rPr>
              <w:bCs/>
              <w:sz w:val="24"/>
              <w:szCs w:val="24"/>
              <w:lang w:val="zh-CN"/>
            </w:rPr>
            <w:fldChar w:fldCharType="separate"/>
          </w:r>
          <w:r>
            <w:rPr>
              <w:rFonts w:eastAsia="黑体"/>
              <w:sz w:val="24"/>
              <w:szCs w:val="24"/>
            </w:rPr>
            <w:t>六、结论</w:t>
          </w:r>
          <w:r>
            <w:rPr>
              <w:sz w:val="24"/>
              <w:szCs w:val="24"/>
            </w:rPr>
            <w:tab/>
          </w:r>
          <w:r>
            <w:rPr>
              <w:sz w:val="24"/>
              <w:szCs w:val="24"/>
            </w:rPr>
            <w:fldChar w:fldCharType="begin"/>
          </w:r>
          <w:r>
            <w:rPr>
              <w:sz w:val="24"/>
              <w:szCs w:val="24"/>
            </w:rPr>
            <w:instrText xml:space="preserve"> PAGEREF _Toc18137 \h </w:instrText>
          </w:r>
          <w:r>
            <w:rPr>
              <w:sz w:val="24"/>
              <w:szCs w:val="24"/>
            </w:rPr>
            <w:fldChar w:fldCharType="separate"/>
          </w:r>
          <w:r>
            <w:rPr>
              <w:sz w:val="24"/>
              <w:szCs w:val="24"/>
            </w:rPr>
            <w:t>48</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_Toc23096 </w:instrText>
          </w:r>
          <w:r>
            <w:rPr>
              <w:bCs/>
              <w:sz w:val="24"/>
              <w:szCs w:val="24"/>
              <w:lang w:val="zh-CN"/>
            </w:rPr>
            <w:fldChar w:fldCharType="separate"/>
          </w:r>
          <w:r>
            <w:rPr>
              <w:rFonts w:eastAsia="黑体"/>
              <w:sz w:val="24"/>
              <w:szCs w:val="24"/>
            </w:rPr>
            <w:t>附表</w:t>
          </w:r>
          <w:r>
            <w:rPr>
              <w:sz w:val="24"/>
              <w:szCs w:val="24"/>
            </w:rPr>
            <w:tab/>
          </w:r>
          <w:r>
            <w:rPr>
              <w:sz w:val="24"/>
              <w:szCs w:val="24"/>
            </w:rPr>
            <w:fldChar w:fldCharType="begin"/>
          </w:r>
          <w:r>
            <w:rPr>
              <w:sz w:val="24"/>
              <w:szCs w:val="24"/>
            </w:rPr>
            <w:instrText xml:space="preserve"> PAGEREF _Toc23096 \h </w:instrText>
          </w:r>
          <w:r>
            <w:rPr>
              <w:sz w:val="24"/>
              <w:szCs w:val="24"/>
            </w:rPr>
            <w:fldChar w:fldCharType="separate"/>
          </w:r>
          <w:r>
            <w:rPr>
              <w:sz w:val="24"/>
              <w:szCs w:val="24"/>
            </w:rPr>
            <w:t>49</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_Toc30453 </w:instrText>
          </w:r>
          <w:r>
            <w:rPr>
              <w:bCs/>
              <w:sz w:val="24"/>
              <w:szCs w:val="24"/>
              <w:lang w:val="zh-CN"/>
            </w:rPr>
            <w:fldChar w:fldCharType="separate"/>
          </w:r>
          <w:r>
            <w:rPr>
              <w:sz w:val="24"/>
              <w:szCs w:val="24"/>
            </w:rPr>
            <w:t>附图</w:t>
          </w:r>
          <w:r>
            <w:rPr>
              <w:rFonts w:hint="eastAsia"/>
              <w:sz w:val="24"/>
              <w:szCs w:val="24"/>
            </w:rPr>
            <w:t xml:space="preserve">1 </w:t>
          </w:r>
          <w:r>
            <w:rPr>
              <w:sz w:val="24"/>
              <w:szCs w:val="24"/>
            </w:rPr>
            <w:t>地理位置图</w:t>
          </w:r>
          <w:r>
            <w:rPr>
              <w:sz w:val="24"/>
              <w:szCs w:val="24"/>
            </w:rPr>
            <w:drawing>
              <wp:inline distT="0" distB="0" distL="114300" distR="114300">
                <wp:extent cx="0" cy="0"/>
                <wp:effectExtent l="0" t="0" r="0" b="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sz w:val="24"/>
              <w:szCs w:val="24"/>
            </w:rPr>
            <w:tab/>
          </w:r>
          <w:r>
            <w:rPr>
              <w:sz w:val="24"/>
              <w:szCs w:val="24"/>
            </w:rPr>
            <w:fldChar w:fldCharType="begin"/>
          </w:r>
          <w:r>
            <w:rPr>
              <w:sz w:val="24"/>
              <w:szCs w:val="24"/>
            </w:rPr>
            <w:instrText xml:space="preserve"> PAGEREF _Toc30453 \h </w:instrText>
          </w:r>
          <w:r>
            <w:rPr>
              <w:sz w:val="24"/>
              <w:szCs w:val="24"/>
            </w:rPr>
            <w:fldChar w:fldCharType="separate"/>
          </w:r>
          <w:r>
            <w:rPr>
              <w:sz w:val="24"/>
              <w:szCs w:val="24"/>
            </w:rPr>
            <w:t>50</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_Toc15077 </w:instrText>
          </w:r>
          <w:r>
            <w:rPr>
              <w:bCs/>
              <w:sz w:val="24"/>
              <w:szCs w:val="24"/>
              <w:lang w:val="zh-CN"/>
            </w:rPr>
            <w:fldChar w:fldCharType="separate"/>
          </w:r>
          <w:r>
            <w:rPr>
              <w:sz w:val="24"/>
              <w:szCs w:val="24"/>
              <w:highlight w:val="none"/>
            </w:rPr>
            <w:t>附图</w:t>
          </w:r>
          <w:r>
            <w:rPr>
              <w:rFonts w:hint="eastAsia"/>
              <w:sz w:val="24"/>
              <w:szCs w:val="24"/>
              <w:highlight w:val="none"/>
            </w:rPr>
            <w:t xml:space="preserve">2 </w:t>
          </w:r>
          <w:r>
            <w:rPr>
              <w:sz w:val="24"/>
              <w:szCs w:val="24"/>
              <w:highlight w:val="none"/>
            </w:rPr>
            <w:t>平面布置图</w:t>
          </w:r>
          <w:r>
            <w:rPr>
              <w:sz w:val="24"/>
              <w:szCs w:val="24"/>
            </w:rPr>
            <w:tab/>
          </w:r>
          <w:r>
            <w:rPr>
              <w:sz w:val="24"/>
              <w:szCs w:val="24"/>
            </w:rPr>
            <w:fldChar w:fldCharType="begin"/>
          </w:r>
          <w:r>
            <w:rPr>
              <w:sz w:val="24"/>
              <w:szCs w:val="24"/>
            </w:rPr>
            <w:instrText xml:space="preserve"> PAGEREF _Toc15077 \h </w:instrText>
          </w:r>
          <w:r>
            <w:rPr>
              <w:sz w:val="24"/>
              <w:szCs w:val="24"/>
            </w:rPr>
            <w:fldChar w:fldCharType="separate"/>
          </w:r>
          <w:r>
            <w:rPr>
              <w:sz w:val="24"/>
              <w:szCs w:val="24"/>
            </w:rPr>
            <w:t>51</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_Toc1165 </w:instrText>
          </w:r>
          <w:r>
            <w:rPr>
              <w:bCs/>
              <w:sz w:val="24"/>
              <w:szCs w:val="24"/>
              <w:lang w:val="zh-CN"/>
            </w:rPr>
            <w:fldChar w:fldCharType="separate"/>
          </w:r>
          <w:r>
            <w:rPr>
              <w:sz w:val="24"/>
              <w:szCs w:val="24"/>
              <w:highlight w:val="none"/>
            </w:rPr>
            <w:t>附图</w:t>
          </w:r>
          <w:r>
            <w:rPr>
              <w:rFonts w:hint="eastAsia"/>
              <w:sz w:val="24"/>
              <w:szCs w:val="24"/>
              <w:highlight w:val="none"/>
              <w:lang w:val="en-US" w:eastAsia="zh-CN"/>
            </w:rPr>
            <w:t>3</w:t>
          </w:r>
          <w:r>
            <w:rPr>
              <w:rFonts w:hint="eastAsia"/>
              <w:sz w:val="24"/>
              <w:szCs w:val="24"/>
              <w:highlight w:val="none"/>
            </w:rPr>
            <w:t xml:space="preserve"> </w:t>
          </w:r>
          <w:r>
            <w:rPr>
              <w:rFonts w:hint="eastAsia"/>
              <w:sz w:val="24"/>
              <w:szCs w:val="24"/>
              <w:lang w:val="en-US" w:eastAsia="zh-CN"/>
            </w:rPr>
            <w:t>商品混凝土搅拌站平面图</w:t>
          </w:r>
          <w:r>
            <w:rPr>
              <w:sz w:val="24"/>
              <w:szCs w:val="24"/>
            </w:rPr>
            <w:tab/>
          </w:r>
          <w:r>
            <w:rPr>
              <w:sz w:val="24"/>
              <w:szCs w:val="24"/>
            </w:rPr>
            <w:fldChar w:fldCharType="begin"/>
          </w:r>
          <w:r>
            <w:rPr>
              <w:sz w:val="24"/>
              <w:szCs w:val="24"/>
            </w:rPr>
            <w:instrText xml:space="preserve"> PAGEREF _Toc1165 \h </w:instrText>
          </w:r>
          <w:r>
            <w:rPr>
              <w:sz w:val="24"/>
              <w:szCs w:val="24"/>
            </w:rPr>
            <w:fldChar w:fldCharType="separate"/>
          </w:r>
          <w:r>
            <w:rPr>
              <w:sz w:val="24"/>
              <w:szCs w:val="24"/>
            </w:rPr>
            <w:t>52</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_Toc31581 </w:instrText>
          </w:r>
          <w:r>
            <w:rPr>
              <w:bCs/>
              <w:sz w:val="24"/>
              <w:szCs w:val="24"/>
              <w:lang w:val="zh-CN"/>
            </w:rPr>
            <w:fldChar w:fldCharType="separate"/>
          </w:r>
          <w:r>
            <w:rPr>
              <w:rFonts w:hint="eastAsia" w:ascii="Times New Roman" w:hAnsi="Times New Roman" w:eastAsia="宋体" w:cs="Times New Roman"/>
              <w:bCs/>
              <w:kern w:val="44"/>
              <w:sz w:val="24"/>
              <w:szCs w:val="24"/>
              <w:lang w:val="en-US" w:eastAsia="zh-CN" w:bidi="ar-SA"/>
            </w:rPr>
            <w:t>附图4 水泥稳定碎石搅拌站平面图</w:t>
          </w:r>
          <w:r>
            <w:rPr>
              <w:sz w:val="24"/>
              <w:szCs w:val="24"/>
            </w:rPr>
            <w:tab/>
          </w:r>
          <w:r>
            <w:rPr>
              <w:sz w:val="24"/>
              <w:szCs w:val="24"/>
            </w:rPr>
            <w:fldChar w:fldCharType="begin"/>
          </w:r>
          <w:r>
            <w:rPr>
              <w:sz w:val="24"/>
              <w:szCs w:val="24"/>
            </w:rPr>
            <w:instrText xml:space="preserve"> PAGEREF _Toc31581 \h </w:instrText>
          </w:r>
          <w:r>
            <w:rPr>
              <w:sz w:val="24"/>
              <w:szCs w:val="24"/>
            </w:rPr>
            <w:fldChar w:fldCharType="separate"/>
          </w:r>
          <w:r>
            <w:rPr>
              <w:sz w:val="24"/>
              <w:szCs w:val="24"/>
            </w:rPr>
            <w:t>53</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_Toc7936 </w:instrText>
          </w:r>
          <w:r>
            <w:rPr>
              <w:bCs/>
              <w:sz w:val="24"/>
              <w:szCs w:val="24"/>
              <w:lang w:val="zh-CN"/>
            </w:rPr>
            <w:fldChar w:fldCharType="separate"/>
          </w:r>
          <w:r>
            <w:rPr>
              <w:sz w:val="24"/>
              <w:szCs w:val="24"/>
            </w:rPr>
            <w:t>附件</w:t>
          </w:r>
          <w:r>
            <w:rPr>
              <w:rFonts w:hint="eastAsia"/>
              <w:sz w:val="24"/>
              <w:szCs w:val="24"/>
            </w:rPr>
            <w:t xml:space="preserve">1 </w:t>
          </w:r>
          <w:r>
            <w:rPr>
              <w:sz w:val="24"/>
              <w:szCs w:val="24"/>
            </w:rPr>
            <w:t>营业执照</w:t>
          </w:r>
          <w:r>
            <w:rPr>
              <w:sz w:val="24"/>
              <w:szCs w:val="24"/>
            </w:rPr>
            <w:tab/>
          </w:r>
          <w:r>
            <w:rPr>
              <w:sz w:val="24"/>
              <w:szCs w:val="24"/>
            </w:rPr>
            <w:fldChar w:fldCharType="begin"/>
          </w:r>
          <w:r>
            <w:rPr>
              <w:sz w:val="24"/>
              <w:szCs w:val="24"/>
            </w:rPr>
            <w:instrText xml:space="preserve"> PAGEREF _Toc7936 \h </w:instrText>
          </w:r>
          <w:r>
            <w:rPr>
              <w:sz w:val="24"/>
              <w:szCs w:val="24"/>
            </w:rPr>
            <w:fldChar w:fldCharType="separate"/>
          </w:r>
          <w:r>
            <w:rPr>
              <w:sz w:val="24"/>
              <w:szCs w:val="24"/>
            </w:rPr>
            <w:t>54</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_Toc20882 </w:instrText>
          </w:r>
          <w:r>
            <w:rPr>
              <w:bCs/>
              <w:sz w:val="24"/>
              <w:szCs w:val="24"/>
              <w:lang w:val="zh-CN"/>
            </w:rPr>
            <w:fldChar w:fldCharType="separate"/>
          </w:r>
          <w:r>
            <w:rPr>
              <w:rFonts w:hint="eastAsia" w:ascii="Times New Roman" w:hAnsi="Times New Roman" w:eastAsia="宋体" w:cs="Times New Roman"/>
              <w:bCs/>
              <w:kern w:val="44"/>
              <w:sz w:val="24"/>
              <w:szCs w:val="24"/>
              <w:lang w:val="en-US" w:eastAsia="zh-CN" w:bidi="ar-SA"/>
            </w:rPr>
            <w:t>附件2 土地证</w:t>
          </w:r>
          <w:r>
            <w:rPr>
              <w:sz w:val="24"/>
              <w:szCs w:val="24"/>
            </w:rPr>
            <w:tab/>
          </w:r>
          <w:r>
            <w:rPr>
              <w:sz w:val="24"/>
              <w:szCs w:val="24"/>
            </w:rPr>
            <w:fldChar w:fldCharType="begin"/>
          </w:r>
          <w:r>
            <w:rPr>
              <w:sz w:val="24"/>
              <w:szCs w:val="24"/>
            </w:rPr>
            <w:instrText xml:space="preserve"> PAGEREF _Toc20882 \h </w:instrText>
          </w:r>
          <w:r>
            <w:rPr>
              <w:sz w:val="24"/>
              <w:szCs w:val="24"/>
            </w:rPr>
            <w:fldChar w:fldCharType="separate"/>
          </w:r>
          <w:r>
            <w:rPr>
              <w:sz w:val="24"/>
              <w:szCs w:val="24"/>
            </w:rPr>
            <w:t>55</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_Toc90 </w:instrText>
          </w:r>
          <w:r>
            <w:rPr>
              <w:bCs/>
              <w:sz w:val="24"/>
              <w:szCs w:val="24"/>
              <w:lang w:val="zh-CN"/>
            </w:rPr>
            <w:fldChar w:fldCharType="separate"/>
          </w:r>
          <w:r>
            <w:rPr>
              <w:sz w:val="24"/>
              <w:szCs w:val="24"/>
            </w:rPr>
            <w:t>附件</w:t>
          </w:r>
          <w:r>
            <w:rPr>
              <w:rFonts w:hint="eastAsia"/>
              <w:sz w:val="24"/>
              <w:szCs w:val="24"/>
              <w:lang w:val="en-US" w:eastAsia="zh-CN"/>
            </w:rPr>
            <w:t>3</w:t>
          </w:r>
          <w:r>
            <w:rPr>
              <w:rFonts w:hint="eastAsia"/>
              <w:sz w:val="24"/>
              <w:szCs w:val="24"/>
            </w:rPr>
            <w:t xml:space="preserve"> 生态环境分区管控分析报告</w:t>
          </w:r>
          <w:r>
            <w:rPr>
              <w:sz w:val="24"/>
              <w:szCs w:val="24"/>
            </w:rPr>
            <w:tab/>
          </w:r>
          <w:r>
            <w:rPr>
              <w:sz w:val="24"/>
              <w:szCs w:val="24"/>
            </w:rPr>
            <w:fldChar w:fldCharType="begin"/>
          </w:r>
          <w:r>
            <w:rPr>
              <w:sz w:val="24"/>
              <w:szCs w:val="24"/>
            </w:rPr>
            <w:instrText xml:space="preserve"> PAGEREF _Toc90 \h </w:instrText>
          </w:r>
          <w:r>
            <w:rPr>
              <w:sz w:val="24"/>
              <w:szCs w:val="24"/>
            </w:rPr>
            <w:fldChar w:fldCharType="separate"/>
          </w:r>
          <w:r>
            <w:rPr>
              <w:sz w:val="24"/>
              <w:szCs w:val="24"/>
            </w:rPr>
            <w:t>57</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_Toc951 </w:instrText>
          </w:r>
          <w:r>
            <w:rPr>
              <w:bCs/>
              <w:sz w:val="24"/>
              <w:szCs w:val="24"/>
              <w:lang w:val="zh-CN"/>
            </w:rPr>
            <w:fldChar w:fldCharType="separate"/>
          </w:r>
          <w:r>
            <w:rPr>
              <w:sz w:val="24"/>
              <w:szCs w:val="24"/>
            </w:rPr>
            <w:t>附件</w:t>
          </w:r>
          <w:r>
            <w:rPr>
              <w:rFonts w:hint="eastAsia"/>
              <w:sz w:val="24"/>
              <w:szCs w:val="24"/>
              <w:lang w:val="en-US" w:eastAsia="zh-CN"/>
            </w:rPr>
            <w:t>4</w:t>
          </w:r>
          <w:r>
            <w:rPr>
              <w:rFonts w:hint="eastAsia"/>
              <w:sz w:val="24"/>
              <w:szCs w:val="24"/>
            </w:rPr>
            <w:t xml:space="preserve"> </w:t>
          </w:r>
          <w:r>
            <w:rPr>
              <w:rFonts w:hint="eastAsia"/>
              <w:sz w:val="24"/>
              <w:szCs w:val="24"/>
              <w:lang w:val="en-US" w:eastAsia="zh-CN"/>
            </w:rPr>
            <w:t>原有环评批复</w:t>
          </w:r>
          <w:r>
            <w:rPr>
              <w:sz w:val="24"/>
              <w:szCs w:val="24"/>
            </w:rPr>
            <w:tab/>
          </w:r>
          <w:r>
            <w:rPr>
              <w:sz w:val="24"/>
              <w:szCs w:val="24"/>
            </w:rPr>
            <w:fldChar w:fldCharType="begin"/>
          </w:r>
          <w:r>
            <w:rPr>
              <w:sz w:val="24"/>
              <w:szCs w:val="24"/>
            </w:rPr>
            <w:instrText xml:space="preserve"> PAGEREF _Toc951 \h </w:instrText>
          </w:r>
          <w:r>
            <w:rPr>
              <w:sz w:val="24"/>
              <w:szCs w:val="24"/>
            </w:rPr>
            <w:fldChar w:fldCharType="separate"/>
          </w:r>
          <w:r>
            <w:rPr>
              <w:sz w:val="24"/>
              <w:szCs w:val="24"/>
            </w:rPr>
            <w:t>67</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_Toc24823 </w:instrText>
          </w:r>
          <w:r>
            <w:rPr>
              <w:bCs/>
              <w:sz w:val="24"/>
              <w:szCs w:val="24"/>
              <w:lang w:val="zh-CN"/>
            </w:rPr>
            <w:fldChar w:fldCharType="separate"/>
          </w:r>
          <w:r>
            <w:rPr>
              <w:sz w:val="24"/>
              <w:szCs w:val="24"/>
            </w:rPr>
            <w:t>附件</w:t>
          </w:r>
          <w:r>
            <w:rPr>
              <w:rFonts w:hint="eastAsia"/>
              <w:sz w:val="24"/>
              <w:szCs w:val="24"/>
              <w:lang w:val="en-US" w:eastAsia="zh-CN"/>
            </w:rPr>
            <w:t>5 原有验收专家意见</w:t>
          </w:r>
          <w:r>
            <w:rPr>
              <w:sz w:val="24"/>
              <w:szCs w:val="24"/>
            </w:rPr>
            <w:tab/>
          </w:r>
          <w:r>
            <w:rPr>
              <w:sz w:val="24"/>
              <w:szCs w:val="24"/>
            </w:rPr>
            <w:fldChar w:fldCharType="begin"/>
          </w:r>
          <w:r>
            <w:rPr>
              <w:sz w:val="24"/>
              <w:szCs w:val="24"/>
            </w:rPr>
            <w:instrText xml:space="preserve"> PAGEREF _Toc24823 \h </w:instrText>
          </w:r>
          <w:r>
            <w:rPr>
              <w:sz w:val="24"/>
              <w:szCs w:val="24"/>
            </w:rPr>
            <w:fldChar w:fldCharType="separate"/>
          </w:r>
          <w:r>
            <w:rPr>
              <w:sz w:val="24"/>
              <w:szCs w:val="24"/>
            </w:rPr>
            <w:t>70</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rPr>
              <w:sz w:val="24"/>
              <w:szCs w:val="24"/>
            </w:rPr>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_Toc4065 </w:instrText>
          </w:r>
          <w:r>
            <w:rPr>
              <w:bCs/>
              <w:sz w:val="24"/>
              <w:szCs w:val="24"/>
              <w:lang w:val="zh-CN"/>
            </w:rPr>
            <w:fldChar w:fldCharType="separate"/>
          </w:r>
          <w:r>
            <w:rPr>
              <w:rFonts w:hint="eastAsia" w:ascii="Times New Roman" w:hAnsi="Times New Roman" w:eastAsia="宋体" w:cs="Times New Roman"/>
              <w:sz w:val="24"/>
              <w:szCs w:val="24"/>
              <w:lang w:val="en-US" w:eastAsia="zh-CN"/>
            </w:rPr>
            <w:t>附件 6 监测报告</w:t>
          </w:r>
          <w:r>
            <w:rPr>
              <w:sz w:val="24"/>
              <w:szCs w:val="24"/>
            </w:rPr>
            <w:tab/>
          </w:r>
          <w:r>
            <w:rPr>
              <w:sz w:val="24"/>
              <w:szCs w:val="24"/>
            </w:rPr>
            <w:fldChar w:fldCharType="begin"/>
          </w:r>
          <w:r>
            <w:rPr>
              <w:sz w:val="24"/>
              <w:szCs w:val="24"/>
            </w:rPr>
            <w:instrText xml:space="preserve"> PAGEREF _Toc4065 \h </w:instrText>
          </w:r>
          <w:r>
            <w:rPr>
              <w:sz w:val="24"/>
              <w:szCs w:val="24"/>
            </w:rPr>
            <w:fldChar w:fldCharType="separate"/>
          </w:r>
          <w:r>
            <w:rPr>
              <w:sz w:val="24"/>
              <w:szCs w:val="24"/>
            </w:rPr>
            <w:t>75</w:t>
          </w:r>
          <w:r>
            <w:rPr>
              <w:sz w:val="24"/>
              <w:szCs w:val="24"/>
            </w:rPr>
            <w:fldChar w:fldCharType="end"/>
          </w:r>
          <w:r>
            <w:rPr>
              <w:bCs/>
              <w:color w:val="000000" w:themeColor="text1"/>
              <w:sz w:val="24"/>
              <w:szCs w:val="24"/>
              <w:lang w:val="zh-CN"/>
              <w14:textFill>
                <w14:solidFill>
                  <w14:schemeClr w14:val="tx1"/>
                </w14:solidFill>
              </w14:textFill>
            </w:rPr>
            <w:fldChar w:fldCharType="end"/>
          </w:r>
        </w:p>
        <w:p>
          <w:pPr>
            <w:pStyle w:val="24"/>
            <w:tabs>
              <w:tab w:val="right" w:leader="dot" w:pos="8844"/>
            </w:tabs>
            <w:spacing w:line="360" w:lineRule="auto"/>
          </w:pPr>
          <w:r>
            <w:rPr>
              <w:bCs/>
              <w:color w:val="000000" w:themeColor="text1"/>
              <w:sz w:val="24"/>
              <w:szCs w:val="24"/>
              <w:lang w:val="zh-CN"/>
              <w14:textFill>
                <w14:solidFill>
                  <w14:schemeClr w14:val="tx1"/>
                </w14:solidFill>
              </w14:textFill>
            </w:rPr>
            <w:fldChar w:fldCharType="begin"/>
          </w:r>
          <w:r>
            <w:rPr>
              <w:bCs/>
              <w:sz w:val="24"/>
              <w:szCs w:val="24"/>
              <w:lang w:val="zh-CN"/>
            </w:rPr>
            <w:instrText xml:space="preserve"> HYPERLINK \l _Toc30997 </w:instrText>
          </w:r>
          <w:r>
            <w:rPr>
              <w:bCs/>
              <w:sz w:val="24"/>
              <w:szCs w:val="24"/>
              <w:lang w:val="zh-CN"/>
            </w:rPr>
            <w:fldChar w:fldCharType="separate"/>
          </w:r>
          <w:r>
            <w:rPr>
              <w:rFonts w:hint="default" w:ascii="Times New Roman" w:hAnsi="Times New Roman" w:eastAsia="宋体" w:cs="Times New Roman"/>
              <w:sz w:val="24"/>
              <w:szCs w:val="24"/>
              <w:highlight w:val="none"/>
            </w:rPr>
            <w:t>附件</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rPr>
            <w:t xml:space="preserve"> 总量核定说明</w:t>
          </w:r>
          <w:r>
            <w:rPr>
              <w:sz w:val="24"/>
              <w:szCs w:val="24"/>
            </w:rPr>
            <w:tab/>
          </w:r>
          <w:r>
            <w:rPr>
              <w:sz w:val="24"/>
              <w:szCs w:val="24"/>
            </w:rPr>
            <w:fldChar w:fldCharType="begin"/>
          </w:r>
          <w:r>
            <w:rPr>
              <w:sz w:val="24"/>
              <w:szCs w:val="24"/>
            </w:rPr>
            <w:instrText xml:space="preserve"> PAGEREF _Toc30997 \h </w:instrText>
          </w:r>
          <w:r>
            <w:rPr>
              <w:sz w:val="24"/>
              <w:szCs w:val="24"/>
            </w:rPr>
            <w:fldChar w:fldCharType="separate"/>
          </w:r>
          <w:r>
            <w:rPr>
              <w:sz w:val="24"/>
              <w:szCs w:val="24"/>
            </w:rPr>
            <w:t>79</w:t>
          </w:r>
          <w:r>
            <w:rPr>
              <w:sz w:val="24"/>
              <w:szCs w:val="24"/>
            </w:rPr>
            <w:fldChar w:fldCharType="end"/>
          </w:r>
          <w:r>
            <w:rPr>
              <w:bCs/>
              <w:color w:val="000000" w:themeColor="text1"/>
              <w:sz w:val="24"/>
              <w:szCs w:val="24"/>
              <w:lang w:val="zh-CN"/>
              <w14:textFill>
                <w14:solidFill>
                  <w14:schemeClr w14:val="tx1"/>
                </w14:solidFill>
              </w14:textFill>
            </w:rPr>
            <w:fldChar w:fldCharType="end"/>
          </w:r>
        </w:p>
        <w:p>
          <w:pPr>
            <w:spacing w:line="360" w:lineRule="auto"/>
            <w:ind w:firstLine="560"/>
            <w:rPr>
              <w:color w:val="000000" w:themeColor="text1"/>
              <w14:textFill>
                <w14:solidFill>
                  <w14:schemeClr w14:val="tx1"/>
                </w14:solidFill>
              </w14:textFill>
            </w:rPr>
          </w:pPr>
          <w:r>
            <w:rPr>
              <w:bCs/>
              <w:color w:val="000000" w:themeColor="text1"/>
              <w:szCs w:val="28"/>
              <w:lang w:val="zh-CN"/>
              <w14:textFill>
                <w14:solidFill>
                  <w14:schemeClr w14:val="tx1"/>
                </w14:solidFill>
              </w14:textFill>
            </w:rPr>
            <w:fldChar w:fldCharType="end"/>
          </w:r>
        </w:p>
      </w:sdtContent>
    </w:sdt>
    <w:p>
      <w:pPr>
        <w:spacing w:line="360" w:lineRule="auto"/>
        <w:ind w:firstLine="480" w:firstLineChars="200"/>
        <w:rPr>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ind w:firstLine="600"/>
        <w:jc w:val="center"/>
        <w:outlineLvl w:val="0"/>
        <w:rPr>
          <w:rFonts w:eastAsia="黑体"/>
          <w:color w:val="000000" w:themeColor="text1"/>
          <w:sz w:val="30"/>
          <w:szCs w:val="30"/>
          <w14:textFill>
            <w14:solidFill>
              <w14:schemeClr w14:val="tx1"/>
            </w14:solidFill>
          </w14:textFill>
        </w:rPr>
      </w:pPr>
      <w:bookmarkStart w:id="3" w:name="_Toc2706"/>
      <w:r>
        <w:rPr>
          <w:rFonts w:eastAsia="黑体"/>
          <w:color w:val="000000" w:themeColor="text1"/>
          <w:sz w:val="30"/>
          <w:szCs w:val="30"/>
          <w14:textFill>
            <w14:solidFill>
              <w14:schemeClr w14:val="tx1"/>
            </w14:solidFill>
          </w14:textFill>
        </w:rPr>
        <w:t>一、建设项目基本情况</w:t>
      </w:r>
      <w:bookmarkEnd w:id="3"/>
    </w:p>
    <w:tbl>
      <w:tblPr>
        <w:tblStyle w:val="33"/>
        <w:tblW w:w="91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
      <w:tblGrid>
        <w:gridCol w:w="1821"/>
        <w:gridCol w:w="2030"/>
        <w:gridCol w:w="1952"/>
        <w:gridCol w:w="3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7281" w:type="dxa"/>
            <w:gridSpan w:val="3"/>
            <w:tcBorders>
              <w:tl2br w:val="nil"/>
              <w:tr2bl w:val="nil"/>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嘉荫县万邦商混有限公司商品混凝土搅拌站扩建项目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438"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7281" w:type="dxa"/>
            <w:gridSpan w:val="3"/>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528"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2030" w:type="dxa"/>
            <w:tcBorders>
              <w:tl2br w:val="nil"/>
              <w:tr2bl w:val="nil"/>
            </w:tcBorders>
            <w:vAlign w:val="center"/>
          </w:tcPr>
          <w:p>
            <w:pPr>
              <w:jc w:val="center"/>
              <w:rPr>
                <w:color w:val="000000" w:themeColor="text1"/>
                <w14:textFill>
                  <w14:solidFill>
                    <w14:schemeClr w14:val="tx1"/>
                  </w14:solidFill>
                </w14:textFill>
              </w:rPr>
            </w:pPr>
          </w:p>
        </w:tc>
        <w:tc>
          <w:tcPr>
            <w:tcW w:w="195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3299" w:type="dxa"/>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447"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7281" w:type="dxa"/>
            <w:gridSpan w:val="3"/>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宋体"/>
                <w:color w:val="000000"/>
                <w:kern w:val="2"/>
                <w:sz w:val="24"/>
                <w:szCs w:val="21"/>
                <w:highlight w:val="none"/>
                <w:lang w:val="en-US" w:eastAsia="zh-CN" w:bidi="ar-SA"/>
              </w:rPr>
            </w:pPr>
            <w:r>
              <w:rPr>
                <w:rFonts w:hint="eastAsia" w:ascii="Times New Roman" w:hAnsi="Times New Roman" w:cs="Times New Roman"/>
                <w:color w:val="000000" w:themeColor="text1"/>
                <w:szCs w:val="21"/>
                <w:lang w:val="en-US" w:eastAsia="zh-CN"/>
                <w14:textFill>
                  <w14:solidFill>
                    <w14:schemeClr w14:val="tx1"/>
                  </w14:solidFill>
                </w14:textFill>
              </w:rPr>
              <w:t>嘉荫县朝阳镇恐龙大道3号</w:t>
            </w:r>
            <w:r>
              <w:rPr>
                <w:rFonts w:hint="eastAsia"/>
                <w:color w:val="000000" w:themeColor="text1"/>
                <w:lang w:eastAsia="zh-CN"/>
                <w14:textFill>
                  <w14:solidFill>
                    <w14:schemeClr w14:val="tx1"/>
                  </w14:solidFill>
                </w14:textFill>
              </w:rPr>
              <w:t>嘉荫县万邦商混有限公司</w:t>
            </w:r>
            <w:r>
              <w:rPr>
                <w:rFonts w:hint="eastAsia"/>
                <w:color w:val="000000" w:themeColor="text1"/>
                <w:lang w:val="en-US" w:eastAsia="zh-CN"/>
                <w14:textFill>
                  <w14:solidFill>
                    <w14:schemeClr w14:val="tx1"/>
                  </w14:solidFill>
                </w14:textFill>
              </w:rPr>
              <w:t>院内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502"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7281" w:type="dxa"/>
            <w:gridSpan w:val="3"/>
            <w:tcBorders>
              <w:tl2br w:val="nil"/>
              <w:tr2bl w:val="nil"/>
            </w:tcBorders>
            <w:shd w:val="clear" w:color="auto" w:fill="auto"/>
            <w:vAlign w:val="center"/>
          </w:tcPr>
          <w:p>
            <w:pPr>
              <w:spacing w:line="240" w:lineRule="auto"/>
              <w:jc w:val="center"/>
              <w:rPr>
                <w:rFonts w:hint="eastAsia" w:ascii="Times New Roman" w:hAnsi="Times New Roman" w:eastAsia="宋体" w:cs="宋体"/>
                <w:color w:val="000000"/>
                <w:kern w:val="2"/>
                <w:sz w:val="24"/>
                <w:szCs w:val="21"/>
                <w:highlight w:val="none"/>
                <w:lang w:val="en-US" w:eastAsia="zh-CN" w:bidi="ar-SA"/>
              </w:rPr>
            </w:pPr>
            <w:r>
              <w:rPr>
                <w:rFonts w:hint="eastAsia" w:ascii="Times New Roman" w:hAnsi="Times New Roman" w:eastAsia="宋体" w:cs="宋体"/>
                <w:color w:val="000000"/>
                <w:szCs w:val="21"/>
                <w:highlight w:val="none"/>
              </w:rPr>
              <w:t>（</w:t>
            </w:r>
            <w:r>
              <w:rPr>
                <w:rFonts w:hint="eastAsia" w:ascii="Times New Roman" w:hAnsi="Times New Roman" w:eastAsia="宋体" w:cs="宋体"/>
                <w:color w:val="000000"/>
                <w:szCs w:val="21"/>
                <w:highlight w:val="none"/>
                <w:u w:val="single"/>
              </w:rPr>
              <w:t>1</w:t>
            </w:r>
            <w:r>
              <w:rPr>
                <w:rFonts w:hint="eastAsia" w:cs="宋体"/>
                <w:color w:val="000000"/>
                <w:szCs w:val="21"/>
                <w:highlight w:val="none"/>
                <w:u w:val="single"/>
                <w:lang w:val="en-US" w:eastAsia="zh-CN"/>
              </w:rPr>
              <w:t>30</w:t>
            </w:r>
            <w:r>
              <w:rPr>
                <w:rFonts w:hint="eastAsia" w:ascii="Times New Roman" w:hAnsi="Times New Roman" w:eastAsia="宋体" w:cs="宋体"/>
                <w:color w:val="000000"/>
                <w:szCs w:val="21"/>
                <w:highlight w:val="none"/>
              </w:rPr>
              <w:t>度</w:t>
            </w:r>
            <w:r>
              <w:rPr>
                <w:rFonts w:hint="eastAsia" w:cs="宋体"/>
                <w:color w:val="000000"/>
                <w:szCs w:val="21"/>
                <w:highlight w:val="none"/>
                <w:u w:val="single"/>
                <w:lang w:val="en-US" w:eastAsia="zh-CN"/>
              </w:rPr>
              <w:t>25</w:t>
            </w:r>
            <w:r>
              <w:rPr>
                <w:rFonts w:hint="eastAsia" w:ascii="Times New Roman" w:hAnsi="Times New Roman" w:eastAsia="宋体" w:cs="宋体"/>
                <w:color w:val="000000"/>
                <w:szCs w:val="21"/>
                <w:highlight w:val="none"/>
              </w:rPr>
              <w:t>分</w:t>
            </w:r>
            <w:r>
              <w:rPr>
                <w:rFonts w:hint="eastAsia" w:cs="宋体"/>
                <w:color w:val="000000"/>
                <w:szCs w:val="21"/>
                <w:highlight w:val="none"/>
                <w:u w:val="single"/>
                <w:lang w:val="en-US" w:eastAsia="zh-CN"/>
              </w:rPr>
              <w:t>15.246</w:t>
            </w:r>
            <w:r>
              <w:rPr>
                <w:rFonts w:hint="eastAsia" w:ascii="Times New Roman" w:hAnsi="Times New Roman" w:eastAsia="宋体" w:cs="宋体"/>
                <w:color w:val="000000"/>
                <w:szCs w:val="21"/>
                <w:highlight w:val="none"/>
              </w:rPr>
              <w:t>秒，</w:t>
            </w:r>
            <w:r>
              <w:rPr>
                <w:rFonts w:hint="eastAsia" w:ascii="Times New Roman" w:hAnsi="Times New Roman" w:eastAsia="宋体" w:cs="宋体"/>
                <w:color w:val="000000"/>
                <w:szCs w:val="21"/>
                <w:highlight w:val="none"/>
                <w:u w:val="single"/>
              </w:rPr>
              <w:t>4</w:t>
            </w:r>
            <w:r>
              <w:rPr>
                <w:rFonts w:hint="eastAsia" w:cs="宋体"/>
                <w:color w:val="000000"/>
                <w:szCs w:val="21"/>
                <w:highlight w:val="none"/>
                <w:u w:val="single"/>
                <w:lang w:val="en-US" w:eastAsia="zh-CN"/>
              </w:rPr>
              <w:t>8</w:t>
            </w:r>
            <w:r>
              <w:rPr>
                <w:rFonts w:hint="eastAsia" w:ascii="Times New Roman" w:hAnsi="Times New Roman" w:eastAsia="宋体" w:cs="宋体"/>
                <w:color w:val="000000"/>
                <w:szCs w:val="21"/>
                <w:highlight w:val="none"/>
              </w:rPr>
              <w:t>度</w:t>
            </w:r>
            <w:r>
              <w:rPr>
                <w:rFonts w:hint="eastAsia" w:cs="宋体"/>
                <w:color w:val="000000"/>
                <w:szCs w:val="21"/>
                <w:highlight w:val="none"/>
                <w:u w:val="single"/>
                <w:lang w:val="en-US" w:eastAsia="zh-CN"/>
              </w:rPr>
              <w:t>53</w:t>
            </w:r>
            <w:r>
              <w:rPr>
                <w:rFonts w:hint="eastAsia" w:ascii="Times New Roman" w:hAnsi="Times New Roman" w:eastAsia="宋体" w:cs="宋体"/>
                <w:color w:val="000000"/>
                <w:szCs w:val="21"/>
                <w:highlight w:val="none"/>
              </w:rPr>
              <w:t>分</w:t>
            </w:r>
            <w:r>
              <w:rPr>
                <w:rFonts w:hint="eastAsia" w:cs="宋体"/>
                <w:color w:val="000000"/>
                <w:szCs w:val="21"/>
                <w:highlight w:val="none"/>
                <w:u w:val="single"/>
                <w:lang w:val="en-US" w:eastAsia="zh-CN"/>
              </w:rPr>
              <w:t>34.532</w:t>
            </w:r>
            <w:r>
              <w:rPr>
                <w:rFonts w:hint="eastAsia" w:ascii="Times New Roman" w:hAnsi="Times New Roman" w:eastAsia="宋体" w:cs="宋体"/>
                <w:color w:val="000000"/>
                <w:szCs w:val="21"/>
                <w:highlight w:val="none"/>
              </w:rPr>
              <w:t>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国民经济</w:t>
            </w:r>
          </w:p>
          <w:p>
            <w:pPr>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2030"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水泥制品制造</w:t>
            </w:r>
          </w:p>
          <w:p>
            <w:pPr>
              <w:jc w:val="center"/>
              <w:rPr>
                <w:color w:val="000000" w:themeColor="text1"/>
                <w14:textFill>
                  <w14:solidFill>
                    <w14:schemeClr w14:val="tx1"/>
                  </w14:solidFill>
                </w14:textFill>
              </w:rPr>
            </w:pPr>
            <w:r>
              <w:rPr>
                <w:color w:val="000000" w:themeColor="text1"/>
                <w14:textFill>
                  <w14:solidFill>
                    <w14:schemeClr w14:val="tx1"/>
                  </w14:solidFill>
                </w14:textFill>
              </w:rPr>
              <w:t>C3021</w:t>
            </w:r>
          </w:p>
        </w:tc>
        <w:tc>
          <w:tcPr>
            <w:tcW w:w="195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pPr>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3299" w:type="dxa"/>
            <w:tcBorders>
              <w:tl2br w:val="nil"/>
              <w:tr2bl w:val="nil"/>
            </w:tcBorders>
            <w:vAlign w:val="center"/>
          </w:tcPr>
          <w:p>
            <w:pPr>
              <w:rPr>
                <w:bCs/>
                <w:color w:val="000000" w:themeColor="text1"/>
                <w14:textFill>
                  <w14:solidFill>
                    <w14:schemeClr w14:val="tx1"/>
                  </w14:solidFill>
                </w14:textFill>
              </w:rPr>
            </w:pPr>
            <w:r>
              <w:rPr>
                <w:color w:val="000000" w:themeColor="text1"/>
                <w:lang w:bidi="ar"/>
                <w14:textFill>
                  <w14:solidFill>
                    <w14:schemeClr w14:val="tx1"/>
                  </w14:solidFill>
                </w14:textFill>
              </w:rPr>
              <w:t>二</w:t>
            </w:r>
            <w:r>
              <w:rPr>
                <w:bCs/>
                <w:color w:val="000000" w:themeColor="text1"/>
                <w14:textFill>
                  <w14:solidFill>
                    <w14:schemeClr w14:val="tx1"/>
                  </w14:solidFill>
                </w14:textFill>
              </w:rPr>
              <w:t>十七、非金属矿物制品业，55、石膏、水泥制品及类似制品制造302商品混凝土；砼结构构件制造；水泥制品制造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030" w:type="dxa"/>
            <w:tcBorders>
              <w:tl2br w:val="nil"/>
              <w:tr2bl w:val="nil"/>
            </w:tcBorders>
            <w:vAlign w:val="center"/>
          </w:tcPr>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新建（迁建）</w:t>
            </w:r>
          </w:p>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改建</w:t>
            </w:r>
          </w:p>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FE"/>
            </w:r>
            <w:r>
              <w:rPr>
                <w:color w:val="000000" w:themeColor="text1"/>
                <w14:textFill>
                  <w14:solidFill>
                    <w14:schemeClr w14:val="tx1"/>
                  </w14:solidFill>
                </w14:textFill>
              </w:rPr>
              <w:t>扩建</w:t>
            </w:r>
          </w:p>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技术改造</w:t>
            </w:r>
          </w:p>
        </w:tc>
        <w:tc>
          <w:tcPr>
            <w:tcW w:w="195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pPr>
              <w:jc w:val="center"/>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3299" w:type="dxa"/>
            <w:tcBorders>
              <w:tl2br w:val="nil"/>
              <w:tr2bl w:val="nil"/>
            </w:tcBorders>
            <w:vAlign w:val="center"/>
          </w:tcPr>
          <w:p>
            <w:pPr>
              <w:jc w:val="left"/>
              <w:rPr>
                <w:color w:val="000000" w:themeColor="text1"/>
                <w14:textFill>
                  <w14:solidFill>
                    <w14:schemeClr w14:val="tx1"/>
                  </w14:solidFill>
                </w14:textFill>
              </w:rPr>
            </w:pPr>
            <w:r>
              <w:rPr>
                <w:color w:val="000000" w:themeColor="text1"/>
                <w14:textFill>
                  <w14:solidFill>
                    <w14:schemeClr w14:val="tx1"/>
                  </w14:solidFill>
                </w14:textFill>
              </w:rPr>
              <w:sym w:font="Wingdings" w:char="00FE"/>
            </w:r>
            <w:r>
              <w:rPr>
                <w:color w:val="000000" w:themeColor="text1"/>
                <w14:textFill>
                  <w14:solidFill>
                    <w14:schemeClr w14:val="tx1"/>
                  </w14:solidFill>
                </w14:textFill>
              </w:rPr>
              <w:t>首次申报项目</w:t>
            </w:r>
          </w:p>
          <w:p>
            <w:pPr>
              <w:jc w:val="left"/>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不予批准后再次申报项目</w:t>
            </w:r>
          </w:p>
          <w:p>
            <w:pPr>
              <w:jc w:val="left"/>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超五年重新审核项目</w:t>
            </w:r>
          </w:p>
          <w:p>
            <w:pPr>
              <w:jc w:val="left"/>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项目审批（核准/备案）部门（选填）</w:t>
            </w:r>
          </w:p>
        </w:tc>
        <w:tc>
          <w:tcPr>
            <w:tcW w:w="2030"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952"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项目审批（核准/备案）文号（选填）</w:t>
            </w:r>
          </w:p>
        </w:tc>
        <w:tc>
          <w:tcPr>
            <w:tcW w:w="329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539" w:hRule="atLeast"/>
          <w:jc w:val="center"/>
        </w:trPr>
        <w:tc>
          <w:tcPr>
            <w:tcW w:w="1821" w:type="dxa"/>
            <w:tcBorders>
              <w:tl2br w:val="nil"/>
              <w:tr2bl w:val="nil"/>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总投资（万元）</w:t>
            </w:r>
          </w:p>
        </w:tc>
        <w:tc>
          <w:tcPr>
            <w:tcW w:w="2030" w:type="dxa"/>
            <w:tcBorders>
              <w:tl2br w:val="nil"/>
              <w:tr2bl w:val="nil"/>
            </w:tcBorders>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1952" w:type="dxa"/>
            <w:tcBorders>
              <w:tl2br w:val="nil"/>
              <w:tr2bl w:val="nil"/>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环保投资（万元）</w:t>
            </w:r>
          </w:p>
        </w:tc>
        <w:tc>
          <w:tcPr>
            <w:tcW w:w="3299" w:type="dxa"/>
            <w:tcBorders>
              <w:tl2br w:val="nil"/>
              <w:tr2bl w:val="nil"/>
            </w:tcBorders>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584" w:hRule="atLeast"/>
          <w:jc w:val="center"/>
        </w:trPr>
        <w:tc>
          <w:tcPr>
            <w:tcW w:w="1821" w:type="dxa"/>
            <w:tcBorders>
              <w:tl2br w:val="nil"/>
              <w:tr2bl w:val="nil"/>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环保投资占比（%）</w:t>
            </w:r>
          </w:p>
        </w:tc>
        <w:tc>
          <w:tcPr>
            <w:tcW w:w="2030" w:type="dxa"/>
            <w:tcBorders>
              <w:tl2br w:val="nil"/>
              <w:tr2bl w:val="nil"/>
            </w:tcBorders>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27.23</w:t>
            </w:r>
          </w:p>
        </w:tc>
        <w:tc>
          <w:tcPr>
            <w:tcW w:w="1952" w:type="dxa"/>
            <w:tcBorders>
              <w:tl2br w:val="nil"/>
              <w:tr2bl w:val="nil"/>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施工工期</w:t>
            </w:r>
          </w:p>
        </w:tc>
        <w:tc>
          <w:tcPr>
            <w:tcW w:w="3299" w:type="dxa"/>
            <w:tcBorders>
              <w:tl2br w:val="nil"/>
              <w:tr2bl w:val="nil"/>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月</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2026年9</w:t>
            </w:r>
            <w:r>
              <w:rPr>
                <w:rFonts w:hint="eastAsia"/>
                <w:color w:val="000000" w:themeColor="text1"/>
                <w:highlight w:val="none"/>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2030" w:type="dxa"/>
            <w:tcBorders>
              <w:tl2br w:val="nil"/>
              <w:tr2bl w:val="nil"/>
            </w:tcBorders>
            <w:vAlign w:val="center"/>
          </w:tcPr>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FE"/>
            </w:r>
            <w:r>
              <w:rPr>
                <w:color w:val="000000" w:themeColor="text1"/>
                <w14:textFill>
                  <w14:solidFill>
                    <w14:schemeClr w14:val="tx1"/>
                  </w14:solidFill>
                </w14:textFill>
              </w:rPr>
              <w:t>否</w:t>
            </w:r>
          </w:p>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A8"/>
            </w:r>
            <w:r>
              <w:rPr>
                <w:color w:val="000000" w:themeColor="text1"/>
                <w14:textFill>
                  <w14:solidFill>
                    <w14:schemeClr w14:val="tx1"/>
                  </w14:solidFill>
                </w14:textFill>
              </w:rPr>
              <w:t>是：</w:t>
            </w:r>
            <w:r>
              <w:rPr>
                <w:color w:val="000000" w:themeColor="text1"/>
                <w:u w:val="single"/>
                <w14:textFill>
                  <w14:solidFill>
                    <w14:schemeClr w14:val="tx1"/>
                  </w14:solidFill>
                </w14:textFill>
              </w:rPr>
              <w:t xml:space="preserve">         </w:t>
            </w:r>
          </w:p>
        </w:tc>
        <w:tc>
          <w:tcPr>
            <w:tcW w:w="1952" w:type="dxa"/>
            <w:tcBorders>
              <w:tl2br w:val="nil"/>
              <w:tr2bl w:val="nil"/>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用地（用海）</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面积（m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tc>
        <w:tc>
          <w:tcPr>
            <w:tcW w:w="3299" w:type="dxa"/>
            <w:tcBorders>
              <w:tl2br w:val="nil"/>
              <w:tr2bl w:val="nil"/>
            </w:tcBorders>
            <w:vAlign w:val="center"/>
          </w:tcPr>
          <w:p>
            <w:pPr>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专项评价设置情况</w:t>
            </w:r>
          </w:p>
        </w:tc>
        <w:tc>
          <w:tcPr>
            <w:tcW w:w="7281" w:type="dxa"/>
            <w:gridSpan w:val="3"/>
            <w:tcBorders>
              <w:tl2br w:val="nil"/>
              <w:tr2bl w:val="nil"/>
            </w:tcBorders>
            <w:vAlign w:val="center"/>
          </w:tcPr>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要求，土壤、声环境不开展专项评价。本项目不涉及集中式饮用水水源和热水、矿泉水、温泉等特殊地下水资源保护区，不开展地下水专项评价工作。项目专项设置情况详见下表。</w:t>
            </w:r>
          </w:p>
          <w:p>
            <w:pPr>
              <w:pStyle w:val="6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 专项评价设置原则表</w:t>
            </w:r>
          </w:p>
          <w:tbl>
            <w:tblPr>
              <w:tblStyle w:val="32"/>
              <w:tblW w:w="712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913"/>
              <w:gridCol w:w="2534"/>
              <w:gridCol w:w="2642"/>
              <w:gridCol w:w="10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1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专项</w:t>
                  </w:r>
                </w:p>
              </w:tc>
              <w:tc>
                <w:tcPr>
                  <w:tcW w:w="2534"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《编制技术指南》要求</w:t>
                  </w:r>
                </w:p>
              </w:tc>
              <w:tc>
                <w:tcPr>
                  <w:tcW w:w="2642"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本项目实际情况</w:t>
                  </w:r>
                </w:p>
              </w:tc>
              <w:tc>
                <w:tcPr>
                  <w:tcW w:w="103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是否设置专项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1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大气专项</w:t>
                  </w:r>
                </w:p>
              </w:tc>
              <w:tc>
                <w:tcPr>
                  <w:tcW w:w="2534"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排放废气含有毒有害污染物、二噁英、苯并〔a〕芘、氰化物、氯气且厂界外500米范围内有环境空气保护目标的建设项目</w:t>
                  </w:r>
                </w:p>
              </w:tc>
              <w:tc>
                <w:tcPr>
                  <w:tcW w:w="2642" w:type="dxa"/>
                  <w:tcBorders>
                    <w:tl2br w:val="nil"/>
                    <w:tr2bl w:val="nil"/>
                  </w:tcBorders>
                  <w:shd w:val="clear" w:color="auto" w:fill="auto"/>
                  <w:vAlign w:val="center"/>
                </w:tcPr>
                <w:p>
                  <w:pPr>
                    <w:pStyle w:val="2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本项目排放废气中不含有毒有害污染物、二噁英、苯并[</w:t>
                  </w:r>
                  <w:r>
                    <w:rPr>
                      <w:rFonts w:hint="default" w:ascii="Times New Roman" w:hAnsi="Times New Roman" w:eastAsia="宋体" w:cs="Times New Roman"/>
                      <w:i/>
                      <w:color w:val="auto"/>
                      <w:sz w:val="21"/>
                      <w:szCs w:val="21"/>
                      <w:highlight w:val="none"/>
                    </w:rPr>
                    <w:t>a</w:t>
                  </w:r>
                  <w:r>
                    <w:rPr>
                      <w:rFonts w:hint="default" w:ascii="Times New Roman" w:hAnsi="Times New Roman" w:eastAsia="宋体" w:cs="Times New Roman"/>
                      <w:color w:val="auto"/>
                      <w:sz w:val="21"/>
                      <w:szCs w:val="21"/>
                      <w:highlight w:val="none"/>
                    </w:rPr>
                    <w:t>]芘、氰化物、氯气，不需设置大气专项评价。</w:t>
                  </w:r>
                </w:p>
              </w:tc>
              <w:tc>
                <w:tcPr>
                  <w:tcW w:w="103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1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地表水专项</w:t>
                  </w:r>
                </w:p>
              </w:tc>
              <w:tc>
                <w:tcPr>
                  <w:tcW w:w="2534"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新增工业废水直排建设项目（槽罐车外送污水处理厂的除外）</w:t>
                  </w:r>
                </w:p>
              </w:tc>
              <w:tc>
                <w:tcPr>
                  <w:tcW w:w="2642" w:type="dxa"/>
                  <w:tcBorders>
                    <w:tl2br w:val="nil"/>
                    <w:tr2bl w:val="nil"/>
                  </w:tcBorders>
                  <w:shd w:val="clear" w:color="auto" w:fill="auto"/>
                  <w:vAlign w:val="center"/>
                </w:tcPr>
                <w:p>
                  <w:pPr>
                    <w:pStyle w:val="26"/>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本项目不属于新增工业废水直排建设项目，也不属于新增废水直排的污水集中处理厂，不需设置地表水专项评价。</w:t>
                  </w:r>
                </w:p>
              </w:tc>
              <w:tc>
                <w:tcPr>
                  <w:tcW w:w="103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1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生态专项</w:t>
                  </w:r>
                </w:p>
              </w:tc>
              <w:tc>
                <w:tcPr>
                  <w:tcW w:w="2534"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2642" w:type="dxa"/>
                  <w:tcBorders>
                    <w:tl2br w:val="nil"/>
                    <w:tr2bl w:val="nil"/>
                  </w:tcBorders>
                  <w:vAlign w:val="center"/>
                </w:tcPr>
                <w:p>
                  <w:pPr>
                    <w:pStyle w:val="19"/>
                    <w:rPr>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本项目供水</w:t>
                  </w:r>
                  <w:r>
                    <w:rPr>
                      <w:rFonts w:hint="default" w:ascii="Times New Roman" w:hAnsi="Times New Roman" w:eastAsia="宋体" w:cs="Times New Roman"/>
                      <w:color w:val="auto"/>
                      <w:sz w:val="21"/>
                      <w:szCs w:val="21"/>
                      <w:highlight w:val="none"/>
                      <w:lang w:val="en-US" w:eastAsia="zh-CN"/>
                    </w:rPr>
                    <w:t>为</w:t>
                  </w:r>
                  <w:r>
                    <w:rPr>
                      <w:rFonts w:hint="eastAsia" w:ascii="Times New Roman" w:hAnsi="Times New Roman" w:eastAsia="宋体" w:cs="Times New Roman"/>
                      <w:color w:val="auto"/>
                      <w:sz w:val="21"/>
                      <w:szCs w:val="21"/>
                      <w:highlight w:val="none"/>
                      <w:lang w:val="en-US" w:eastAsia="zh-CN"/>
                    </w:rPr>
                    <w:t>市政供水管网</w:t>
                  </w:r>
                  <w:r>
                    <w:rPr>
                      <w:rFonts w:hint="default" w:ascii="Times New Roman" w:hAnsi="Times New Roman" w:eastAsia="宋体" w:cs="Times New Roman"/>
                      <w:color w:val="auto"/>
                      <w:sz w:val="21"/>
                      <w:szCs w:val="21"/>
                      <w:highlight w:val="none"/>
                      <w:lang w:val="en-US" w:eastAsia="zh-CN"/>
                    </w:rPr>
                    <w:t>，并不属于</w:t>
                  </w: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取水口下游500米范围内有重要水生生物的自然产卵场、索饵场、越冬场和洄游通道的新增河道取水的污染类建设项目，不需设置生态专项评价。</w:t>
                  </w:r>
                </w:p>
              </w:tc>
              <w:tc>
                <w:tcPr>
                  <w:tcW w:w="103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1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海洋专项</w:t>
                  </w:r>
                </w:p>
              </w:tc>
              <w:tc>
                <w:tcPr>
                  <w:tcW w:w="2534"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直接向海排放污染物的海洋工程建设项目</w:t>
                  </w:r>
                </w:p>
              </w:tc>
              <w:tc>
                <w:tcPr>
                  <w:tcW w:w="2642" w:type="dxa"/>
                  <w:tcBorders>
                    <w:tl2br w:val="nil"/>
                    <w:tr2bl w:val="nil"/>
                  </w:tcBorders>
                  <w:vAlign w:val="center"/>
                </w:tcPr>
                <w:p>
                  <w:pPr>
                    <w:pStyle w:val="19"/>
                    <w:rPr>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本项目不属于海洋工程，</w:t>
                  </w:r>
                  <w:r>
                    <w:rPr>
                      <w:rFonts w:hint="default" w:ascii="Times New Roman" w:hAnsi="Times New Roman" w:eastAsia="宋体" w:cs="Times New Roman"/>
                      <w:color w:val="auto"/>
                      <w:sz w:val="21"/>
                      <w:szCs w:val="21"/>
                      <w:highlight w:val="none"/>
                      <w:u w:val="none"/>
                    </w:rPr>
                    <w:t>不需</w:t>
                  </w:r>
                  <w:r>
                    <w:rPr>
                      <w:rFonts w:hint="default" w:ascii="Times New Roman" w:hAnsi="Times New Roman" w:eastAsia="宋体" w:cs="Times New Roman"/>
                      <w:color w:val="auto"/>
                      <w:sz w:val="21"/>
                      <w:szCs w:val="21"/>
                      <w:highlight w:val="none"/>
                    </w:rPr>
                    <w:t>设置海洋专项评价。</w:t>
                  </w:r>
                </w:p>
              </w:tc>
              <w:tc>
                <w:tcPr>
                  <w:tcW w:w="103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91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环境风险专项</w:t>
                  </w:r>
                </w:p>
              </w:tc>
              <w:tc>
                <w:tcPr>
                  <w:tcW w:w="2534"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有毒有害和易燃易爆危险物质储存量超过临界量的建设项目</w:t>
                  </w:r>
                </w:p>
              </w:tc>
              <w:tc>
                <w:tcPr>
                  <w:tcW w:w="2642" w:type="dxa"/>
                  <w:tcBorders>
                    <w:tl2br w:val="nil"/>
                    <w:tr2bl w:val="nil"/>
                  </w:tcBorders>
                  <w:vAlign w:val="center"/>
                </w:tcPr>
                <w:p>
                  <w:pPr>
                    <w:pStyle w:val="19"/>
                    <w:rPr>
                      <w:color w:val="000000" w:themeColor="text1"/>
                      <w14:textFill>
                        <w14:solidFill>
                          <w14:schemeClr w14:val="tx1"/>
                        </w14:solidFill>
                      </w14:textFill>
                    </w:rPr>
                  </w:pPr>
                  <w:r>
                    <w:rPr>
                      <w:color w:val="auto"/>
                      <w:szCs w:val="21"/>
                    </w:rPr>
                    <w:t>本项目不</w:t>
                  </w:r>
                  <w:r>
                    <w:rPr>
                      <w:color w:val="auto"/>
                      <w:szCs w:val="21"/>
                      <w:highlight w:val="none"/>
                    </w:rPr>
                    <w:t>涉及有毒有害和易燃易爆危险物质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因此不设置环境风险专项评价。</w:t>
                  </w:r>
                </w:p>
              </w:tc>
              <w:tc>
                <w:tcPr>
                  <w:tcW w:w="1033" w:type="dxa"/>
                  <w:tcBorders>
                    <w:tl2br w:val="nil"/>
                    <w:tr2bl w:val="nil"/>
                  </w:tcBorders>
                  <w:vAlign w:val="center"/>
                </w:tcPr>
                <w:p>
                  <w:pPr>
                    <w:pStyle w:val="19"/>
                    <w:rPr>
                      <w:color w:val="000000" w:themeColor="text1"/>
                      <w14:textFill>
                        <w14:solidFill>
                          <w14:schemeClr w14:val="tx1"/>
                        </w14:solidFill>
                      </w14:textFill>
                    </w:rPr>
                  </w:pPr>
                  <w:r>
                    <w:rPr>
                      <w:color w:val="000000" w:themeColor="text1"/>
                      <w14:textFill>
                        <w14:solidFill>
                          <w14:schemeClr w14:val="tx1"/>
                        </w14:solidFill>
                      </w14:textFill>
                    </w:rPr>
                    <w:t>否</w:t>
                  </w:r>
                </w:p>
              </w:tc>
            </w:tr>
          </w:tbl>
          <w:p>
            <w:pPr>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根据上表分析可知，本项目无需开展专项评价工作。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475"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规划情况</w:t>
            </w:r>
          </w:p>
        </w:tc>
        <w:tc>
          <w:tcPr>
            <w:tcW w:w="7281" w:type="dxa"/>
            <w:gridSpan w:val="3"/>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规划环境影响评价情况</w:t>
            </w:r>
          </w:p>
        </w:tc>
        <w:tc>
          <w:tcPr>
            <w:tcW w:w="7281" w:type="dxa"/>
            <w:gridSpan w:val="3"/>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703"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规划及规划环境影响评价符合性分析</w:t>
            </w:r>
          </w:p>
        </w:tc>
        <w:tc>
          <w:tcPr>
            <w:tcW w:w="7281" w:type="dxa"/>
            <w:gridSpan w:val="3"/>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79" w:type="dxa"/>
            <w:bottom w:w="0" w:type="dxa"/>
            <w:right w:w="79" w:type="dxa"/>
          </w:tblCellMar>
        </w:tblPrEx>
        <w:trPr>
          <w:trHeight w:val="90" w:hRule="atLeast"/>
          <w:jc w:val="center"/>
        </w:trPr>
        <w:tc>
          <w:tcPr>
            <w:tcW w:w="1821"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其他符合性分析</w:t>
            </w:r>
          </w:p>
        </w:tc>
        <w:tc>
          <w:tcPr>
            <w:tcW w:w="7281" w:type="dxa"/>
            <w:gridSpan w:val="3"/>
            <w:tcBorders>
              <w:tl2br w:val="nil"/>
              <w:tr2bl w:val="nil"/>
            </w:tcBorders>
            <w:vAlign w:val="center"/>
          </w:tcPr>
          <w:p>
            <w:pPr>
              <w:pStyle w:val="54"/>
              <w:numPr>
                <w:ilvl w:val="0"/>
                <w:numId w:val="4"/>
              </w:numPr>
              <w:ind w:left="-2" w:leftChars="0" w:firstLine="482"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产业政策符合性</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根据《产业结构调整指导目录</w:t>
            </w:r>
            <w:r>
              <w:rPr>
                <w:rFonts w:hint="default" w:ascii="Times New Roman" w:hAnsi="Times New Roman" w:eastAsia="宋体" w:cs="Times New Roman"/>
                <w:bCs/>
                <w:color w:val="auto"/>
                <w:highlight w:val="none"/>
              </w:rPr>
              <w:t>（2024年本）</w:t>
            </w:r>
            <w:r>
              <w:rPr>
                <w:rFonts w:hint="default" w:ascii="Times New Roman" w:hAnsi="Times New Roman" w:eastAsia="宋体" w:cs="Times New Roman"/>
                <w:color w:val="auto"/>
                <w:highlight w:val="none"/>
              </w:rPr>
              <w:t>》，项目不属于“鼓励类”“限制类”及“淘汰类”项目。项目的建设符合国家相关法律和政策，属允许类建设项目，符合国家产业政策。</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本项目所选设备未列入工信部《部分工业行业淘汰落后生产工艺装备和产品指导目录</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2010年本</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工产业</w:t>
            </w:r>
            <w:r>
              <w:rPr>
                <w:rFonts w:hint="eastAsia" w:cs="Times New Roman"/>
                <w:color w:val="auto"/>
                <w:highlight w:val="none"/>
                <w:lang w:eastAsia="zh-CN"/>
              </w:rPr>
              <w:t>〔2010〕122号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，也不属于</w:t>
            </w:r>
            <w:r>
              <w:rPr>
                <w:rFonts w:hint="eastAsia" w:cs="Times New Roman"/>
                <w:color w:val="auto"/>
                <w:highlight w:val="none"/>
                <w:lang w:eastAsia="zh-CN"/>
              </w:rPr>
              <w:t>《产业结构调整指导目录（2024年本）》</w:t>
            </w:r>
            <w:r>
              <w:rPr>
                <w:rFonts w:hint="default" w:ascii="Times New Roman" w:hAnsi="Times New Roman" w:eastAsia="宋体" w:cs="Times New Roman"/>
                <w:color w:val="auto"/>
                <w:highlight w:val="none"/>
              </w:rPr>
              <w:t>第三类“淘汰类”第一条“落后生产工艺装备”中所列淘汰设备。</w:t>
            </w:r>
          </w:p>
          <w:p>
            <w:pPr>
              <w:autoSpaceDE w:val="0"/>
              <w:autoSpaceDN w:val="0"/>
              <w:adjustRightInd w:val="0"/>
              <w:snapToGrid w:val="0"/>
              <w:spacing w:line="360" w:lineRule="auto"/>
              <w:ind w:firstLine="480" w:firstLineChars="200"/>
              <w:rPr>
                <w:b/>
                <w:bCs/>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rPr>
              <w:t>综上，本项目建设符合国家产业政策要求。</w:t>
            </w:r>
          </w:p>
          <w:p>
            <w:pPr>
              <w:pStyle w:val="54"/>
              <w:numPr>
                <w:ilvl w:val="0"/>
                <w:numId w:val="4"/>
              </w:numPr>
              <w:ind w:left="-2" w:leftChars="0" w:firstLine="482" w:firstLineChars="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选址合理性分析</w:t>
            </w:r>
          </w:p>
          <w:p>
            <w:pPr>
              <w:autoSpaceDE w:val="0"/>
              <w:autoSpaceDN w:val="0"/>
              <w:adjustRightInd w:val="0"/>
              <w:snapToGrid w:val="0"/>
              <w:spacing w:line="360" w:lineRule="auto"/>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嘉荫县朝阳镇恐龙大道3号</w:t>
            </w:r>
            <w:r>
              <w:rPr>
                <w:rFonts w:hint="eastAsia"/>
                <w:color w:val="000000" w:themeColor="text1"/>
                <w:highlight w:val="none"/>
                <w:lang w:eastAsia="zh-CN"/>
                <w14:textFill>
                  <w14:solidFill>
                    <w14:schemeClr w14:val="tx1"/>
                  </w14:solidFill>
                </w14:textFill>
              </w:rPr>
              <w:t>嘉荫县万邦商混有限公司</w:t>
            </w:r>
            <w:r>
              <w:rPr>
                <w:rFonts w:hint="eastAsia"/>
                <w:color w:val="000000" w:themeColor="text1"/>
                <w:highlight w:val="none"/>
                <w:lang w:val="en-US" w:eastAsia="zh-CN"/>
                <w14:textFill>
                  <w14:solidFill>
                    <w14:schemeClr w14:val="tx1"/>
                  </w14:solidFill>
                </w14:textFill>
              </w:rPr>
              <w:t>院内</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嘉荫县万邦商混有限公司</w:t>
            </w:r>
            <w:r>
              <w:rPr>
                <w:rFonts w:hint="eastAsia"/>
                <w:color w:val="000000" w:themeColor="text1"/>
                <w:highlight w:val="none"/>
                <w:lang w:val="en-US" w:eastAsia="zh-CN"/>
                <w14:textFill>
                  <w14:solidFill>
                    <w14:schemeClr w14:val="tx1"/>
                  </w14:solidFill>
                </w14:textFill>
              </w:rPr>
              <w:t>北侧为屠宰场、南侧为恐龙大道、西侧为</w:t>
            </w:r>
            <w:r>
              <w:rPr>
                <w:rFonts w:hint="eastAsia" w:ascii="Times New Roman" w:hAnsi="Times New Roman" w:eastAsia="宋体" w:cs="Times New Roman"/>
                <w:color w:val="auto"/>
                <w:sz w:val="24"/>
                <w:szCs w:val="24"/>
                <w:highlight w:val="none"/>
                <w:lang w:val="en-US" w:eastAsia="zh-CN"/>
              </w:rPr>
              <w:t>嘉荫县应急管理局</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为东侧为</w:t>
            </w:r>
            <w:r>
              <w:rPr>
                <w:rFonts w:hint="eastAsia"/>
                <w:color w:val="000000" w:themeColor="text1"/>
                <w:highlight w:val="none"/>
                <w14:textFill>
                  <w14:solidFill>
                    <w14:schemeClr w14:val="tx1"/>
                  </w14:solidFill>
                </w14:textFill>
              </w:rPr>
              <w:t>农田。项目厂区周围无风景名胜区、文物保护单位、生态敏感区等限制项目实施的因素。厂址比较平坦，地理位置优越，交通便利。项目的各项污染物经过有效的污染治理措施后对环境影响较小，从环保的角度分析本项目的选址是合理的。</w:t>
            </w:r>
          </w:p>
          <w:p>
            <w:pPr>
              <w:pStyle w:val="54"/>
              <w:numPr>
                <w:ilvl w:val="0"/>
                <w:numId w:val="4"/>
              </w:numPr>
              <w:ind w:left="-2" w:leftChars="0" w:firstLine="482" w:firstLineChars="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黑龙江省生态环境分区管控</w:t>
            </w:r>
            <w:r>
              <w:rPr>
                <w:b/>
                <w:bCs/>
                <w:color w:val="000000" w:themeColor="text1"/>
                <w:highlight w:val="none"/>
                <w14:textFill>
                  <w14:solidFill>
                    <w14:schemeClr w14:val="tx1"/>
                  </w14:solidFill>
                </w14:textFill>
              </w:rPr>
              <w:t>符合性分析</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根据《黑龙江省生态环境分区管控应用技术指南环境影响评价》中相关规定：“环评文件涉及“三线一单·生态环境分区管控符合性分析采取“一图一表一说明”的表达方式</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本项目具体分析如下：</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①一图</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rPr>
            </w:pPr>
            <w:r>
              <w:rPr>
                <w:rFonts w:hint="eastAsia"/>
                <w:color w:val="000000" w:themeColor="text1"/>
                <w:sz w:val="24"/>
                <w:highlight w:val="none"/>
                <w14:textFill>
                  <w14:solidFill>
                    <w14:schemeClr w14:val="tx1"/>
                  </w14:solidFill>
                </w14:textFill>
              </w:rPr>
              <w:t>根据本项目“生态环境分区管控分析报告”，本项目与环境管控单元叠加图如下：</w:t>
            </w:r>
          </w:p>
          <w:p>
            <w:pPr>
              <w:pStyle w:val="7"/>
              <w:rPr>
                <w:rFonts w:hint="default" w:ascii="Times New Roman" w:hAnsi="Times New Roman" w:eastAsia="宋体" w:cs="Times New Roman"/>
                <w:color w:val="auto"/>
                <w:highlight w:val="yellow"/>
              </w:rPr>
            </w:pPr>
            <w:r>
              <w:drawing>
                <wp:inline distT="0" distB="0" distL="114300" distR="114300">
                  <wp:extent cx="4511675" cy="2289175"/>
                  <wp:effectExtent l="0" t="0" r="9525" b="9525"/>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9"/>
                          <a:stretch>
                            <a:fillRect/>
                          </a:stretch>
                        </pic:blipFill>
                        <pic:spPr>
                          <a:xfrm>
                            <a:off x="0" y="0"/>
                            <a:ext cx="4511675" cy="2289175"/>
                          </a:xfrm>
                          <a:prstGeom prst="rect">
                            <a:avLst/>
                          </a:prstGeom>
                          <a:noFill/>
                          <a:ln>
                            <a:noFill/>
                          </a:ln>
                        </pic:spPr>
                      </pic:pic>
                    </a:graphicData>
                  </a:graphic>
                </wp:inline>
              </w:drawing>
            </w:r>
          </w:p>
          <w:p>
            <w:pPr>
              <w:pStyle w:val="7"/>
              <w:rPr>
                <w:rFonts w:hint="default" w:ascii="Times New Roman" w:hAnsi="Times New Roman" w:eastAsia="宋体" w:cs="Times New Roman"/>
                <w:color w:val="auto"/>
                <w:highlight w:val="yellow"/>
              </w:rPr>
            </w:pPr>
            <w:r>
              <w:rPr>
                <w:rFonts w:hint="eastAsia"/>
                <w:b/>
                <w:bCs/>
                <w:color w:val="000000" w:themeColor="text1"/>
                <w:sz w:val="21"/>
                <w:szCs w:val="21"/>
                <w14:textFill>
                  <w14:solidFill>
                    <w14:schemeClr w14:val="tx1"/>
                  </w14:solidFill>
                </w14:textFill>
              </w:rPr>
              <w:t>图1-1 与环境管控单元位置叠加图</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②一表</w:t>
            </w:r>
          </w:p>
          <w:p>
            <w:pPr>
              <w:autoSpaceDE w:val="0"/>
              <w:autoSpaceDN w:val="0"/>
              <w:adjustRightInd w:val="0"/>
              <w:snapToGrid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表1</w:t>
            </w:r>
            <w:r>
              <w:rPr>
                <w:rFonts w:hint="eastAsia"/>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 xml:space="preserve"> 伊春市嘉荫县</w:t>
            </w:r>
            <w:r>
              <w:rPr>
                <w:b/>
                <w:bCs/>
                <w:color w:val="000000" w:themeColor="text1"/>
                <w:sz w:val="21"/>
                <w:szCs w:val="21"/>
                <w:highlight w:val="none"/>
                <w14:textFill>
                  <w14:solidFill>
                    <w14:schemeClr w14:val="tx1"/>
                  </w14:solidFill>
                </w14:textFill>
              </w:rPr>
              <w:t>生态环境准入清单符合性分析</w:t>
            </w:r>
          </w:p>
          <w:tbl>
            <w:tblPr>
              <w:tblStyle w:val="32"/>
              <w:tblW w:w="7123" w:type="dxa"/>
              <w:jc w:val="center"/>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3847"/>
              <w:gridCol w:w="2122"/>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123" w:type="dxa"/>
                  <w:gridSpan w:val="3"/>
                  <w:tcBorders>
                    <w:top w:val="single" w:color="auto" w:sz="12"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一、生态保护红线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color w:val="auto"/>
                      <w:sz w:val="21"/>
                      <w:szCs w:val="21"/>
                      <w:lang w:val="en-US" w:eastAsia="zh-CN"/>
                    </w:rPr>
                    <w:t>一般</w:t>
                  </w:r>
                  <w:r>
                    <w:rPr>
                      <w:rFonts w:hint="eastAsia"/>
                      <w:color w:val="auto"/>
                      <w:sz w:val="21"/>
                      <w:szCs w:val="21"/>
                    </w:rPr>
                    <w:t>管控单元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highlight w:val="none"/>
                    </w:rPr>
                  </w:pPr>
                  <w:r>
                    <w:rPr>
                      <w:b/>
                      <w:bCs/>
                      <w:color w:val="auto"/>
                      <w:sz w:val="21"/>
                      <w:szCs w:val="21"/>
                      <w:highlight w:val="none"/>
                      <w:lang w:bidi="ar"/>
                    </w:rPr>
                    <w:t>符合性分析</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highlight w:val="none"/>
                    </w:rPr>
                  </w:pPr>
                  <w:r>
                    <w:rPr>
                      <w:rFonts w:ascii="Times New Roman" w:hAnsi="Times New Roman"/>
                      <w:color w:val="auto"/>
                      <w:sz w:val="21"/>
                      <w:szCs w:val="21"/>
                      <w:highlight w:val="none"/>
                    </w:rPr>
                    <w:t>本项目位于</w:t>
                  </w:r>
                  <w:r>
                    <w:rPr>
                      <w:rFonts w:hint="eastAsia" w:ascii="Times New Roman" w:hAnsi="Times New Roman" w:cs="Times New Roman"/>
                      <w:color w:val="000000" w:themeColor="text1"/>
                      <w:szCs w:val="21"/>
                      <w:lang w:val="en-US" w:eastAsia="zh-CN"/>
                      <w14:textFill>
                        <w14:solidFill>
                          <w14:schemeClr w14:val="tx1"/>
                        </w14:solidFill>
                      </w14:textFill>
                    </w:rPr>
                    <w:t>嘉荫县朝阳镇恐龙大道3号</w:t>
                  </w:r>
                  <w:r>
                    <w:rPr>
                      <w:rFonts w:hint="eastAsia"/>
                      <w:color w:val="000000" w:themeColor="text1"/>
                      <w:lang w:eastAsia="zh-CN"/>
                      <w14:textFill>
                        <w14:solidFill>
                          <w14:schemeClr w14:val="tx1"/>
                        </w14:solidFill>
                      </w14:textFill>
                    </w:rPr>
                    <w:t>嘉荫县万邦商混有限公司</w:t>
                  </w:r>
                  <w:r>
                    <w:rPr>
                      <w:rFonts w:hint="eastAsia"/>
                      <w:color w:val="000000" w:themeColor="text1"/>
                      <w:lang w:val="en-US" w:eastAsia="zh-CN"/>
                      <w14:textFill>
                        <w14:solidFill>
                          <w14:schemeClr w14:val="tx1"/>
                        </w14:solidFill>
                      </w14:textFill>
                    </w:rPr>
                    <w:t>院内</w:t>
                  </w:r>
                  <w:r>
                    <w:rPr>
                      <w:rFonts w:ascii="Times New Roman" w:hAnsi="Times New Roman"/>
                      <w:color w:val="auto"/>
                      <w:sz w:val="21"/>
                      <w:szCs w:val="21"/>
                      <w:highlight w:val="none"/>
                    </w:rPr>
                    <w:t>，根据</w:t>
                  </w:r>
                  <w:r>
                    <w:rPr>
                      <w:rFonts w:hint="eastAsia" w:ascii="Times New Roman" w:hAnsi="Times New Roman"/>
                      <w:color w:val="auto"/>
                      <w:sz w:val="21"/>
                      <w:szCs w:val="21"/>
                      <w:highlight w:val="none"/>
                    </w:rPr>
                    <w:t>《</w:t>
                  </w:r>
                  <w:r>
                    <w:rPr>
                      <w:rFonts w:hint="eastAsia"/>
                      <w:color w:val="000000" w:themeColor="text1"/>
                      <w:lang w:eastAsia="zh-CN"/>
                      <w14:textFill>
                        <w14:solidFill>
                          <w14:schemeClr w14:val="tx1"/>
                        </w14:solidFill>
                      </w14:textFill>
                    </w:rPr>
                    <w:t>嘉荫县万邦商混有限公司商品混凝土搅拌站扩建项目</w:t>
                  </w:r>
                  <w:r>
                    <w:rPr>
                      <w:rFonts w:hint="eastAsia" w:ascii="Times New Roman" w:hAnsi="Times New Roman"/>
                      <w:color w:val="auto"/>
                      <w:sz w:val="21"/>
                      <w:szCs w:val="21"/>
                      <w:highlight w:val="none"/>
                    </w:rPr>
                    <w:t>生态环境分区管控分析报告</w:t>
                  </w:r>
                  <w:r>
                    <w:rPr>
                      <w:rFonts w:ascii="Times New Roman" w:hAnsi="Times New Roman"/>
                      <w:color w:val="auto"/>
                      <w:sz w:val="21"/>
                      <w:szCs w:val="21"/>
                      <w:highlight w:val="none"/>
                    </w:rPr>
                    <w:t>》，</w:t>
                  </w:r>
                  <w:r>
                    <w:rPr>
                      <w:rFonts w:hint="default" w:ascii="Times New Roman" w:hAnsi="Times New Roman" w:eastAsia="宋体" w:cs="Times New Roman"/>
                      <w:color w:val="auto"/>
                      <w:sz w:val="21"/>
                      <w:szCs w:val="21"/>
                      <w:highlight w:val="none"/>
                    </w:rPr>
                    <w:t>所在区域不属于生态保护红线和一般生态空间，</w:t>
                  </w:r>
                  <w:r>
                    <w:rPr>
                      <w:rFonts w:hint="default" w:ascii="Times New Roman" w:hAnsi="Times New Roman" w:eastAsia="宋体" w:cs="Times New Roman"/>
                      <w:bCs/>
                      <w:color w:val="auto"/>
                      <w:sz w:val="21"/>
                      <w:szCs w:val="21"/>
                      <w:highlight w:val="none"/>
                    </w:rPr>
                    <w:t>不涉及生态保护红线，所在区域不属于优先保护单元。选址</w:t>
                  </w:r>
                  <w:r>
                    <w:rPr>
                      <w:rFonts w:hint="eastAsia" w:cs="Times New Roman"/>
                      <w:bCs/>
                      <w:color w:val="auto"/>
                      <w:sz w:val="21"/>
                      <w:szCs w:val="21"/>
                      <w:highlight w:val="none"/>
                      <w:lang w:eastAsia="zh-CN"/>
                    </w:rPr>
                    <w:t>位置</w:t>
                  </w:r>
                  <w:r>
                    <w:rPr>
                      <w:rFonts w:hint="default" w:ascii="Times New Roman" w:hAnsi="Times New Roman" w:eastAsia="宋体" w:cs="Times New Roman"/>
                      <w:bCs/>
                      <w:color w:val="auto"/>
                      <w:sz w:val="21"/>
                      <w:szCs w:val="21"/>
                      <w:highlight w:val="none"/>
                    </w:rPr>
                    <w:t>无自然保护区、风景名胜区、文物保护区、饮用水水源保护区及珍稀动物保护区等敏感因素。</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7123" w:type="dxa"/>
                  <w:gridSpan w:val="3"/>
                  <w:tcBorders>
                    <w:top w:val="single" w:color="auto" w:sz="4"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二、环境质量底线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7123" w:type="dxa"/>
                  <w:gridSpan w:val="3"/>
                  <w:tcBorders>
                    <w:top w:val="single" w:color="auto" w:sz="4"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大气环境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eastAsia="宋体"/>
                      <w:color w:val="auto"/>
                      <w:szCs w:val="21"/>
                    </w:rPr>
                    <w:t>大气环境</w:t>
                  </w:r>
                  <w:r>
                    <w:rPr>
                      <w:rFonts w:hint="eastAsia" w:eastAsia="宋体"/>
                      <w:color w:val="auto"/>
                      <w:szCs w:val="21"/>
                    </w:rPr>
                    <w:t>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5001" w:type="dxa"/>
                  <w:gridSpan w:val="2"/>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rPr>
                    <w:t>管控要求</w:t>
                  </w:r>
                </w:p>
              </w:tc>
              <w:tc>
                <w:tcPr>
                  <w:tcW w:w="2122" w:type="dxa"/>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rPr>
                    <w:t>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488" w:hRule="atLeast"/>
                <w:jc w:val="center"/>
              </w:trPr>
              <w:tc>
                <w:tcPr>
                  <w:tcW w:w="1154" w:type="dxa"/>
                  <w:tcBorders>
                    <w:top w:val="single" w:color="auto" w:sz="4" w:space="0"/>
                    <w:left w:val="nil"/>
                    <w:bottom w:val="single" w:color="000000"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空间布局约束</w:t>
                  </w:r>
                </w:p>
              </w:tc>
              <w:tc>
                <w:tcPr>
                  <w:tcW w:w="3847"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eastAsia="宋体"/>
                      <w:color w:val="auto"/>
                      <w:sz w:val="21"/>
                      <w:szCs w:val="21"/>
                      <w:highlight w:val="none"/>
                      <w:lang w:val="zh-CN"/>
                    </w:rPr>
                  </w:pPr>
                  <w:r>
                    <w:rPr>
                      <w:rFonts w:hint="eastAsia" w:eastAsia="宋体"/>
                      <w:color w:val="auto"/>
                      <w:sz w:val="21"/>
                      <w:szCs w:val="21"/>
                      <w:highlight w:val="none"/>
                    </w:rPr>
                    <w:t>1.</w:t>
                  </w:r>
                  <w:r>
                    <w:rPr>
                      <w:rFonts w:hint="eastAsia" w:eastAsia="宋体"/>
                      <w:color w:val="auto"/>
                      <w:sz w:val="21"/>
                      <w:szCs w:val="21"/>
                      <w:highlight w:val="none"/>
                      <w:lang w:val="zh-CN"/>
                    </w:rPr>
                    <w:t>引导工业项目向开发区集中，促进产业集聚、资源集约、绿色发展。</w:t>
                  </w:r>
                </w:p>
                <w:p>
                  <w:pPr>
                    <w:keepNext w:val="0"/>
                    <w:keepLines w:val="0"/>
                    <w:pageBreakBefore w:val="0"/>
                    <w:widowControl/>
                    <w:kinsoku/>
                    <w:wordWrap/>
                    <w:overflowPunct/>
                    <w:topLinePunct w:val="0"/>
                    <w:autoSpaceDE/>
                    <w:autoSpaceDN/>
                    <w:bidi w:val="0"/>
                    <w:snapToGrid/>
                    <w:ind w:firstLine="0" w:firstLineChars="0"/>
                    <w:jc w:val="center"/>
                    <w:rPr>
                      <w:color w:val="auto"/>
                      <w:sz w:val="21"/>
                      <w:szCs w:val="21"/>
                      <w:highlight w:val="none"/>
                    </w:rPr>
                  </w:pPr>
                  <w:r>
                    <w:rPr>
                      <w:rFonts w:hint="eastAsia" w:eastAsia="宋体"/>
                      <w:color w:val="auto"/>
                      <w:sz w:val="21"/>
                      <w:szCs w:val="21"/>
                      <w:highlight w:val="none"/>
                    </w:rPr>
                    <w:t>2.</w:t>
                  </w:r>
                  <w:r>
                    <w:rPr>
                      <w:rFonts w:hint="eastAsia" w:eastAsia="宋体"/>
                      <w:color w:val="auto"/>
                      <w:sz w:val="21"/>
                      <w:szCs w:val="21"/>
                      <w:highlight w:val="none"/>
                      <w:lang w:val="zh-CN"/>
                    </w:rPr>
                    <w:t>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122" w:type="dxa"/>
                  <w:tcBorders>
                    <w:top w:val="single" w:color="auto" w:sz="4" w:space="0"/>
                    <w:left w:val="single" w:color="auto" w:sz="4" w:space="0"/>
                    <w:bottom w:val="single" w:color="000000" w:sz="4" w:space="0"/>
                    <w:right w:val="nil"/>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color w:val="auto"/>
                      <w:sz w:val="21"/>
                      <w:szCs w:val="21"/>
                      <w:highlight w:val="none"/>
                    </w:rPr>
                  </w:pPr>
                  <w:r>
                    <w:rPr>
                      <w:rFonts w:eastAsia="宋体"/>
                      <w:color w:val="auto"/>
                      <w:sz w:val="21"/>
                      <w:szCs w:val="21"/>
                      <w:highlight w:val="none"/>
                    </w:rPr>
                    <w:t>本项目</w:t>
                  </w:r>
                  <w:r>
                    <w:rPr>
                      <w:rFonts w:hint="eastAsia" w:eastAsia="宋体"/>
                      <w:color w:val="auto"/>
                      <w:sz w:val="21"/>
                      <w:szCs w:val="21"/>
                      <w:highlight w:val="none"/>
                    </w:rPr>
                    <w:t>不属于</w:t>
                  </w:r>
                  <w:r>
                    <w:rPr>
                      <w:rFonts w:hint="eastAsia" w:eastAsia="宋体"/>
                      <w:color w:val="auto"/>
                      <w:sz w:val="21"/>
                      <w:szCs w:val="21"/>
                      <w:highlight w:val="none"/>
                      <w:lang w:val="zh-CN"/>
                    </w:rPr>
                    <w:t>环保、能耗、安全等不达标或生产、使用淘汰类产品的企业</w:t>
                  </w:r>
                  <w:r>
                    <w:rPr>
                      <w:rFonts w:hint="eastAsia" w:eastAsia="宋体"/>
                      <w:color w:val="auto"/>
                      <w:sz w:val="21"/>
                      <w:szCs w:val="21"/>
                      <w:highlight w:val="none"/>
                    </w:rPr>
                    <w:t>，</w:t>
                  </w:r>
                  <w:r>
                    <w:rPr>
                      <w:rFonts w:eastAsia="宋体"/>
                      <w:color w:val="auto"/>
                      <w:sz w:val="21"/>
                      <w:szCs w:val="21"/>
                      <w:highlight w:val="none"/>
                    </w:rPr>
                    <w:t>故符合大气空间布局约束。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1154" w:type="dxa"/>
                  <w:tcBorders>
                    <w:top w:val="single" w:color="000000" w:sz="4" w:space="0"/>
                    <w:left w:val="nil"/>
                    <w:bottom w:val="single" w:color="000000"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highlight w:val="none"/>
                      <w:lang w:bidi="ar"/>
                    </w:rPr>
                  </w:pPr>
                  <w:r>
                    <w:rPr>
                      <w:b/>
                      <w:bCs/>
                      <w:color w:val="auto"/>
                      <w:sz w:val="21"/>
                      <w:szCs w:val="21"/>
                      <w:highlight w:val="none"/>
                      <w:lang w:bidi="ar"/>
                    </w:rPr>
                    <w:t>管控单元类别</w:t>
                  </w:r>
                </w:p>
              </w:tc>
              <w:tc>
                <w:tcPr>
                  <w:tcW w:w="5969" w:type="dxa"/>
                  <w:gridSpan w:val="2"/>
                  <w:tcBorders>
                    <w:top w:val="single" w:color="000000" w:sz="4" w:space="0"/>
                    <w:left w:val="single" w:color="auto"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大气环境受体敏感重点管控区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154" w:type="dxa"/>
                  <w:tcBorders>
                    <w:top w:val="single" w:color="000000"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空间布局约束</w:t>
                  </w:r>
                </w:p>
              </w:tc>
              <w:tc>
                <w:tcPr>
                  <w:tcW w:w="3847" w:type="dxa"/>
                  <w:tcBorders>
                    <w:top w:val="single" w:color="000000"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rPr>
                    <w:t>1.</w:t>
                  </w:r>
                  <w:r>
                    <w:rPr>
                      <w:rFonts w:hint="default" w:ascii="Times New Roman" w:hAnsi="Times New Roman" w:eastAsia="宋体" w:cs="Times New Roman"/>
                      <w:color w:val="auto"/>
                      <w:sz w:val="21"/>
                      <w:szCs w:val="21"/>
                      <w:highlight w:val="none"/>
                      <w:lang w:val="zh-CN"/>
                    </w:rPr>
                    <w:t>严控</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rPr>
                    <w:t>两高</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rPr>
                    <w:t>行业产能。严格执行钢铁、水泥、平板玻璃等行业产能置换实施办法。</w:t>
                  </w:r>
                </w:p>
                <w:p>
                  <w:pPr>
                    <w:keepNext w:val="0"/>
                    <w:keepLines w:val="0"/>
                    <w:pageBreakBefore w:val="0"/>
                    <w:widowControl/>
                    <w:kinsoku/>
                    <w:wordWrap/>
                    <w:overflowPunct/>
                    <w:topLinePunct w:val="0"/>
                    <w:autoSpaceDE/>
                    <w:autoSpaceDN/>
                    <w:bidi w:val="0"/>
                    <w:snapToGrid/>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2.</w:t>
                  </w:r>
                  <w:r>
                    <w:rPr>
                      <w:rFonts w:hint="default" w:ascii="Times New Roman" w:hAnsi="Times New Roman" w:eastAsia="宋体" w:cs="Times New Roman"/>
                      <w:color w:val="auto"/>
                      <w:sz w:val="21"/>
                      <w:szCs w:val="21"/>
                      <w:highlight w:val="none"/>
                      <w:lang w:val="zh-CN"/>
                    </w:rPr>
                    <w:t>利用水泥窑协同处置城市生活垃圾、危险废弃物、电石渣等固废伴生水泥项目，必须依托现有新型干法水泥熟料生产线进行不扩产能改造。</w:t>
                  </w:r>
                </w:p>
              </w:tc>
              <w:tc>
                <w:tcPr>
                  <w:tcW w:w="2122" w:type="dxa"/>
                  <w:tcBorders>
                    <w:top w:val="single" w:color="000000" w:sz="4" w:space="0"/>
                    <w:left w:val="single" w:color="auto" w:sz="4" w:space="0"/>
                    <w:bottom w:val="single" w:color="auto" w:sz="4" w:space="0"/>
                    <w:right w:val="nil"/>
                  </w:tcBorders>
                  <w:noWrap w:val="0"/>
                  <w:vAlign w:val="center"/>
                </w:tcPr>
                <w:p>
                  <w:pPr>
                    <w:adjustRightInd w:val="0"/>
                    <w:spacing w:line="240" w:lineRule="atLeast"/>
                    <w:textAlignment w:val="baseline"/>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项目为水泥制品制造</w:t>
                  </w:r>
                </w:p>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hint="default" w:eastAsia="宋体"/>
                      <w:color w:val="auto"/>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项目，不属于</w:t>
                  </w:r>
                  <w:r>
                    <w:rPr>
                      <w:rFonts w:hint="eastAsia" w:ascii="Times New Roman" w:hAnsi="Times New Roman" w:eastAsia="宋体" w:cs="Times New Roman"/>
                      <w:color w:val="auto"/>
                      <w:kern w:val="0"/>
                      <w:sz w:val="21"/>
                      <w:szCs w:val="21"/>
                      <w:highlight w:val="none"/>
                      <w:lang w:val="en-US" w:eastAsia="zh-CN" w:bidi="ar"/>
                    </w:rPr>
                    <w:t>“两高”行业，符合</w:t>
                  </w:r>
                  <w:r>
                    <w:rPr>
                      <w:rFonts w:eastAsia="宋体"/>
                      <w:color w:val="auto"/>
                      <w:sz w:val="21"/>
                      <w:szCs w:val="21"/>
                      <w:highlight w:val="none"/>
                    </w:rPr>
                    <w:t>大气空间布局约束。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154" w:type="dxa"/>
                  <w:tcBorders>
                    <w:top w:val="single" w:color="000000"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污染物排放管控</w:t>
                  </w:r>
                </w:p>
              </w:tc>
              <w:tc>
                <w:tcPr>
                  <w:tcW w:w="3847" w:type="dxa"/>
                  <w:tcBorders>
                    <w:top w:val="single" w:color="000000"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1.对以煤、石焦油、渣油、重油等为燃料的锅炉和工业炉窑，加快使用清洁低碳能源以及工厂余热、电力热力等进行替代。</w:t>
                  </w:r>
                </w:p>
                <w:p>
                  <w:pPr>
                    <w:keepNext w:val="0"/>
                    <w:keepLines w:val="0"/>
                    <w:pageBreakBefore w:val="0"/>
                    <w:widowControl/>
                    <w:kinsoku/>
                    <w:wordWrap/>
                    <w:overflowPunct/>
                    <w:topLinePunct w:val="0"/>
                    <w:autoSpaceDE/>
                    <w:autoSpaceDN/>
                    <w:bidi w:val="0"/>
                    <w:snapToGrid/>
                    <w:ind w:firstLine="0" w:firstLineChars="0"/>
                    <w:jc w:val="center"/>
                    <w:rPr>
                      <w:rFonts w:hint="eastAsia"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2.到2025年，在用65蒸吨/小时以上的燃煤锅炉（含电力）实现超低排放，钢铁企业基本实现超低排放。</w:t>
                  </w:r>
                </w:p>
              </w:tc>
              <w:tc>
                <w:tcPr>
                  <w:tcW w:w="2122" w:type="dxa"/>
                  <w:tcBorders>
                    <w:top w:val="single" w:color="000000"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eastAsia="宋体"/>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冬季使用电取暖，</w:t>
                  </w:r>
                  <w:r>
                    <w:rPr>
                      <w:rFonts w:hint="default" w:ascii="Times New Roman" w:hAnsi="Times New Roman" w:eastAsia="宋体" w:cs="Times New Roman"/>
                      <w:color w:val="auto"/>
                      <w:kern w:val="0"/>
                      <w:sz w:val="21"/>
                      <w:szCs w:val="21"/>
                      <w:highlight w:val="none"/>
                      <w:lang w:val="en-US" w:eastAsia="zh-CN" w:bidi="ar"/>
                    </w:rPr>
                    <w:t>不使用高污染原料。本项目建设符合污染物排放管控要求。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154" w:type="dxa"/>
                  <w:tcBorders>
                    <w:top w:val="single" w:color="000000" w:sz="4" w:space="0"/>
                    <w:left w:val="nil"/>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环境风险防控</w:t>
                  </w:r>
                </w:p>
              </w:tc>
              <w:tc>
                <w:tcPr>
                  <w:tcW w:w="3847" w:type="dxa"/>
                  <w:tcBorders>
                    <w:top w:val="single" w:color="000000"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hint="eastAsia"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禁止在居民区、学校、医疗和养老机构等周边新建有色金属冶炼、焦化等行业企业。</w:t>
                  </w:r>
                </w:p>
              </w:tc>
              <w:tc>
                <w:tcPr>
                  <w:tcW w:w="2122" w:type="dxa"/>
                  <w:tcBorders>
                    <w:top w:val="single" w:color="000000" w:sz="4" w:space="0"/>
                    <w:left w:val="single" w:color="auto" w:sz="4" w:space="0"/>
                    <w:bottom w:val="single" w:color="auto" w:sz="4" w:space="0"/>
                    <w:right w:val="nil"/>
                  </w:tcBorders>
                  <w:noWrap w:val="0"/>
                  <w:vAlign w:val="center"/>
                </w:tcPr>
                <w:p>
                  <w:pPr>
                    <w:adjustRightInd w:val="0"/>
                    <w:spacing w:line="240" w:lineRule="atLeast"/>
                    <w:textAlignment w:val="baseline"/>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项目为水泥制品制造</w:t>
                  </w:r>
                </w:p>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eastAsia="宋体"/>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项目，不属于</w:t>
                  </w:r>
                  <w:r>
                    <w:rPr>
                      <w:rFonts w:hint="eastAsia" w:ascii="Times New Roman" w:hAnsi="Times New Roman" w:eastAsia="宋体" w:cs="Times New Roman"/>
                      <w:color w:val="auto"/>
                      <w:kern w:val="0"/>
                      <w:sz w:val="21"/>
                      <w:szCs w:val="21"/>
                      <w:highlight w:val="none"/>
                      <w:lang w:val="en-US" w:eastAsia="zh-CN" w:bidi="ar"/>
                    </w:rPr>
                    <w:t>“两高”行业。</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7123" w:type="dxa"/>
                  <w:gridSpan w:val="3"/>
                  <w:tcBorders>
                    <w:top w:val="single" w:color="auto" w:sz="4"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水环境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水环境一般管控区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5001" w:type="dxa"/>
                  <w:gridSpan w:val="2"/>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管控要求</w:t>
                  </w:r>
                </w:p>
              </w:tc>
              <w:tc>
                <w:tcPr>
                  <w:tcW w:w="2122" w:type="dxa"/>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rFonts w:hint="eastAsia"/>
                      <w:b/>
                      <w:bCs/>
                      <w:color w:val="auto"/>
                      <w:sz w:val="21"/>
                      <w:szCs w:val="21"/>
                      <w:lang w:bidi="ar"/>
                    </w:rPr>
                    <w:t>资源利用效率要求</w:t>
                  </w:r>
                </w:p>
              </w:tc>
              <w:tc>
                <w:tcPr>
                  <w:tcW w:w="3847" w:type="dxa"/>
                  <w:tcBorders>
                    <w:top w:val="single" w:color="auto" w:sz="4" w:space="0"/>
                    <w:left w:val="single" w:color="auto" w:sz="4" w:space="0"/>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lang w:val="zh-CN"/>
                    </w:rPr>
                  </w:pPr>
                  <w:r>
                    <w:rPr>
                      <w:color w:val="auto"/>
                      <w:sz w:val="21"/>
                      <w:szCs w:val="21"/>
                    </w:rPr>
                    <w:t>全省2030年用水总量控制指标不高于省政府确定的指标。</w:t>
                  </w:r>
                </w:p>
              </w:tc>
              <w:tc>
                <w:tcPr>
                  <w:tcW w:w="2122" w:type="dxa"/>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本项目</w:t>
                  </w:r>
                  <w:r>
                    <w:rPr>
                      <w:rFonts w:hint="eastAsia"/>
                      <w:color w:val="auto"/>
                      <w:sz w:val="21"/>
                      <w:szCs w:val="21"/>
                      <w:lang w:val="en-US" w:eastAsia="zh-CN"/>
                    </w:rPr>
                    <w:t>用水总量控制指标</w:t>
                  </w:r>
                  <w:r>
                    <w:rPr>
                      <w:rFonts w:hint="eastAsia"/>
                      <w:color w:val="auto"/>
                      <w:sz w:val="21"/>
                      <w:szCs w:val="21"/>
                    </w:rPr>
                    <w:t>不高于省政府确定指标。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7123" w:type="dxa"/>
                  <w:gridSpan w:val="3"/>
                  <w:tcBorders>
                    <w:top w:val="single" w:color="auto" w:sz="4"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地下水环境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color w:val="auto"/>
                      <w:sz w:val="21"/>
                      <w:szCs w:val="21"/>
                    </w:rPr>
                    <w:t>地下水环境一般管控区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5001" w:type="dxa"/>
                  <w:gridSpan w:val="2"/>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管控要求</w:t>
                  </w:r>
                </w:p>
              </w:tc>
              <w:tc>
                <w:tcPr>
                  <w:tcW w:w="2122" w:type="dxa"/>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环境风险管控</w:t>
                  </w:r>
                </w:p>
              </w:tc>
              <w:tc>
                <w:tcPr>
                  <w:tcW w:w="3847" w:type="dxa"/>
                  <w:tcBorders>
                    <w:top w:val="single" w:color="auto" w:sz="4" w:space="0"/>
                    <w:left w:val="single" w:color="auto" w:sz="4" w:space="0"/>
                    <w:bottom w:val="single" w:color="auto" w:sz="4" w:space="0"/>
                    <w:right w:val="single" w:color="auto" w:sz="4" w:space="0"/>
                  </w:tcBorders>
                  <w:noWrap w:val="0"/>
                  <w:vAlign w:val="center"/>
                </w:tcPr>
                <w:p>
                  <w:pPr>
                    <w:pStyle w:val="61"/>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环境风险管控</w:t>
                  </w:r>
                </w:p>
                <w:p>
                  <w:pPr>
                    <w:pStyle w:val="61"/>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w:t>
                  </w:r>
                </w:p>
                <w:p>
                  <w:pPr>
                    <w:pStyle w:val="61"/>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2.重点单位新、改、扩建项目地下储罐储存有毒有害物质的，应当在项目投入生产或者使用之前，将地下储罐的信息报所在地设区的市级生态环境主管部门备案。</w:t>
                  </w:r>
                </w:p>
                <w:p>
                  <w:pPr>
                    <w:pStyle w:val="61"/>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w:t>
                  </w:r>
                </w:p>
                <w:p>
                  <w:pPr>
                    <w:pStyle w:val="61"/>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4.化学品生产企业以及工业集聚区、矿山开采区、尾矿库、危险废物处置场、垃圾填埋场等的运营、管理单位，应当采取防渗漏等措施，并建设地下水水质监测井进行监测，防止地下水污染。</w:t>
                  </w:r>
                </w:p>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center"/>
                    <w:rPr>
                      <w:color w:val="auto"/>
                      <w:sz w:val="21"/>
                      <w:szCs w:val="21"/>
                    </w:rPr>
                  </w:pPr>
                  <w:r>
                    <w:rPr>
                      <w:rFonts w:hint="eastAsia" w:ascii="宋体" w:hAnsi="宋体" w:eastAsia="宋体" w:cs="宋体"/>
                      <w:color w:val="auto"/>
                      <w:sz w:val="21"/>
                      <w:szCs w:val="21"/>
                      <w:highlight w:val="none"/>
                      <w:lang w:val="en-US" w:eastAsia="zh-CN" w:bidi="ar-SA"/>
                    </w:rPr>
                    <w:t>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2122" w:type="dxa"/>
                  <w:tcBorders>
                    <w:top w:val="single" w:color="auto" w:sz="4" w:space="0"/>
                    <w:left w:val="single" w:color="auto" w:sz="4" w:space="0"/>
                    <w:bottom w:val="single" w:color="auto" w:sz="4" w:space="0"/>
                    <w:right w:val="nil"/>
                  </w:tcBorders>
                  <w:noWrap w:val="0"/>
                  <w:vAlign w:val="center"/>
                </w:tcPr>
                <w:p>
                  <w:pPr>
                    <w:pStyle w:val="61"/>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color w:val="auto"/>
                      <w:sz w:val="21"/>
                      <w:szCs w:val="21"/>
                    </w:rPr>
                  </w:pPr>
                  <w:r>
                    <w:rPr>
                      <w:rFonts w:hint="eastAsia" w:ascii="宋体" w:hAnsi="宋体" w:eastAsia="宋体" w:cs="宋体"/>
                      <w:color w:val="auto"/>
                      <w:sz w:val="21"/>
                      <w:szCs w:val="21"/>
                      <w:highlight w:val="none"/>
                      <w:lang w:val="en-US" w:eastAsia="zh-CN" w:bidi="ar-SA"/>
                    </w:rPr>
                    <w:t>本项目不属于土壤污染重点监管单位，不涉及环境风险管控要求内容。项目建设符合环境风险管控要求。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123" w:type="dxa"/>
                  <w:gridSpan w:val="3"/>
                  <w:tcBorders>
                    <w:top w:val="single" w:color="auto" w:sz="4"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三、资源利用上线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ascii="Times New Roman" w:hAnsi="Times New Roman" w:eastAsia="宋体" w:cs="Times New Roman"/>
                      <w:b/>
                      <w:bCs/>
                      <w:color w:val="auto"/>
                      <w:kern w:val="2"/>
                      <w:sz w:val="21"/>
                      <w:szCs w:val="21"/>
                      <w:lang w:val="en-US" w:eastAsia="zh-CN" w:bidi="ar-SA"/>
                    </w:rPr>
                  </w:pPr>
                  <w:r>
                    <w:rPr>
                      <w:rFonts w:eastAsia="宋体"/>
                      <w:b/>
                      <w:bCs/>
                      <w:color w:val="auto"/>
                      <w:szCs w:val="21"/>
                    </w:rPr>
                    <w:t>管控单元类别</w:t>
                  </w:r>
                </w:p>
              </w:tc>
              <w:tc>
                <w:tcPr>
                  <w:tcW w:w="5969" w:type="dxa"/>
                  <w:gridSpan w:val="2"/>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eastAsia="宋体"/>
                      <w:color w:val="auto"/>
                      <w:kern w:val="0"/>
                      <w:sz w:val="22"/>
                      <w:szCs w:val="20"/>
                      <w:lang w:bidi="ar"/>
                    </w:rPr>
                    <w:t>自然资源一般管控区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15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ascii="Times New Roman" w:hAnsi="Times New Roman" w:eastAsia="宋体" w:cs="Times New Roman"/>
                      <w:b/>
                      <w:bCs/>
                      <w:color w:val="auto"/>
                      <w:kern w:val="2"/>
                      <w:sz w:val="21"/>
                      <w:szCs w:val="21"/>
                      <w:lang w:val="en-US" w:eastAsia="zh-CN" w:bidi="ar-SA"/>
                    </w:rPr>
                  </w:pPr>
                  <w:r>
                    <w:rPr>
                      <w:rFonts w:hint="eastAsia" w:eastAsia="宋体"/>
                      <w:b/>
                      <w:bCs/>
                      <w:color w:val="auto"/>
                      <w:szCs w:val="21"/>
                    </w:rPr>
                    <w:t>管控要求</w:t>
                  </w:r>
                </w:p>
              </w:tc>
              <w:tc>
                <w:tcPr>
                  <w:tcW w:w="5969" w:type="dxa"/>
                  <w:gridSpan w:val="2"/>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1.水资源：全市2025年用水总量不得超过6.73亿立方米，2030年用水总量控制指标不高于省政府确定的指标。</w:t>
                  </w:r>
                </w:p>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2.土地资源：全市2025年及2035年建设用地开发上线不高于省政府确定的指标，耕地资源保护下线不低于省政府确定的指标。</w:t>
                  </w:r>
                </w:p>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rPr>
                      <w:rFonts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3.能源：2025年和2035年，全市煤炭消费上线不高于省政府确定的指标。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eastAsia="宋体"/>
                      <w:b/>
                      <w:bCs/>
                      <w:color w:val="auto"/>
                      <w:sz w:val="21"/>
                      <w:szCs w:val="21"/>
                      <w:highlight w:val="none"/>
                    </w:rPr>
                  </w:pPr>
                  <w:r>
                    <w:rPr>
                      <w:rFonts w:hint="eastAsia" w:eastAsia="宋体"/>
                      <w:b/>
                      <w:bCs/>
                      <w:color w:val="auto"/>
                      <w:sz w:val="21"/>
                      <w:szCs w:val="21"/>
                      <w:highlight w:val="none"/>
                    </w:rPr>
                    <w:t>符合性</w:t>
                  </w:r>
                </w:p>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hint="eastAsia" w:ascii="Times New Roman" w:hAnsi="Times New Roman" w:eastAsia="宋体" w:cs="Times New Roman"/>
                      <w:b/>
                      <w:bCs/>
                      <w:color w:val="auto"/>
                      <w:kern w:val="2"/>
                      <w:sz w:val="21"/>
                      <w:szCs w:val="21"/>
                      <w:highlight w:val="none"/>
                      <w:lang w:val="en-US" w:eastAsia="zh-CN" w:bidi="ar-SA"/>
                    </w:rPr>
                  </w:pPr>
                  <w:r>
                    <w:rPr>
                      <w:rFonts w:hint="eastAsia" w:eastAsia="宋体"/>
                      <w:b/>
                      <w:bCs/>
                      <w:color w:val="auto"/>
                      <w:sz w:val="21"/>
                      <w:szCs w:val="21"/>
                      <w:highlight w:val="none"/>
                    </w:rPr>
                    <w:t>分析</w:t>
                  </w:r>
                </w:p>
              </w:tc>
              <w:tc>
                <w:tcPr>
                  <w:tcW w:w="5969" w:type="dxa"/>
                  <w:gridSpan w:val="2"/>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ind w:firstLine="0" w:firstLineChars="0"/>
                    <w:jc w:val="center"/>
                    <w:textAlignment w:val="baseline"/>
                    <w:rPr>
                      <w:color w:val="auto"/>
                      <w:sz w:val="21"/>
                      <w:szCs w:val="21"/>
                      <w:highlight w:val="none"/>
                    </w:rPr>
                  </w:pPr>
                  <w:r>
                    <w:rPr>
                      <w:rFonts w:hint="eastAsia"/>
                      <w:color w:val="auto"/>
                      <w:sz w:val="21"/>
                      <w:szCs w:val="21"/>
                      <w:highlight w:val="none"/>
                    </w:rPr>
                    <w:t>本项目用水量为</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sum(D3:D8) \* MERGEFORMAT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13237.5</w:t>
                  </w:r>
                  <w:r>
                    <w:rPr>
                      <w:rFonts w:hint="default" w:ascii="Times New Roman" w:hAnsi="Times New Roman" w:cs="Times New Roman"/>
                      <w:color w:val="auto"/>
                      <w:sz w:val="21"/>
                      <w:szCs w:val="21"/>
                      <w:highlight w:val="none"/>
                      <w:lang w:val="en-US" w:eastAsia="zh-CN"/>
                    </w:rPr>
                    <w:fldChar w:fldCharType="end"/>
                  </w:r>
                  <w:r>
                    <w:rPr>
                      <w:rFonts w:hint="eastAsia" w:ascii="Times New Roman" w:hAnsi="Times New Roman" w:cs="Times New Roman"/>
                      <w:color w:val="auto"/>
                      <w:sz w:val="21"/>
                      <w:szCs w:val="21"/>
                      <w:highlight w:val="none"/>
                      <w:lang w:val="en-US" w:eastAsia="zh-CN"/>
                    </w:rPr>
                    <w:t>t</w:t>
                  </w:r>
                  <w:r>
                    <w:rPr>
                      <w:rFonts w:hint="eastAsia"/>
                      <w:color w:val="auto"/>
                      <w:sz w:val="21"/>
                      <w:szCs w:val="21"/>
                      <w:highlight w:val="none"/>
                    </w:rPr>
                    <w:t>/a，</w:t>
                  </w:r>
                  <w:r>
                    <w:rPr>
                      <w:rFonts w:hint="eastAsia"/>
                      <w:color w:val="auto"/>
                      <w:sz w:val="21"/>
                      <w:szCs w:val="21"/>
                      <w:highlight w:val="none"/>
                      <w:lang w:val="en-US" w:eastAsia="zh-CN"/>
                    </w:rPr>
                    <w:t>仅为生产用水</w:t>
                  </w:r>
                  <w:r>
                    <w:rPr>
                      <w:rFonts w:hint="eastAsia"/>
                      <w:color w:val="auto"/>
                      <w:sz w:val="21"/>
                      <w:szCs w:val="21"/>
                      <w:highlight w:val="none"/>
                    </w:rPr>
                    <w:t>。远小于</w:t>
                  </w:r>
                  <w:r>
                    <w:rPr>
                      <w:rFonts w:hint="eastAsia"/>
                      <w:color w:val="auto"/>
                      <w:sz w:val="21"/>
                      <w:szCs w:val="21"/>
                      <w:highlight w:val="none"/>
                      <w:lang w:val="en-US" w:eastAsia="zh-CN"/>
                    </w:rPr>
                    <w:t>伊春市</w:t>
                  </w:r>
                  <w:r>
                    <w:rPr>
                      <w:rFonts w:hint="eastAsia"/>
                      <w:color w:val="auto"/>
                      <w:sz w:val="21"/>
                      <w:szCs w:val="21"/>
                      <w:highlight w:val="none"/>
                    </w:rPr>
                    <w:t>控制指标。</w:t>
                  </w:r>
                </w:p>
                <w:p>
                  <w:pPr>
                    <w:keepNext w:val="0"/>
                    <w:keepLines w:val="0"/>
                    <w:pageBreakBefore w:val="0"/>
                    <w:kinsoku/>
                    <w:wordWrap/>
                    <w:overflowPunct/>
                    <w:topLinePunct w:val="0"/>
                    <w:autoSpaceDE/>
                    <w:autoSpaceDN/>
                    <w:bidi w:val="0"/>
                    <w:snapToGrid/>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本项目</w:t>
                  </w:r>
                  <w:r>
                    <w:rPr>
                      <w:rFonts w:hint="eastAsia"/>
                      <w:color w:val="auto"/>
                      <w:sz w:val="21"/>
                      <w:szCs w:val="21"/>
                      <w:highlight w:val="none"/>
                      <w:lang w:val="en-US" w:eastAsia="zh-CN"/>
                    </w:rPr>
                    <w:t>冬季采用电取暖</w:t>
                  </w:r>
                  <w:r>
                    <w:rPr>
                      <w:rFonts w:hint="eastAsia"/>
                      <w:color w:val="auto"/>
                      <w:sz w:val="21"/>
                      <w:szCs w:val="21"/>
                      <w:highlight w:val="none"/>
                    </w:rPr>
                    <w:t>，符合</w:t>
                  </w:r>
                  <w:r>
                    <w:rPr>
                      <w:rFonts w:hint="eastAsia"/>
                      <w:color w:val="auto"/>
                      <w:sz w:val="21"/>
                      <w:szCs w:val="21"/>
                      <w:highlight w:val="none"/>
                      <w:lang w:val="en-US" w:eastAsia="zh-CN"/>
                    </w:rPr>
                    <w:t>伊春</w:t>
                  </w:r>
                  <w:r>
                    <w:rPr>
                      <w:rFonts w:hint="eastAsia"/>
                      <w:color w:val="auto"/>
                      <w:sz w:val="21"/>
                      <w:szCs w:val="21"/>
                      <w:highlight w:val="none"/>
                    </w:rPr>
                    <w:t>市能源控制指标。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7123" w:type="dxa"/>
                  <w:gridSpan w:val="3"/>
                  <w:tcBorders>
                    <w:top w:val="single" w:color="auto" w:sz="4" w:space="0"/>
                    <w:left w:val="nil"/>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四、环境准入清单</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环境管控单元名称</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eastAsia" w:ascii="Times New Roman" w:hAnsi="Times New Roman" w:eastAsia="宋体" w:cs="Times New Roman"/>
                      <w:color w:val="auto"/>
                      <w:sz w:val="21"/>
                      <w:szCs w:val="21"/>
                      <w:highlight w:val="none"/>
                      <w:lang w:val="en-US" w:eastAsia="zh-CN"/>
                    </w:rPr>
                    <w:t>嘉荫县</w:t>
                  </w:r>
                  <w:r>
                    <w:rPr>
                      <w:rFonts w:hint="default" w:ascii="Times New Roman" w:hAnsi="Times New Roman" w:eastAsia="宋体" w:cs="Times New Roman"/>
                      <w:color w:val="auto"/>
                      <w:sz w:val="21"/>
                      <w:szCs w:val="21"/>
                      <w:highlight w:val="none"/>
                      <w:lang w:val="en-US" w:eastAsia="zh-CN"/>
                    </w:rPr>
                    <w:t>其他区域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环境管控单元编码</w:t>
                  </w:r>
                </w:p>
              </w:tc>
              <w:tc>
                <w:tcPr>
                  <w:tcW w:w="5969" w:type="dxa"/>
                  <w:gridSpan w:val="2"/>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lang w:val="en-US" w:eastAsia="zh-CN"/>
                    </w:rPr>
                  </w:pPr>
                  <w:r>
                    <w:rPr>
                      <w:rFonts w:hint="default" w:ascii="Times New Roman" w:hAnsi="Times New Roman" w:eastAsia="宋体" w:cs="Times New Roman"/>
                      <w:color w:val="auto"/>
                      <w:kern w:val="0"/>
                      <w:sz w:val="22"/>
                      <w:szCs w:val="22"/>
                      <w:lang w:val="en-US" w:eastAsia="zh-CN" w:bidi="ar"/>
                    </w:rPr>
                    <w:t>ZH23072230002</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5969" w:type="dxa"/>
                  <w:gridSpan w:val="2"/>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highlight w:val="none"/>
                      <w:lang w:val="en-US" w:eastAsia="zh-CN"/>
                    </w:rPr>
                    <w:t>一般管控单元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5001" w:type="dxa"/>
                  <w:gridSpan w:val="2"/>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管控要求</w:t>
                  </w:r>
                </w:p>
              </w:tc>
              <w:tc>
                <w:tcPr>
                  <w:tcW w:w="2122" w:type="dxa"/>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项目符合性分析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空间布局约束</w:t>
                  </w:r>
                </w:p>
              </w:tc>
              <w:tc>
                <w:tcPr>
                  <w:tcW w:w="384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1.引导工业项目向开发区集中，促进产业集聚、资源集约、绿色发展。</w:t>
                  </w:r>
                </w:p>
                <w:p>
                  <w:pPr>
                    <w:pStyle w:val="61"/>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imes New Roman" w:cs="Times New Roman"/>
                      <w:color w:val="auto"/>
                      <w:kern w:val="2"/>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122" w:type="dxa"/>
                  <w:tcBorders>
                    <w:top w:val="single" w:color="auto" w:sz="4" w:space="0"/>
                    <w:left w:val="single" w:color="auto" w:sz="4" w:space="0"/>
                    <w:bottom w:val="single" w:color="auto" w:sz="4" w:space="0"/>
                    <w:right w:val="nil"/>
                  </w:tcBorders>
                  <w:noWrap w:val="0"/>
                  <w:vAlign w:val="center"/>
                </w:tcPr>
                <w:p>
                  <w:pPr>
                    <w:pStyle w:val="65"/>
                    <w:keepNext w:val="0"/>
                    <w:keepLines w:val="0"/>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本项目为</w:t>
                  </w:r>
                  <w:r>
                    <w:rPr>
                      <w:rFonts w:hint="eastAsia" w:eastAsia="宋体"/>
                      <w:b w:val="0"/>
                      <w:bCs/>
                      <w:color w:val="000000" w:themeColor="text1"/>
                      <w:sz w:val="21"/>
                      <w:szCs w:val="21"/>
                      <w:highlight w:val="none"/>
                      <w:lang w:val="en-US" w:eastAsia="zh-CN"/>
                      <w14:textFill>
                        <w14:solidFill>
                          <w14:schemeClr w14:val="tx1"/>
                        </w14:solidFill>
                      </w14:textFill>
                    </w:rPr>
                    <w:t>水泥制品制造</w:t>
                  </w:r>
                  <w:r>
                    <w:rPr>
                      <w:rFonts w:hint="eastAsia"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，在采取各项保护措施后，污染物排放能够达到相应的排放标准；本项目符合产业政策。</w:t>
                  </w:r>
                </w:p>
                <w:p>
                  <w:pPr>
                    <w:pStyle w:val="61"/>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yellow"/>
                      <w:lang w:val="en-US" w:eastAsia="zh-CN" w:bidi="ar-SA"/>
                    </w:rPr>
                  </w:pPr>
                  <w:r>
                    <w:rPr>
                      <w:rFonts w:hint="eastAsia"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Times New Roman" w:cs="Times New Roman"/>
                      <w:b w:val="0"/>
                      <w:bCs/>
                      <w:color w:val="000000" w:themeColor="text1"/>
                      <w:kern w:val="2"/>
                      <w:sz w:val="21"/>
                      <w:szCs w:val="21"/>
                      <w:highlight w:val="none"/>
                      <w:lang w:val="en-US" w:eastAsia="zh-CN" w:bidi="ar-SA"/>
                      <w14:textFill>
                        <w14:solidFill>
                          <w14:schemeClr w14:val="tx1"/>
                        </w14:solidFill>
                      </w14:textFill>
                    </w:rPr>
                    <w:t>本项目不属于电力、钢铁、建材、有色、化工、石油石化、船舶、煤炭、印染、造纸、制革、染料、焦化、电镀等行业。</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污染物排放管控</w:t>
                  </w:r>
                </w:p>
              </w:tc>
              <w:tc>
                <w:tcPr>
                  <w:tcW w:w="3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122"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环境风险防控</w:t>
                  </w:r>
                </w:p>
              </w:tc>
              <w:tc>
                <w:tcPr>
                  <w:tcW w:w="3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122"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54" w:type="dxa"/>
                  <w:tcBorders>
                    <w:top w:val="single" w:color="auto" w:sz="4" w:space="0"/>
                    <w:left w:val="nil"/>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lang w:bidi="ar"/>
                    </w:rPr>
                  </w:pPr>
                  <w:r>
                    <w:rPr>
                      <w:rFonts w:hint="eastAsia"/>
                      <w:b/>
                      <w:bCs/>
                      <w:color w:val="auto"/>
                      <w:sz w:val="21"/>
                      <w:szCs w:val="21"/>
                      <w:lang w:bidi="ar"/>
                    </w:rPr>
                    <w:t>资源开发效率要求</w:t>
                  </w:r>
                </w:p>
              </w:tc>
              <w:tc>
                <w:tcPr>
                  <w:tcW w:w="3847" w:type="dxa"/>
                  <w:tcBorders>
                    <w:top w:val="single" w:color="auto" w:sz="4" w:space="0"/>
                    <w:left w:val="single" w:color="auto" w:sz="4" w:space="0"/>
                    <w:bottom w:val="single" w:color="auto" w:sz="4" w:space="0"/>
                    <w:right w:val="single" w:color="auto" w:sz="4" w:space="0"/>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color w:val="auto"/>
                      <w:sz w:val="21"/>
                      <w:szCs w:val="21"/>
                    </w:rPr>
                    <w:t>/</w:t>
                  </w:r>
                </w:p>
              </w:tc>
              <w:tc>
                <w:tcPr>
                  <w:tcW w:w="2122" w:type="dxa"/>
                  <w:tcBorders>
                    <w:top w:val="single" w:color="auto" w:sz="4" w:space="0"/>
                    <w:left w:val="single" w:color="auto" w:sz="4" w:space="0"/>
                    <w:bottom w:val="single" w:color="auto" w:sz="4" w:space="0"/>
                    <w:right w:val="nil"/>
                  </w:tcBorders>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color w:val="auto"/>
                      <w:sz w:val="21"/>
                      <w:szCs w:val="21"/>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54" w:type="dxa"/>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lang w:val="en-US" w:eastAsia="zh-CN" w:bidi="ar-SA"/>
                    </w:rPr>
                  </w:pPr>
                  <w:r>
                    <w:rPr>
                      <w:b/>
                      <w:bCs/>
                      <w:color w:val="auto"/>
                      <w:sz w:val="21"/>
                      <w:szCs w:val="21"/>
                      <w:lang w:bidi="ar"/>
                    </w:rPr>
                    <w:t>环境管控单元名称</w:t>
                  </w:r>
                </w:p>
              </w:tc>
              <w:tc>
                <w:tcPr>
                  <w:tcW w:w="5969" w:type="dxa"/>
                  <w:gridSpan w:val="2"/>
                  <w:tcBorders>
                    <w:top w:val="single" w:color="auto" w:sz="4" w:space="0"/>
                    <w:left w:val="single" w:color="auto" w:sz="4" w:space="0"/>
                    <w:bottom w:val="single" w:color="auto" w:sz="4" w:space="0"/>
                    <w:right w:val="nil"/>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default" w:ascii="Times New Roman" w:hAnsi="Times New Roman" w:eastAsia="宋体" w:cs="Times New Roman"/>
                      <w:color w:val="auto"/>
                      <w:sz w:val="21"/>
                      <w:szCs w:val="21"/>
                      <w:highlight w:val="none"/>
                      <w:lang w:val="en-US" w:eastAsia="zh-CN"/>
                    </w:rPr>
                    <w:t>嘉荫县城镇空间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54" w:type="dxa"/>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lang w:val="en-US" w:eastAsia="zh-CN" w:bidi="ar-SA"/>
                    </w:rPr>
                  </w:pPr>
                  <w:r>
                    <w:rPr>
                      <w:b/>
                      <w:bCs/>
                      <w:color w:val="auto"/>
                      <w:sz w:val="21"/>
                      <w:szCs w:val="21"/>
                      <w:lang w:bidi="ar"/>
                    </w:rPr>
                    <w:t>环境管控单元编码</w:t>
                  </w:r>
                </w:p>
              </w:tc>
              <w:tc>
                <w:tcPr>
                  <w:tcW w:w="5969" w:type="dxa"/>
                  <w:gridSpan w:val="2"/>
                  <w:tcBorders>
                    <w:top w:val="single" w:color="auto" w:sz="4" w:space="0"/>
                    <w:left w:val="single" w:color="auto" w:sz="4" w:space="0"/>
                    <w:bottom w:val="single" w:color="auto" w:sz="4" w:space="0"/>
                    <w:right w:val="nil"/>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ascii="Times New Roman" w:hAnsi="Times New Roman" w:eastAsia="仿宋_GB2312"/>
                      <w:color w:val="auto"/>
                      <w:sz w:val="21"/>
                      <w:szCs w:val="21"/>
                      <w:highlight w:val="none"/>
                    </w:rPr>
                    <w:t>ZH23072220002</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1154" w:type="dxa"/>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lang w:val="en-US" w:eastAsia="zh-CN" w:bidi="ar-SA"/>
                    </w:rPr>
                  </w:pPr>
                  <w:r>
                    <w:rPr>
                      <w:b/>
                      <w:bCs/>
                      <w:color w:val="auto"/>
                      <w:sz w:val="21"/>
                      <w:szCs w:val="21"/>
                      <w:lang w:bidi="ar"/>
                    </w:rPr>
                    <w:t>管控单元类别</w:t>
                  </w:r>
                </w:p>
              </w:tc>
              <w:tc>
                <w:tcPr>
                  <w:tcW w:w="5969" w:type="dxa"/>
                  <w:gridSpan w:val="2"/>
                  <w:tcBorders>
                    <w:top w:val="single" w:color="auto" w:sz="4" w:space="0"/>
                    <w:left w:val="single" w:color="auto" w:sz="4" w:space="0"/>
                    <w:bottom w:val="single" w:color="auto" w:sz="4" w:space="0"/>
                    <w:right w:val="nil"/>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ascii="Times New Roman" w:hAnsi="Times New Roman" w:eastAsia="宋体" w:cs="Times New Roman"/>
                      <w:color w:val="auto"/>
                      <w:sz w:val="21"/>
                      <w:szCs w:val="21"/>
                      <w:highlight w:val="none"/>
                      <w:lang w:val="en-US" w:eastAsia="zh-CN"/>
                    </w:rPr>
                    <w:t>重点</w:t>
                  </w:r>
                  <w:r>
                    <w:rPr>
                      <w:rFonts w:hint="default" w:ascii="Times New Roman" w:hAnsi="Times New Roman" w:eastAsia="宋体" w:cs="Times New Roman"/>
                      <w:color w:val="auto"/>
                      <w:sz w:val="21"/>
                      <w:szCs w:val="21"/>
                      <w:highlight w:val="none"/>
                      <w:lang w:val="en-US" w:eastAsia="zh-CN"/>
                    </w:rPr>
                    <w:t>管控单元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5001" w:type="dxa"/>
                  <w:gridSpan w:val="2"/>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bidi="ar-SA"/>
                    </w:rPr>
                  </w:pPr>
                  <w:r>
                    <w:rPr>
                      <w:b/>
                      <w:bCs/>
                      <w:color w:val="auto"/>
                      <w:sz w:val="21"/>
                      <w:szCs w:val="21"/>
                      <w:highlight w:val="none"/>
                      <w:lang w:bidi="ar"/>
                    </w:rPr>
                    <w:t>管控要求</w:t>
                  </w:r>
                </w:p>
              </w:tc>
              <w:tc>
                <w:tcPr>
                  <w:tcW w:w="2122" w:type="dxa"/>
                  <w:tcBorders>
                    <w:top w:val="single" w:color="auto" w:sz="4" w:space="0"/>
                    <w:left w:val="single" w:color="auto" w:sz="4" w:space="0"/>
                    <w:bottom w:val="single" w:color="auto" w:sz="4" w:space="0"/>
                    <w:right w:val="nil"/>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bidi="ar-SA"/>
                    </w:rPr>
                  </w:pPr>
                  <w:r>
                    <w:rPr>
                      <w:b/>
                      <w:bCs/>
                      <w:color w:val="auto"/>
                      <w:sz w:val="21"/>
                      <w:szCs w:val="21"/>
                      <w:highlight w:val="none"/>
                      <w:lang w:bidi="ar"/>
                    </w:rPr>
                    <w:t>项目符合性分析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154" w:type="dxa"/>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bidi="ar-SA"/>
                    </w:rPr>
                  </w:pPr>
                  <w:r>
                    <w:rPr>
                      <w:b/>
                      <w:bCs/>
                      <w:color w:val="auto"/>
                      <w:sz w:val="21"/>
                      <w:szCs w:val="21"/>
                      <w:highlight w:val="none"/>
                      <w:lang w:bidi="ar"/>
                    </w:rPr>
                    <w:t>空间布局约束</w:t>
                  </w:r>
                </w:p>
              </w:tc>
              <w:tc>
                <w:tcPr>
                  <w:tcW w:w="38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执行准入要求：</w:t>
                  </w:r>
                </w:p>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1.</w:t>
                  </w:r>
                  <w:r>
                    <w:rPr>
                      <w:rFonts w:hint="eastAsia" w:ascii="Times New Roman" w:hAnsi="Times New Roman" w:eastAsia="宋体" w:cs="Times New Roman"/>
                      <w:color w:val="auto"/>
                      <w:sz w:val="21"/>
                      <w:szCs w:val="21"/>
                      <w:highlight w:val="none"/>
                      <w:lang w:val="zh-CN" w:eastAsia="zh-CN"/>
                    </w:rPr>
                    <w:t>严禁在人口密集区新建危险化学品生产项目，城镇人口密集区危险化学品生产企业应搬迁改造。</w:t>
                  </w:r>
                </w:p>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禁止在城镇居民区、文化教育科学研究区等人口集中区域建设畜禽养殖场、养殖小区。</w:t>
                  </w:r>
                </w:p>
              </w:tc>
              <w:tc>
                <w:tcPr>
                  <w:tcW w:w="2122" w:type="dxa"/>
                  <w:tcBorders>
                    <w:top w:val="single" w:color="auto" w:sz="4" w:space="0"/>
                    <w:left w:val="single" w:color="auto" w:sz="4" w:space="0"/>
                    <w:bottom w:val="single" w:color="auto" w:sz="4" w:space="0"/>
                    <w:right w:val="nil"/>
                  </w:tcBorders>
                  <w:shd w:val="clear" w:color="auto" w:fill="auto"/>
                  <w:noWrap w:val="0"/>
                  <w:vAlign w:val="center"/>
                </w:tcPr>
                <w:p>
                  <w:pPr>
                    <w:adjustRightInd w:val="0"/>
                    <w:spacing w:line="240" w:lineRule="atLeast"/>
                    <w:textAlignment w:val="baseline"/>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项目为水泥制品制造</w:t>
                  </w:r>
                </w:p>
                <w:p>
                  <w:pPr>
                    <w:adjustRightInd w:val="0"/>
                    <w:spacing w:line="240" w:lineRule="atLeast"/>
                    <w:textAlignment w:val="baseline"/>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项目，不属于</w:t>
                  </w:r>
                  <w:r>
                    <w:rPr>
                      <w:rFonts w:hint="default" w:ascii="Times New Roman" w:hAnsi="Times New Roman" w:eastAsia="宋体" w:cs="Times New Roman"/>
                      <w:color w:val="auto"/>
                      <w:sz w:val="21"/>
                      <w:szCs w:val="21"/>
                      <w:highlight w:val="none"/>
                      <w:lang w:val="zh-CN"/>
                    </w:rPr>
                    <w:t>危险化学品生产项目</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lang w:val="zh-CN"/>
                    </w:rPr>
                    <w:t>畜禽养殖场、养殖小区，</w:t>
                  </w:r>
                  <w:r>
                    <w:rPr>
                      <w:rFonts w:hint="default" w:ascii="Times New Roman" w:hAnsi="Times New Roman" w:eastAsia="宋体" w:cs="Times New Roman"/>
                      <w:color w:val="auto"/>
                      <w:sz w:val="21"/>
                      <w:szCs w:val="21"/>
                      <w:highlight w:val="none"/>
                      <w:lang w:val="en-US" w:eastAsia="zh-CN"/>
                    </w:rPr>
                    <w:t>符合上述要求。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54" w:type="dxa"/>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lang w:val="en-US" w:eastAsia="zh-CN" w:bidi="ar-SA"/>
                    </w:rPr>
                  </w:pPr>
                  <w:r>
                    <w:rPr>
                      <w:b/>
                      <w:bCs/>
                      <w:color w:val="auto"/>
                      <w:sz w:val="21"/>
                      <w:szCs w:val="21"/>
                      <w:lang w:bidi="ar"/>
                    </w:rPr>
                    <w:t>污染物排放管控</w:t>
                  </w:r>
                </w:p>
              </w:tc>
              <w:tc>
                <w:tcPr>
                  <w:tcW w:w="38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执行准入要求：</w:t>
                  </w:r>
                  <w:r>
                    <w:rPr>
                      <w:rFonts w:hint="eastAsia" w:ascii="Times New Roman" w:hAnsi="Times New Roman" w:eastAsia="宋体" w:cs="Times New Roman"/>
                      <w:color w:val="auto"/>
                      <w:sz w:val="21"/>
                      <w:szCs w:val="21"/>
                      <w:highlight w:val="none"/>
                      <w:lang w:val="zh-CN" w:eastAsia="zh-CN"/>
                    </w:rPr>
                    <w:t>加快65t／h以上燃煤锅炉（含电力）超低排放改造。</w:t>
                  </w:r>
                </w:p>
              </w:tc>
              <w:tc>
                <w:tcPr>
                  <w:tcW w:w="2122" w:type="dxa"/>
                  <w:tcBorders>
                    <w:top w:val="single" w:color="auto" w:sz="4" w:space="0"/>
                    <w:left w:val="single" w:color="auto" w:sz="4" w:space="0"/>
                    <w:bottom w:val="single" w:color="auto" w:sz="4" w:space="0"/>
                    <w:right w:val="nil"/>
                  </w:tcBorders>
                  <w:shd w:val="clear" w:color="auto" w:fill="auto"/>
                  <w:noWrap w:val="0"/>
                  <w:vAlign w:val="center"/>
                </w:tcPr>
                <w:p>
                  <w:pPr>
                    <w:adjustRightInd w:val="0"/>
                    <w:spacing w:line="240" w:lineRule="atLeast"/>
                    <w:textAlignment w:val="baseline"/>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冬季使用电取暖，</w:t>
                  </w:r>
                  <w:r>
                    <w:rPr>
                      <w:rFonts w:hint="default" w:ascii="Times New Roman" w:hAnsi="Times New Roman" w:eastAsia="宋体" w:cs="Times New Roman"/>
                      <w:color w:val="auto"/>
                      <w:kern w:val="0"/>
                      <w:sz w:val="21"/>
                      <w:szCs w:val="21"/>
                      <w:highlight w:val="none"/>
                      <w:lang w:val="en-US" w:eastAsia="zh-CN" w:bidi="ar"/>
                    </w:rPr>
                    <w:t>不使用高污染原料。本项目建设符合污染物排放管控要求。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54" w:type="dxa"/>
                  <w:tcBorders>
                    <w:top w:val="single" w:color="auto" w:sz="4" w:space="0"/>
                    <w:left w:val="nil"/>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lang w:val="en-US" w:eastAsia="zh-CN" w:bidi="ar-SA"/>
                    </w:rPr>
                  </w:pPr>
                  <w:r>
                    <w:rPr>
                      <w:b/>
                      <w:bCs/>
                      <w:color w:val="auto"/>
                      <w:sz w:val="21"/>
                      <w:szCs w:val="21"/>
                      <w:lang w:bidi="ar"/>
                    </w:rPr>
                    <w:t>环境风险防控</w:t>
                  </w:r>
                </w:p>
              </w:tc>
              <w:tc>
                <w:tcPr>
                  <w:tcW w:w="38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执行准入要求：</w:t>
                  </w:r>
                </w:p>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en-US" w:eastAsia="zh-CN"/>
                    </w:rPr>
                    <w:t>化工园区与城市建成区、人员密集场所、重要设施、敏感目标等应当保持规定的安全距离，相对封闭，不应保留常住居民，非关联企业和产业要逐步搬迁或退出，妥善防范化解“邻避”问题。严禁在松花江干流及一级支流沿岸</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公里范围内布局化工园区。</w:t>
                  </w:r>
                </w:p>
              </w:tc>
              <w:tc>
                <w:tcPr>
                  <w:tcW w:w="2122" w:type="dxa"/>
                  <w:tcBorders>
                    <w:top w:val="single" w:color="auto" w:sz="4" w:space="0"/>
                    <w:left w:val="single" w:color="auto" w:sz="4" w:space="0"/>
                    <w:bottom w:val="single" w:color="auto" w:sz="4" w:space="0"/>
                    <w:right w:val="nil"/>
                  </w:tcBorders>
                  <w:shd w:val="clear" w:color="auto" w:fill="auto"/>
                  <w:noWrap w:val="0"/>
                  <w:vAlign w:val="center"/>
                </w:tcPr>
                <w:p>
                  <w:pPr>
                    <w:adjustRightInd w:val="0"/>
                    <w:spacing w:line="240" w:lineRule="atLeast"/>
                    <w:textAlignment w:val="baseline"/>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为水泥制品制造项目</w:t>
                  </w:r>
                  <w:r>
                    <w:rPr>
                      <w:rFonts w:hint="default" w:ascii="Times New Roman" w:hAnsi="Times New Roman" w:eastAsia="宋体" w:cs="Times New Roman"/>
                      <w:color w:val="auto"/>
                      <w:sz w:val="21"/>
                      <w:szCs w:val="21"/>
                      <w:highlight w:val="none"/>
                    </w:rPr>
                    <w:t>，符合环境风险管控要求。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54" w:type="dxa"/>
                  <w:shd w:val="clear" w:color="auto" w:fill="auto"/>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color w:val="auto"/>
                      <w:sz w:val="21"/>
                      <w:szCs w:val="21"/>
                      <w:lang w:val="en-US" w:eastAsia="zh-CN" w:bidi="ar"/>
                    </w:rPr>
                  </w:pPr>
                  <w:r>
                    <w:rPr>
                      <w:rFonts w:hint="eastAsia"/>
                      <w:b/>
                      <w:bCs/>
                      <w:color w:val="auto"/>
                      <w:sz w:val="21"/>
                      <w:szCs w:val="21"/>
                      <w:lang w:bidi="ar"/>
                    </w:rPr>
                    <w:t>资源开发效率要求</w:t>
                  </w:r>
                </w:p>
              </w:tc>
              <w:tc>
                <w:tcPr>
                  <w:tcW w:w="3847" w:type="dxa"/>
                  <w:shd w:val="clear" w:color="auto" w:fill="auto"/>
                  <w:vAlign w:val="center"/>
                </w:tcPr>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执行准入要求：</w:t>
                  </w:r>
                </w:p>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1.</w:t>
                  </w:r>
                  <w:r>
                    <w:rPr>
                      <w:rFonts w:hint="eastAsia" w:ascii="Times New Roman" w:hAnsi="Times New Roman" w:eastAsia="宋体" w:cs="Times New Roman"/>
                      <w:color w:val="auto"/>
                      <w:sz w:val="21"/>
                      <w:szCs w:val="21"/>
                      <w:highlight w:val="none"/>
                      <w:lang w:val="zh-CN" w:eastAsia="zh-CN"/>
                    </w:rPr>
                    <w:t>推进污水再生利用设施建设。</w:t>
                  </w:r>
                </w:p>
                <w:p>
                  <w:pPr>
                    <w:pStyle w:val="110"/>
                    <w:keepNext w:val="0"/>
                    <w:keepLines w:val="0"/>
                    <w:pageBreakBefore w:val="0"/>
                    <w:kinsoku/>
                    <w:wordWrap/>
                    <w:overflowPunct/>
                    <w:topLinePunct w:val="0"/>
                    <w:autoSpaceDE/>
                    <w:autoSpaceDN/>
                    <w:bidi w:val="0"/>
                    <w:snapToGrid/>
                    <w:spacing w:line="240" w:lineRule="auto"/>
                    <w:ind w:firstLine="0" w:firstLineChars="0"/>
                    <w:jc w:val="left"/>
                    <w:rPr>
                      <w:rFonts w:hint="eastAsia"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公共建筑必须采用节水器具，限期淘汰公共建筑中不符合节水标准的水嘴、便器水箱等生活用水器具。</w:t>
                  </w:r>
                </w:p>
              </w:tc>
              <w:tc>
                <w:tcPr>
                  <w:tcW w:w="2122" w:type="dxa"/>
                  <w:shd w:val="clear" w:color="auto" w:fill="auto"/>
                  <w:vAlign w:val="center"/>
                </w:tcPr>
                <w:p>
                  <w:pPr>
                    <w:adjustRightInd w:val="0"/>
                    <w:spacing w:line="240" w:lineRule="atLeast"/>
                    <w:textAlignment w:val="baseline"/>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生产废水经三级沉淀池处理后回用于生产，不外排，符合资源开发利用要求。</w:t>
                  </w:r>
                </w:p>
              </w:tc>
            </w:tr>
          </w:tbl>
          <w:p>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③一说明</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highlight w:val="yellow"/>
              </w:rPr>
            </w:pPr>
            <w:r>
              <w:rPr>
                <w:b w:val="0"/>
                <w:bCs/>
                <w:snapToGrid w:val="0"/>
                <w:color w:val="000000" w:themeColor="text1"/>
                <w:kern w:val="0"/>
                <w:sz w:val="24"/>
                <w14:textFill>
                  <w14:solidFill>
                    <w14:schemeClr w14:val="tx1"/>
                  </w14:solidFill>
                </w14:textFill>
              </w:rPr>
              <w:t>严格落实本报告提出的环保措施后，本项目污染物均可达标排放。项目建设对周围环境影响较小，本项目符合</w:t>
            </w:r>
            <w:r>
              <w:rPr>
                <w:rFonts w:hint="eastAsia"/>
                <w:b w:val="0"/>
                <w:bCs/>
                <w:color w:val="000000" w:themeColor="text1"/>
                <w:kern w:val="0"/>
                <w:sz w:val="24"/>
                <w:szCs w:val="21"/>
                <w14:textFill>
                  <w14:solidFill>
                    <w14:schemeClr w14:val="tx1"/>
                  </w14:solidFill>
                </w14:textFill>
              </w:rPr>
              <w:t>《黑龙江省人民政府关于实施“三线一单”生态环境分区管控的意见》（黑政发〔</w:t>
            </w:r>
            <w:r>
              <w:rPr>
                <w:b w:val="0"/>
                <w:bCs/>
                <w:color w:val="000000" w:themeColor="text1"/>
                <w:kern w:val="0"/>
                <w:sz w:val="24"/>
                <w:szCs w:val="21"/>
                <w14:textFill>
                  <w14:solidFill>
                    <w14:schemeClr w14:val="tx1"/>
                  </w14:solidFill>
                </w14:textFill>
              </w:rPr>
              <w:t>2020</w:t>
            </w:r>
            <w:r>
              <w:rPr>
                <w:rFonts w:hint="eastAsia"/>
                <w:b w:val="0"/>
                <w:bCs/>
                <w:color w:val="000000" w:themeColor="text1"/>
                <w:kern w:val="0"/>
                <w:sz w:val="24"/>
                <w:szCs w:val="21"/>
                <w14:textFill>
                  <w14:solidFill>
                    <w14:schemeClr w14:val="tx1"/>
                  </w14:solidFill>
                </w14:textFill>
              </w:rPr>
              <w:t>〕</w:t>
            </w:r>
            <w:r>
              <w:rPr>
                <w:b w:val="0"/>
                <w:bCs/>
                <w:color w:val="000000" w:themeColor="text1"/>
                <w:kern w:val="0"/>
                <w:sz w:val="24"/>
                <w:szCs w:val="21"/>
                <w14:textFill>
                  <w14:solidFill>
                    <w14:schemeClr w14:val="tx1"/>
                  </w14:solidFill>
                </w14:textFill>
              </w:rPr>
              <w:t xml:space="preserve">14 </w:t>
            </w:r>
            <w:r>
              <w:rPr>
                <w:rFonts w:hint="eastAsia"/>
                <w:b w:val="0"/>
                <w:bCs/>
                <w:color w:val="000000" w:themeColor="text1"/>
                <w:kern w:val="0"/>
                <w:sz w:val="24"/>
                <w:szCs w:val="21"/>
                <w14:textFill>
                  <w14:solidFill>
                    <w14:schemeClr w14:val="tx1"/>
                  </w14:solidFill>
                </w14:textFill>
              </w:rPr>
              <w:t>号）和《伊春市生态环境准入清单》（2023版）</w:t>
            </w:r>
            <w:r>
              <w:rPr>
                <w:b w:val="0"/>
                <w:bCs/>
                <w:snapToGrid w:val="0"/>
                <w:color w:val="000000" w:themeColor="text1"/>
                <w:kern w:val="0"/>
                <w:sz w:val="24"/>
                <w14:textFill>
                  <w14:solidFill>
                    <w14:schemeClr w14:val="tx1"/>
                  </w14:solidFill>
                </w14:textFill>
              </w:rPr>
              <w:t>中要求。</w:t>
            </w:r>
          </w:p>
          <w:p>
            <w:pPr>
              <w:pStyle w:val="54"/>
              <w:numPr>
                <w:ilvl w:val="0"/>
                <w:numId w:val="4"/>
              </w:numPr>
              <w:ind w:left="-2" w:leftChars="0" w:firstLine="482" w:firstLineChars="0"/>
              <w:rPr>
                <w:b/>
                <w:bCs/>
                <w:color w:val="000000" w:themeColor="text1"/>
                <w14:textFill>
                  <w14:solidFill>
                    <w14:schemeClr w14:val="tx1"/>
                  </w14:solidFill>
                </w14:textFill>
              </w:rPr>
            </w:pPr>
            <w:r>
              <w:rPr>
                <w:b/>
                <w:color w:val="000000" w:themeColor="text1"/>
                <w:kern w:val="0"/>
                <w:szCs w:val="21"/>
                <w14:textFill>
                  <w14:solidFill>
                    <w14:schemeClr w14:val="tx1"/>
                  </w14:solidFill>
                </w14:textFill>
              </w:rPr>
              <w:t>与《中华人民共和国大气污染防治法》符合性分析</w:t>
            </w:r>
          </w:p>
          <w:p>
            <w:pPr>
              <w:pStyle w:val="60"/>
              <w:numPr>
                <w:ilvl w:val="0"/>
                <w:numId w:val="0"/>
              </w:num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表1-</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与《中华人民共和国大气污染防治法》符合性分析</w:t>
            </w:r>
          </w:p>
          <w:tbl>
            <w:tblPr>
              <w:tblStyle w:val="32"/>
              <w:tblW w:w="71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46"/>
              <w:gridCol w:w="3255"/>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46" w:type="dxa"/>
                  <w:vAlign w:val="center"/>
                </w:tcPr>
                <w:p>
                  <w:pPr>
                    <w:kinsoku w:val="0"/>
                    <w:overflowPunct w:val="0"/>
                    <w:autoSpaceDE w:val="0"/>
                    <w:autoSpaceDN w:val="0"/>
                    <w:adjustRightIn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《中华人民共和国大气污染防治法》中规定</w:t>
                  </w:r>
                </w:p>
              </w:tc>
              <w:tc>
                <w:tcPr>
                  <w:tcW w:w="3255" w:type="dxa"/>
                  <w:vAlign w:val="center"/>
                </w:tcPr>
                <w:p>
                  <w:pPr>
                    <w:kinsoku w:val="0"/>
                    <w:overflowPunct w:val="0"/>
                    <w:autoSpaceDE w:val="0"/>
                    <w:autoSpaceDN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项目情况</w:t>
                  </w:r>
                </w:p>
              </w:tc>
              <w:tc>
                <w:tcPr>
                  <w:tcW w:w="721" w:type="dxa"/>
                  <w:vAlign w:val="center"/>
                </w:tcPr>
                <w:p>
                  <w:pPr>
                    <w:kinsoku w:val="0"/>
                    <w:overflowPunct w:val="0"/>
                    <w:autoSpaceDE w:val="0"/>
                    <w:autoSpaceDN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46" w:type="dxa"/>
                  <w:vAlign w:val="center"/>
                </w:tcPr>
                <w:p>
                  <w:pPr>
                    <w:kinsoku w:val="0"/>
                    <w:overflowPunct w:val="0"/>
                    <w:autoSpaceDE w:val="0"/>
                    <w:autoSpaceDN w:val="0"/>
                    <w:jc w:val="left"/>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tc>
              <w:tc>
                <w:tcPr>
                  <w:tcW w:w="3255" w:type="dxa"/>
                  <w:vAlign w:val="center"/>
                </w:tcPr>
                <w:p>
                  <w:pPr>
                    <w:kinsoku w:val="0"/>
                    <w:overflowPunct w:val="0"/>
                    <w:autoSpaceDE w:val="0"/>
                    <w:autoSpaceDN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项目施工现场设置围栏、洒水降尘、运输车辆加盖苫布、施工区域内砂土堆场加盖苫布、建筑垃圾及时清运。有效</w:t>
                  </w:r>
                  <w:r>
                    <w:rPr>
                      <w:rFonts w:hint="eastAsia"/>
                      <w:bCs/>
                      <w:color w:val="000000" w:themeColor="text1"/>
                      <w:sz w:val="21"/>
                      <w:szCs w:val="21"/>
                      <w14:textFill>
                        <w14:solidFill>
                          <w14:schemeClr w14:val="tx1"/>
                        </w14:solidFill>
                      </w14:textFill>
                    </w:rPr>
                    <w:t>的</w:t>
                  </w:r>
                  <w:r>
                    <w:rPr>
                      <w:bCs/>
                      <w:color w:val="000000" w:themeColor="text1"/>
                      <w:sz w:val="21"/>
                      <w:szCs w:val="21"/>
                      <w14:textFill>
                        <w14:solidFill>
                          <w14:schemeClr w14:val="tx1"/>
                        </w14:solidFill>
                      </w14:textFill>
                    </w:rPr>
                    <w:t>控制了施工期粉尘对大气环境的影响</w:t>
                  </w:r>
                  <w:r>
                    <w:rPr>
                      <w:rFonts w:hint="eastAsia"/>
                      <w:color w:val="000000" w:themeColor="text1"/>
                      <w:sz w:val="21"/>
                      <w:szCs w:val="21"/>
                      <w14:textFill>
                        <w14:solidFill>
                          <w14:schemeClr w14:val="tx1"/>
                        </w14:solidFill>
                      </w14:textFill>
                    </w:rPr>
                    <w:t>。</w:t>
                  </w:r>
                </w:p>
              </w:tc>
              <w:tc>
                <w:tcPr>
                  <w:tcW w:w="721" w:type="dxa"/>
                  <w:vAlign w:val="center"/>
                </w:tcPr>
                <w:p>
                  <w:pPr>
                    <w:kinsoku w:val="0"/>
                    <w:overflowPunct w:val="0"/>
                    <w:autoSpaceDE w:val="0"/>
                    <w:autoSpaceDN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46" w:type="dxa"/>
                  <w:vAlign w:val="center"/>
                </w:tcPr>
                <w:p>
                  <w:pPr>
                    <w:kinsoku w:val="0"/>
                    <w:overflowPunct w:val="0"/>
                    <w:autoSpaceDE w:val="0"/>
                    <w:autoSpaceDN w:val="0"/>
                    <w:jc w:val="left"/>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运输煤炭、垃圾、渣土、砂石、土方、灰浆等散装、流体物料的车辆应当采取密闭或者其他措施防止物料遗撒造成扬尘污染，并按照规定路线行驶。</w:t>
                  </w:r>
                </w:p>
              </w:tc>
              <w:tc>
                <w:tcPr>
                  <w:tcW w:w="3255" w:type="dxa"/>
                  <w:vAlign w:val="center"/>
                </w:tcPr>
                <w:p>
                  <w:pPr>
                    <w:kinsoku w:val="0"/>
                    <w:overflowPunct w:val="0"/>
                    <w:autoSpaceDE w:val="0"/>
                    <w:autoSpaceDN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水泥采用封闭式罐车运入厂区，砂石料运输车辆全部采用苫布覆盖；原料的输送、计量及投料均为封闭式、进入厂区控制车速。</w:t>
                  </w:r>
                </w:p>
              </w:tc>
              <w:tc>
                <w:tcPr>
                  <w:tcW w:w="721" w:type="dxa"/>
                  <w:vAlign w:val="center"/>
                </w:tcPr>
                <w:p>
                  <w:pPr>
                    <w:kinsoku w:val="0"/>
                    <w:overflowPunct w:val="0"/>
                    <w:autoSpaceDE w:val="0"/>
                    <w:autoSpaceDN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46" w:type="dxa"/>
                  <w:vAlign w:val="center"/>
                </w:tcPr>
                <w:p>
                  <w:pPr>
                    <w:kinsoku w:val="0"/>
                    <w:overflowPunct w:val="0"/>
                    <w:autoSpaceDE w:val="0"/>
                    <w:autoSpaceDN w:val="0"/>
                    <w:jc w:val="left"/>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装卸物料应当采取密闭或者喷淋等方式防治扬尘污染。</w:t>
                  </w:r>
                </w:p>
              </w:tc>
              <w:tc>
                <w:tcPr>
                  <w:tcW w:w="3255" w:type="dxa"/>
                  <w:vAlign w:val="center"/>
                </w:tcPr>
                <w:p>
                  <w:pPr>
                    <w:tabs>
                      <w:tab w:val="left" w:pos="2700"/>
                    </w:tabs>
                    <w:kinsoku w:val="0"/>
                    <w:overflowPunct w:val="0"/>
                    <w:autoSpaceDE w:val="0"/>
                    <w:autoSpaceDN w:val="0"/>
                    <w:adjustRightInd w:val="0"/>
                    <w:snapToGrid w:val="0"/>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项目避免在大风天气</w:t>
                  </w:r>
                  <w:r>
                    <w:rPr>
                      <w:rFonts w:hint="eastAsia"/>
                      <w:color w:val="000000" w:themeColor="text1"/>
                      <w:sz w:val="21"/>
                      <w:szCs w:val="21"/>
                      <w14:textFill>
                        <w14:solidFill>
                          <w14:schemeClr w14:val="tx1"/>
                        </w14:solidFill>
                      </w14:textFill>
                    </w:rPr>
                    <w:t>运输，</w:t>
                  </w:r>
                  <w:r>
                    <w:rPr>
                      <w:color w:val="000000" w:themeColor="text1"/>
                      <w:sz w:val="21"/>
                      <w:szCs w:val="21"/>
                      <w14:textFill>
                        <w14:solidFill>
                          <w14:schemeClr w14:val="tx1"/>
                        </w14:solidFill>
                      </w14:textFill>
                    </w:rPr>
                    <w:t>水泥采用封闭式罐车运入厂区，砂石料运输车辆全部采用苫布覆盖；原料的输送、计量及投料均为封闭式</w:t>
                  </w:r>
                  <w:r>
                    <w:rPr>
                      <w:rFonts w:hint="eastAsia"/>
                      <w:color w:val="000000" w:themeColor="text1"/>
                      <w:sz w:val="21"/>
                      <w:szCs w:val="21"/>
                      <w14:textFill>
                        <w14:solidFill>
                          <w14:schemeClr w14:val="tx1"/>
                        </w14:solidFill>
                      </w14:textFill>
                    </w:rPr>
                    <w:t>，可避免扬尘现象发生。生产过程中设置喷淋装置，生产卸料喷淋降尘，封闭式料仓，洒水抑尘、厂区地面硬化</w:t>
                  </w:r>
                  <w:r>
                    <w:rPr>
                      <w:rFonts w:hint="eastAsia"/>
                      <w:bCs/>
                      <w:color w:val="000000" w:themeColor="text1"/>
                      <w:sz w:val="21"/>
                      <w:szCs w:val="21"/>
                      <w14:textFill>
                        <w14:solidFill>
                          <w14:schemeClr w14:val="tx1"/>
                        </w14:solidFill>
                      </w14:textFill>
                    </w:rPr>
                    <w:t>；皮带输送机整体封闭</w:t>
                  </w:r>
                  <w:r>
                    <w:rPr>
                      <w:rFonts w:hint="eastAsia"/>
                      <w:color w:val="000000" w:themeColor="text1"/>
                      <w:sz w:val="21"/>
                      <w:szCs w:val="21"/>
                      <w14:textFill>
                        <w14:solidFill>
                          <w14:schemeClr w14:val="tx1"/>
                        </w14:solidFill>
                      </w14:textFill>
                    </w:rPr>
                    <w:t>，可有效避免料仓粉尘进入外环境。</w:t>
                  </w:r>
                </w:p>
              </w:tc>
              <w:tc>
                <w:tcPr>
                  <w:tcW w:w="721" w:type="dxa"/>
                  <w:vAlign w:val="center"/>
                </w:tcPr>
                <w:p>
                  <w:pPr>
                    <w:kinsoku w:val="0"/>
                    <w:overflowPunct w:val="0"/>
                    <w:autoSpaceDE w:val="0"/>
                    <w:autoSpaceDN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3146" w:type="dxa"/>
                  <w:vAlign w:val="center"/>
                </w:tcPr>
                <w:p>
                  <w:pPr>
                    <w:kinsoku w:val="0"/>
                    <w:overflowPunct w:val="0"/>
                    <w:autoSpaceDE w:val="0"/>
                    <w:autoSpaceDN w:val="0"/>
                    <w:jc w:val="left"/>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贮存煤炭、煤矸石、煤渣、煤灰、水泥、石灰、石膏、砂土等易产生扬尘的物料应当密闭；不能密闭的，应当设置不低于堆放物高度的严密围挡，并采取有效覆盖措施防治扬尘污染。</w:t>
                  </w:r>
                </w:p>
              </w:tc>
              <w:tc>
                <w:tcPr>
                  <w:tcW w:w="3255" w:type="dxa"/>
                  <w:vAlign w:val="center"/>
                </w:tcPr>
                <w:p>
                  <w:pPr>
                    <w:tabs>
                      <w:tab w:val="left" w:pos="2700"/>
                    </w:tabs>
                    <w:kinsoku w:val="0"/>
                    <w:overflowPunct w:val="0"/>
                    <w:autoSpaceDE w:val="0"/>
                    <w:autoSpaceDN w:val="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本项目搅拌站整体封闭</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设置布袋除尘器</w:t>
                  </w:r>
                  <w:r>
                    <w:rPr>
                      <w:rFonts w:hint="eastAsia"/>
                      <w:bCs/>
                      <w:color w:val="000000" w:themeColor="text1"/>
                      <w:sz w:val="21"/>
                      <w:szCs w:val="21"/>
                      <w14:textFill>
                        <w14:solidFill>
                          <w14:schemeClr w14:val="tx1"/>
                        </w14:solidFill>
                      </w14:textFill>
                    </w:rPr>
                    <w:t>；水泥筒仓</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粉料仓</w:t>
                  </w:r>
                  <w:r>
                    <w:rPr>
                      <w:rFonts w:hint="eastAsia"/>
                      <w:bCs/>
                      <w:color w:val="000000" w:themeColor="text1"/>
                      <w:sz w:val="21"/>
                      <w:szCs w:val="21"/>
                      <w14:textFill>
                        <w14:solidFill>
                          <w14:schemeClr w14:val="tx1"/>
                        </w14:solidFill>
                      </w14:textFill>
                    </w:rPr>
                    <w:t>配备布袋除尘器；</w:t>
                  </w:r>
                  <w:r>
                    <w:rPr>
                      <w:rFonts w:hint="eastAsia"/>
                      <w:color w:val="000000" w:themeColor="text1"/>
                      <w:sz w:val="21"/>
                      <w:szCs w:val="21"/>
                      <w14:textFill>
                        <w14:solidFill>
                          <w14:schemeClr w14:val="tx1"/>
                        </w14:solidFill>
                      </w14:textFill>
                    </w:rPr>
                    <w:t>封闭式料仓，洒水抑尘、厂区地面硬化</w:t>
                  </w:r>
                  <w:r>
                    <w:rPr>
                      <w:rFonts w:hint="eastAsia"/>
                      <w:bCs/>
                      <w:color w:val="000000" w:themeColor="text1"/>
                      <w:sz w:val="21"/>
                      <w:szCs w:val="21"/>
                      <w14:textFill>
                        <w14:solidFill>
                          <w14:schemeClr w14:val="tx1"/>
                        </w14:solidFill>
                      </w14:textFill>
                    </w:rPr>
                    <w:t>；皮带输送机整体封闭。</w:t>
                  </w:r>
                </w:p>
              </w:tc>
              <w:tc>
                <w:tcPr>
                  <w:tcW w:w="721" w:type="dxa"/>
                  <w:vAlign w:val="center"/>
                </w:tcPr>
                <w:p>
                  <w:pPr>
                    <w:kinsoku w:val="0"/>
                    <w:overflowPunct w:val="0"/>
                    <w:autoSpaceDE w:val="0"/>
                    <w:autoSpaceDN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bl>
          <w:p>
            <w:pPr>
              <w:autoSpaceDE w:val="0"/>
              <w:autoSpaceDN w:val="0"/>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根据上表，</w:t>
            </w:r>
            <w:r>
              <w:rPr>
                <w:color w:val="000000" w:themeColor="text1"/>
                <w:kern w:val="0"/>
                <w14:textFill>
                  <w14:solidFill>
                    <w14:schemeClr w14:val="tx1"/>
                  </w14:solidFill>
                </w14:textFill>
              </w:rPr>
              <w:t>本项目符合《中华人民共和国大气污染防治法》中相关规定。</w:t>
            </w:r>
          </w:p>
          <w:p>
            <w:pPr>
              <w:pStyle w:val="54"/>
              <w:numPr>
                <w:ilvl w:val="0"/>
                <w:numId w:val="4"/>
              </w:numPr>
              <w:ind w:left="-2" w:leftChars="0" w:firstLine="482" w:firstLineChars="0"/>
              <w:rPr>
                <w:b/>
                <w:bCs/>
                <w:color w:val="000000" w:themeColor="text1"/>
                <w14:textFill>
                  <w14:solidFill>
                    <w14:schemeClr w14:val="tx1"/>
                  </w14:solidFill>
                </w14:textFill>
              </w:rPr>
            </w:pPr>
            <w:r>
              <w:rPr>
                <w:b/>
                <w:color w:val="000000" w:themeColor="text1"/>
                <w:kern w:val="0"/>
                <w:szCs w:val="21"/>
                <w14:textFill>
                  <w14:solidFill>
                    <w14:schemeClr w14:val="tx1"/>
                  </w14:solidFill>
                </w14:textFill>
              </w:rPr>
              <w:t>与《黑龙江省大气污染防治条例》符合性分</w:t>
            </w:r>
            <w:r>
              <w:rPr>
                <w:b/>
                <w:bCs/>
                <w:color w:val="000000" w:themeColor="text1"/>
                <w14:textFill>
                  <w14:solidFill>
                    <w14:schemeClr w14:val="tx1"/>
                  </w14:solidFill>
                </w14:textFill>
              </w:rPr>
              <w:t>析</w:t>
            </w:r>
          </w:p>
          <w:p>
            <w:pPr>
              <w:pStyle w:val="60"/>
              <w:numPr>
                <w:ilvl w:val="0"/>
                <w:numId w:val="0"/>
              </w:num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表1-</w:t>
            </w:r>
            <w:r>
              <w:rPr>
                <w:rFonts w:hint="eastAsia"/>
                <w:color w:val="000000" w:themeColor="text1"/>
                <w:sz w:val="21"/>
                <w:szCs w:val="21"/>
                <w:lang w:val="en-US" w:eastAsia="zh-CN"/>
                <w14:textFill>
                  <w14:solidFill>
                    <w14:schemeClr w14:val="tx1"/>
                  </w14:solidFill>
                </w14:textFill>
              </w:rPr>
              <w:t xml:space="preserve">4 </w:t>
            </w:r>
            <w:r>
              <w:rPr>
                <w:rFonts w:hint="eastAsia"/>
                <w:color w:val="000000" w:themeColor="text1"/>
                <w:sz w:val="21"/>
                <w:szCs w:val="21"/>
                <w14:textFill>
                  <w14:solidFill>
                    <w14:schemeClr w14:val="tx1"/>
                  </w14:solidFill>
                </w14:textFill>
              </w:rPr>
              <w:t xml:space="preserve"> 与《黑龙江省大气污染防治条例》符合性分析</w:t>
            </w:r>
          </w:p>
          <w:tbl>
            <w:tblPr>
              <w:tblStyle w:val="32"/>
              <w:tblW w:w="71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072"/>
              <w:gridCol w:w="2338"/>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4072" w:type="dxa"/>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《黑龙江省大气污染防治条例》中规定</w:t>
                  </w:r>
                </w:p>
              </w:tc>
              <w:tc>
                <w:tcPr>
                  <w:tcW w:w="2338" w:type="dxa"/>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项目情况</w:t>
                  </w:r>
                </w:p>
              </w:tc>
              <w:tc>
                <w:tcPr>
                  <w:tcW w:w="709" w:type="dxa"/>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40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向大气排放污染物的企业事业单位和其他生产经营者，应当配套建设大气污染防治设施。配套建设的大气污染防治设施，应当与主体工程同时设计、同时施工、同时投产使用，不得擅自拆除或者闲置</w:t>
                  </w:r>
                  <w:r>
                    <w:rPr>
                      <w:rFonts w:hint="eastAsia"/>
                      <w:bCs/>
                      <w:color w:val="000000" w:themeColor="text1"/>
                      <w:sz w:val="21"/>
                      <w:szCs w:val="21"/>
                      <w14:textFill>
                        <w14:solidFill>
                          <w14:schemeClr w14:val="tx1"/>
                        </w14:solidFill>
                      </w14:textFill>
                    </w:rPr>
                    <w:t>。</w:t>
                  </w:r>
                </w:p>
              </w:tc>
              <w:tc>
                <w:tcPr>
                  <w:tcW w:w="2338" w:type="dxa"/>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color w:val="auto"/>
                      <w:sz w:val="21"/>
                      <w:szCs w:val="21"/>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搅拌</w:t>
                  </w:r>
                  <w:r>
                    <w:rPr>
                      <w:rFonts w:hint="default" w:ascii="Times New Roman" w:hAnsi="Times New Roman" w:eastAsia="宋体" w:cs="Times New Roman"/>
                      <w:color w:val="auto"/>
                      <w:sz w:val="21"/>
                      <w:szCs w:val="21"/>
                      <w:highlight w:val="none"/>
                    </w:rPr>
                    <w:t>站采用彩钢房全封闭，拌合站粉尘经自带布袋除尘器处理后有组织排放</w:t>
                  </w:r>
                  <w:r>
                    <w:rPr>
                      <w:rFonts w:hint="default" w:ascii="Times New Roman" w:hAnsi="Times New Roman" w:eastAsia="宋体" w:cs="Times New Roman"/>
                      <w:bCs/>
                      <w:color w:val="auto"/>
                      <w:sz w:val="21"/>
                      <w:szCs w:val="21"/>
                      <w:highlight w:val="none"/>
                    </w:rPr>
                    <w:t>，水泥筒仓</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粉料仓</w:t>
                  </w:r>
                  <w:r>
                    <w:rPr>
                      <w:rFonts w:hint="default" w:ascii="Times New Roman" w:hAnsi="Times New Roman" w:eastAsia="宋体" w:cs="Times New Roman"/>
                      <w:bCs/>
                      <w:color w:val="auto"/>
                      <w:sz w:val="21"/>
                      <w:szCs w:val="21"/>
                      <w:highlight w:val="none"/>
                    </w:rPr>
                    <w:t>采用布袋除尘器，经除尘器处理后有组织排放；减少粉尘对大气环境的影响。</w:t>
                  </w:r>
                </w:p>
              </w:tc>
              <w:tc>
                <w:tcPr>
                  <w:tcW w:w="709" w:type="dxa"/>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40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建设单位应当将防治扬尘污染的费用列入工程造价，并在施工承包合同中明确施工单位的扬尘污染防治责任。房屋建筑、市政基础设施建设等施工单位应当制定、实施包括重污染天气应对措施在内的施工扬尘污染防治实施方案，并遵守下列规定：</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（一）在施工工地设置硬质围挡，并负责维护；</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（二）在施工工地公示扬尘污染防治措施、负责人、扬尘监督管理主管部门等信息；</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（三）在施工工地出口设置车辆冲洗设施，车辆不得带泥上路，施工工地通道以及出入口周边的道路不得存放建筑垃圾；</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（四）施工工地出入口、主要通道、加工区等采取硬化处理措施；</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（五）对施工工地内堆存的建筑土方、工程渣土、建筑垃圾，采取密闭式防尘网遮盖；</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（六）在施工工地建筑结构脚手架外侧设置有效抑尘的密闭式防尘网；</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（七）采取封闭方式及时清运建筑垃圾；</w:t>
                  </w: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（八）有效防尘、降尘的其他措施。</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施工现场应设置围栏或部分围栏，缩小施工范围，设置全封闭围挡，控制扬尘。遇大风天气应用塑料膜将沙石堆覆盖；干燥天应该经常性给沙堆洒水，保持沙堆一定的湿度，减少起尘量。运输水泥、砂子等过程中应加盖苫布防止扬尘产生，施工场地洒水抑尘。加强往返于施工区车辆的管理，使用有害物质量少的优质燃料，并定期对施工设备进行维护，以减少尾气排放；对尾气排放不达标的机械车辆，禁止进行进入施工区施工。</w:t>
                  </w:r>
                </w:p>
              </w:tc>
              <w:tc>
                <w:tcPr>
                  <w:tcW w:w="709" w:type="dxa"/>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40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运输煤炭、垃圾、渣土、砂石、土方、灰浆等散装、流体物料的车辆，应当采取密闭或者其他措施防止物料遗撒、泄漏，并按照规定的路线和时间行驶。</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施工期厂区设置围栏及防尘网，渣土运输车辆加盖篷布进出场，增加清洗车辆和喷洒场地频率，</w:t>
                  </w:r>
                  <w:r>
                    <w:rPr>
                      <w:color w:val="000000" w:themeColor="text1"/>
                      <w:sz w:val="21"/>
                      <w:szCs w:val="21"/>
                      <w14:textFill>
                        <w14:solidFill>
                          <w14:schemeClr w14:val="tx1"/>
                        </w14:solidFill>
                      </w14:textFill>
                    </w:rPr>
                    <w:t>水泥采用封闭式罐车运入厂区，砂石料运输车辆全部采用苫布覆盖，原料的输送、计量及投料均为封闭式。</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40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区的市级城市建成区内，禁止新建额定蒸发量低于每小时二十吨或者额定功率低于十四兆瓦的燃煤锅炉；已经建成的额定蒸发量每小时十吨以下或者额定功率七兆瓦以下的燃煤锅炉，应当在国家规定的期限内淘汰。国家对新建和淘汰燃煤锅炉另有规定的，从其规定</w:t>
                  </w:r>
                  <w:r>
                    <w:rPr>
                      <w:rFonts w:hint="eastAsia"/>
                      <w:bCs/>
                      <w:color w:val="000000" w:themeColor="text1"/>
                      <w:sz w:val="21"/>
                      <w:szCs w:val="21"/>
                      <w14:textFill>
                        <w14:solidFill>
                          <w14:schemeClr w14:val="tx1"/>
                        </w14:solidFill>
                      </w14:textFill>
                    </w:rPr>
                    <w:t>。</w:t>
                  </w:r>
                </w:p>
              </w:tc>
              <w:tc>
                <w:tcPr>
                  <w:tcW w:w="23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本项目生产无需用热，冬季</w:t>
                  </w:r>
                  <w:r>
                    <w:rPr>
                      <w:rFonts w:hint="eastAsia"/>
                      <w:color w:val="000000" w:themeColor="text1"/>
                      <w:sz w:val="21"/>
                      <w:szCs w:val="21"/>
                      <w:lang w:val="en-US" w:eastAsia="zh-CN"/>
                      <w14:textFill>
                        <w14:solidFill>
                          <w14:schemeClr w14:val="tx1"/>
                        </w14:solidFill>
                      </w14:textFill>
                    </w:rPr>
                    <w:t>生活供热采用电取暖</w:t>
                  </w:r>
                  <w:r>
                    <w:rPr>
                      <w:color w:val="000000" w:themeColor="text1"/>
                      <w:sz w:val="21"/>
                      <w:szCs w:val="21"/>
                      <w14:textFill>
                        <w14:solidFill>
                          <w14:schemeClr w14:val="tx1"/>
                        </w14:solidFill>
                      </w14:textFill>
                    </w:rPr>
                    <w:t>，因此本项目不建设燃煤锅炉。</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符合</w:t>
                  </w:r>
                </w:p>
              </w:tc>
            </w:tr>
          </w:tbl>
          <w:p>
            <w:pPr>
              <w:autoSpaceDE w:val="0"/>
              <w:autoSpaceDN w:val="0"/>
              <w:adjustRightInd w:val="0"/>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本项目符合《黑龙江省大气污染防治条例》中相关规定。</w:t>
            </w:r>
          </w:p>
          <w:p>
            <w:pPr>
              <w:pStyle w:val="54"/>
              <w:numPr>
                <w:ilvl w:val="0"/>
                <w:numId w:val="4"/>
              </w:numPr>
              <w:ind w:left="-2" w:leftChars="0" w:firstLine="482" w:firstLineChars="0"/>
              <w:rPr>
                <w:b/>
                <w:bCs/>
                <w:color w:val="000000" w:themeColor="text1"/>
                <w14:textFill>
                  <w14:solidFill>
                    <w14:schemeClr w14:val="tx1"/>
                  </w14:solidFill>
                </w14:textFill>
              </w:rPr>
            </w:pPr>
            <w:r>
              <w:rPr>
                <w:b/>
                <w:color w:val="000000" w:themeColor="text1"/>
                <w:kern w:val="0"/>
                <w:szCs w:val="21"/>
                <w14:textFill>
                  <w14:solidFill>
                    <w14:schemeClr w14:val="tx1"/>
                  </w14:solidFill>
                </w14:textFill>
              </w:rPr>
              <w:t>与《环境空气细颗粒物污染综合防治技术政策》符合性分析</w:t>
            </w:r>
          </w:p>
          <w:p>
            <w:pPr>
              <w:autoSpaceDE w:val="0"/>
              <w:autoSpaceDN w:val="0"/>
              <w:adjustRightInd w:val="0"/>
              <w:spacing w:line="36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细颗粒物污染综合防治技术政策》（公告2013年第59号）：（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十五）产生大气颗粒物及其前体物污染物的生产活动应尽量采用密闭装置，避免无组织排放；无法完全密闭的，应安装集气装置收集逸散的污染物，经净化后排放。根据公告附件《细颗粒物污染防治技术简要说明》中（一）有组织排放颗粒物（烟、粉尘）污染防治技术，包括袋式除尘、湿式电除尘技术、电袋复合除尘技术。（三）无组织排放颗粒物和前体污染物治理技术，包括适用于大气颗粒物及其前体物污染控制的密闭生产技术、粉状物料堆放场的遮风与抑尘技术。</w:t>
            </w:r>
          </w:p>
          <w:p>
            <w:pPr>
              <w:autoSpaceDE w:val="0"/>
              <w:autoSpaceDN w:val="0"/>
              <w:adjustRightInd w:val="0"/>
              <w:snapToGrid w:val="0"/>
              <w:spacing w:line="360" w:lineRule="auto"/>
              <w:ind w:firstLine="480" w:firstLineChars="200"/>
              <w:rPr>
                <w:color w:val="000000" w:themeColor="text1"/>
                <w:kern w:val="0"/>
                <w14:textFill>
                  <w14:solidFill>
                    <w14:schemeClr w14:val="tx1"/>
                  </w14:solidFill>
                </w14:textFill>
              </w:rPr>
            </w:pPr>
            <w:r>
              <w:rPr>
                <w:color w:val="000000" w:themeColor="text1"/>
                <w:szCs w:val="21"/>
                <w14:textFill>
                  <w14:solidFill>
                    <w14:schemeClr w14:val="tx1"/>
                  </w14:solidFill>
                </w14:textFill>
              </w:rPr>
              <w:t>本项目水泥采用封闭式罐车运入厂区，砂石料运输车辆全部采用苫布覆盖；原料的输送、计量及投料均为封闭式，可避免扬尘现象发生。</w:t>
            </w:r>
            <w:r>
              <w:rPr>
                <w:rFonts w:hint="eastAsia"/>
                <w:color w:val="000000" w:themeColor="text1"/>
                <w:szCs w:val="21"/>
                <w14:textFill>
                  <w14:solidFill>
                    <w14:schemeClr w14:val="tx1"/>
                  </w14:solidFill>
                </w14:textFill>
              </w:rPr>
              <w:t>封闭式料仓，洒水抑尘、厂区地面硬化</w:t>
            </w:r>
            <w:r>
              <w:rPr>
                <w:color w:val="000000" w:themeColor="text1"/>
                <w:szCs w:val="21"/>
                <w14:textFill>
                  <w14:solidFill>
                    <w14:schemeClr w14:val="tx1"/>
                  </w14:solidFill>
                </w14:textFill>
              </w:rPr>
              <w:t>，可有效避免</w:t>
            </w:r>
            <w:r>
              <w:rPr>
                <w:rFonts w:hint="eastAsia"/>
                <w:color w:val="000000" w:themeColor="text1"/>
                <w:szCs w:val="21"/>
                <w14:textFill>
                  <w14:solidFill>
                    <w14:schemeClr w14:val="tx1"/>
                  </w14:solidFill>
                </w14:textFill>
              </w:rPr>
              <w:t>料仓</w:t>
            </w:r>
            <w:r>
              <w:rPr>
                <w:color w:val="000000" w:themeColor="text1"/>
                <w:szCs w:val="21"/>
                <w14:textFill>
                  <w14:solidFill>
                    <w14:schemeClr w14:val="tx1"/>
                  </w14:solidFill>
                </w14:textFill>
              </w:rPr>
              <w:t>粉尘进入外环境。装卸粉尘采取洒水降尘措施；本项目</w:t>
            </w:r>
            <w:r>
              <w:rPr>
                <w:rFonts w:hint="eastAsia"/>
                <w:color w:val="000000" w:themeColor="text1"/>
                <w:szCs w:val="21"/>
                <w14:textFill>
                  <w14:solidFill>
                    <w14:schemeClr w14:val="tx1"/>
                  </w14:solidFill>
                </w14:textFill>
              </w:rPr>
              <w:t>采用密闭管道加压的方式，通过</w:t>
            </w:r>
            <w:r>
              <w:rPr>
                <w:color w:val="000000" w:themeColor="text1"/>
                <w:szCs w:val="21"/>
                <w14:textFill>
                  <w14:solidFill>
                    <w14:schemeClr w14:val="tx1"/>
                  </w14:solidFill>
                </w14:textFill>
              </w:rPr>
              <w:t>用</w:t>
            </w:r>
            <w:r>
              <w:rPr>
                <w:rFonts w:hint="eastAsia"/>
                <w:color w:val="000000" w:themeColor="text1"/>
                <w:szCs w:val="21"/>
                <w14:textFill>
                  <w14:solidFill>
                    <w14:schemeClr w14:val="tx1"/>
                  </w14:solidFill>
                </w14:textFill>
              </w:rPr>
              <w:t>高压</w:t>
            </w:r>
            <w:r>
              <w:rPr>
                <w:color w:val="000000" w:themeColor="text1"/>
                <w:szCs w:val="21"/>
                <w14:textFill>
                  <w14:solidFill>
                    <w14:schemeClr w14:val="tx1"/>
                  </w14:solidFill>
                </w14:textFill>
              </w:rPr>
              <w:t>气泵将水泥沿管道输送到</w:t>
            </w:r>
            <w:r>
              <w:rPr>
                <w:rFonts w:hint="eastAsia"/>
                <w:color w:val="000000" w:themeColor="text1"/>
                <w:szCs w:val="21"/>
                <w14:textFill>
                  <w14:solidFill>
                    <w14:schemeClr w14:val="tx1"/>
                  </w14:solidFill>
                </w14:textFill>
              </w:rPr>
              <w:t>水泥筒</w:t>
            </w:r>
            <w:r>
              <w:rPr>
                <w:color w:val="000000" w:themeColor="text1"/>
                <w:szCs w:val="21"/>
                <w14:textFill>
                  <w14:solidFill>
                    <w14:schemeClr w14:val="tx1"/>
                  </w14:solidFill>
                </w14:textFill>
              </w:rPr>
              <w:t>仓内，各种物料进入混凝土搅拌机时，小粒径颗粒物会飘散形成粉尘。</w:t>
            </w:r>
            <w:r>
              <w:rPr>
                <w:rFonts w:hint="eastAsia"/>
                <w:color w:val="000000" w:themeColor="text1"/>
                <w:szCs w:val="21"/>
                <w14:textFill>
                  <w14:solidFill>
                    <w14:schemeClr w14:val="tx1"/>
                  </w14:solidFill>
                </w14:textFill>
              </w:rPr>
              <w:t>搅拌站密闭，</w:t>
            </w:r>
            <w:r>
              <w:rPr>
                <w:rFonts w:hint="eastAsia"/>
                <w:color w:val="000000" w:themeColor="text1"/>
                <w:szCs w:val="21"/>
                <w:lang w:val="en-US" w:eastAsia="zh-CN"/>
                <w14:textFill>
                  <w14:solidFill>
                    <w14:schemeClr w14:val="tx1"/>
                  </w14:solidFill>
                </w14:textFill>
              </w:rPr>
              <w:t>同时配备布袋除尘器</w:t>
            </w:r>
            <w:r>
              <w:rPr>
                <w:rFonts w:hint="eastAsia"/>
                <w:color w:val="000000" w:themeColor="text1"/>
                <w:szCs w:val="21"/>
                <w14:textFill>
                  <w14:solidFill>
                    <w14:schemeClr w14:val="tx1"/>
                  </w14:solidFill>
                </w14:textFill>
              </w:rPr>
              <w:t>，排放浓度符</w:t>
            </w:r>
            <w:r>
              <w:rPr>
                <w:rFonts w:hint="eastAsia"/>
                <w:color w:val="auto"/>
                <w:szCs w:val="21"/>
              </w:rPr>
              <w:t>合</w:t>
            </w:r>
            <w:r>
              <w:rPr>
                <w:rFonts w:hint="eastAsia"/>
                <w:color w:val="auto"/>
                <w:sz w:val="24"/>
                <w:szCs w:val="24"/>
                <w:highlight w:val="none"/>
              </w:rPr>
              <w:t>《水泥工业大气污染物排放标准》</w:t>
            </w:r>
            <w:r>
              <w:rPr>
                <w:rFonts w:hint="eastAsia"/>
                <w:color w:val="auto"/>
                <w:sz w:val="24"/>
                <w:szCs w:val="24"/>
              </w:rPr>
              <w:t>（GB4915-2013）表</w:t>
            </w:r>
            <w:r>
              <w:rPr>
                <w:rFonts w:hint="eastAsia"/>
                <w:color w:val="auto"/>
                <w:sz w:val="24"/>
                <w:szCs w:val="24"/>
                <w:lang w:val="en-US" w:eastAsia="zh-CN"/>
              </w:rPr>
              <w:t>2</w:t>
            </w:r>
            <w:r>
              <w:rPr>
                <w:rFonts w:hint="eastAsia" w:cs="Times New Roman"/>
                <w:b w:val="0"/>
                <w:bCs/>
                <w:color w:val="auto"/>
                <w:sz w:val="24"/>
                <w:szCs w:val="24"/>
                <w:highlight w:val="none"/>
                <w:lang w:eastAsia="zh-CN"/>
              </w:rPr>
              <w:t>大气污染物特别排放限值</w:t>
            </w:r>
            <w:r>
              <w:rPr>
                <w:rFonts w:hint="eastAsia"/>
                <w:color w:val="auto"/>
                <w:sz w:val="24"/>
                <w:szCs w:val="24"/>
              </w:rPr>
              <w:t>。</w:t>
            </w:r>
            <w:r>
              <w:rPr>
                <w:color w:val="auto"/>
                <w:szCs w:val="21"/>
              </w:rPr>
              <w:t>本项</w:t>
            </w:r>
            <w:r>
              <w:rPr>
                <w:color w:val="000000" w:themeColor="text1"/>
                <w:szCs w:val="21"/>
                <w14:textFill>
                  <w14:solidFill>
                    <w14:schemeClr w14:val="tx1"/>
                  </w14:solidFill>
                </w14:textFill>
              </w:rPr>
              <w:t>目运输车辆采取加盖苫布，运输道路采取洒水降尘措施；通过以上措施，本项目运营期对周围环境影响较小。因此本项目符合《环境空气细颗粒物污染综合防治技术政策》。</w:t>
            </w:r>
          </w:p>
          <w:p>
            <w:pPr>
              <w:pStyle w:val="54"/>
              <w:numPr>
                <w:ilvl w:val="0"/>
                <w:numId w:val="4"/>
              </w:numPr>
              <w:ind w:left="-2" w:leftChars="0" w:firstLine="482" w:firstLineChars="0"/>
              <w:rPr>
                <w:b/>
                <w:bCs/>
                <w:color w:val="000000" w:themeColor="text1"/>
                <w14:textFill>
                  <w14:solidFill>
                    <w14:schemeClr w14:val="tx1"/>
                  </w14:solidFill>
                </w14:textFill>
              </w:rPr>
            </w:pPr>
            <w:r>
              <w:rPr>
                <w:b/>
                <w:color w:val="000000" w:themeColor="text1"/>
                <w:kern w:val="0"/>
                <w:szCs w:val="21"/>
                <w14:textFill>
                  <w14:solidFill>
                    <w14:schemeClr w14:val="tx1"/>
                  </w14:solidFill>
                </w14:textFill>
              </w:rPr>
              <w:t>与《黑龙江省大气污染防治行动计划实施细则》符合性分析</w:t>
            </w:r>
          </w:p>
          <w:p>
            <w:pPr>
              <w:autoSpaceDE w:val="0"/>
              <w:autoSpaceDN w:val="0"/>
              <w:adjustRightInd w:val="0"/>
              <w:snapToGrid w:val="0"/>
              <w:spacing w:line="36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autoSpaceDE w:val="0"/>
              <w:autoSpaceDN w:val="0"/>
              <w:adjustRightInd w:val="0"/>
              <w:snapToGrid w:val="0"/>
              <w:spacing w:line="360" w:lineRule="auto"/>
              <w:ind w:firstLine="480" w:firstLineChars="200"/>
              <w:rPr>
                <w:color w:val="000000" w:themeColor="text1"/>
                <w:szCs w:val="21"/>
                <w14:textFill>
                  <w14:solidFill>
                    <w14:schemeClr w14:val="tx1"/>
                  </w14:solidFill>
                </w14:textFill>
              </w:rPr>
            </w:pPr>
            <w:r>
              <w:rPr>
                <w:rFonts w:hint="default" w:ascii="Times New Roman" w:hAnsi="Times New Roman" w:eastAsia="宋体" w:cs="Times New Roman"/>
                <w:color w:val="auto"/>
                <w:szCs w:val="21"/>
                <w:highlight w:val="none"/>
              </w:rPr>
              <w:t>本项目生产无需用热，冬季不生产，无需采暖，不建设锅炉。本项目拌合站采用彩钢房进行整体封闭，物料通过密闭管道输送及收集，搅拌机搅拌过程中为密闭状态且自带除尘器，原料场堆存、装卸过程中洒水降尘。因此本项目符合《黑龙江省空气质量持续改善行动计划实施方案》中的相关要求。</w:t>
            </w:r>
          </w:p>
          <w:p>
            <w:pPr>
              <w:pStyle w:val="54"/>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b/>
                <w:color w:val="000000" w:themeColor="text1"/>
                <w:kern w:val="0"/>
                <w:szCs w:val="21"/>
                <w14:textFill>
                  <w14:solidFill>
                    <w14:schemeClr w14:val="tx1"/>
                  </w14:solidFill>
                </w14:textFill>
              </w:rPr>
            </w:pPr>
            <w:r>
              <w:rPr>
                <w:rFonts w:hint="eastAsia"/>
                <w:b/>
                <w:color w:val="000000" w:themeColor="text1"/>
                <w:kern w:val="0"/>
                <w:szCs w:val="21"/>
                <w:lang w:val="en-US" w:eastAsia="zh-CN"/>
                <w14:textFill>
                  <w14:solidFill>
                    <w14:schemeClr w14:val="tx1"/>
                  </w14:solidFill>
                </w14:textFill>
              </w:rPr>
              <w:t>8、</w:t>
            </w:r>
            <w:r>
              <w:rPr>
                <w:rFonts w:hint="eastAsia"/>
                <w:b/>
                <w:color w:val="000000" w:themeColor="text1"/>
                <w:kern w:val="0"/>
                <w:szCs w:val="21"/>
                <w14:textFill>
                  <w14:solidFill>
                    <w14:schemeClr w14:val="tx1"/>
                  </w14:solidFill>
                </w14:textFill>
              </w:rPr>
              <w:t>项目与《预拌混凝土绿色生产及管理技术规程》（JGJ/T328-2014）符合性分析</w:t>
            </w:r>
          </w:p>
          <w:p>
            <w:pPr>
              <w:autoSpaceDE w:val="0"/>
              <w:autoSpaceDN w:val="0"/>
              <w:adjustRightInd w:val="0"/>
              <w:snapToGrid w:val="0"/>
              <w:spacing w:line="36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项目与管理技术规程的符合性分析见表1-</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w:t>
            </w:r>
          </w:p>
          <w:p>
            <w:pPr>
              <w:pStyle w:val="60"/>
              <w:numPr>
                <w:ilvl w:val="0"/>
                <w:numId w:val="0"/>
              </w:num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表1-</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 xml:space="preserve">  项目与（JGJ/T328-2014）符合性分析</w:t>
            </w:r>
          </w:p>
          <w:tbl>
            <w:tblPr>
              <w:tblStyle w:val="32"/>
              <w:tblW w:w="711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
            <w:tblGrid>
              <w:gridCol w:w="1383"/>
              <w:gridCol w:w="3006"/>
              <w:gridCol w:w="2000"/>
              <w:gridCol w:w="7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Ex>
              <w:trPr>
                <w:trHeight w:val="306" w:hRule="atLeast"/>
                <w:jc w:val="center"/>
              </w:trPr>
              <w:tc>
                <w:tcPr>
                  <w:tcW w:w="1383"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环保政策</w:t>
                  </w:r>
                </w:p>
              </w:tc>
              <w:tc>
                <w:tcPr>
                  <w:tcW w:w="3006"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政策要求</w:t>
                  </w:r>
                </w:p>
              </w:tc>
              <w:tc>
                <w:tcPr>
                  <w:tcW w:w="200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p>
              </w:tc>
              <w:tc>
                <w:tcPr>
                  <w:tcW w:w="73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Ex>
              <w:trPr>
                <w:trHeight w:val="306" w:hRule="atLeast"/>
                <w:jc w:val="center"/>
              </w:trPr>
              <w:tc>
                <w:tcPr>
                  <w:tcW w:w="1383" w:type="dxa"/>
                  <w:vMerge w:val="restart"/>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《预拌混凝土绿色生产及管理技术规程》（JGJ/T328-2014）</w:t>
                  </w:r>
                </w:p>
              </w:tc>
              <w:tc>
                <w:tcPr>
                  <w:tcW w:w="3006"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预拌混凝土绿色生产宜选用技术先进、低噪声、低能耗、低排放的搅拌、运输和试验设备。设备应符合国家现行标准《建筑施工机械与设备混凝土搅拌站（楼）》GB/T10171-2016、《建筑施工机械与设备混凝土搅拌机》GB/T9142-2021和《混凝土搅拌运输车》GB/T26408等的相应规定。</w:t>
                  </w:r>
                </w:p>
              </w:tc>
              <w:tc>
                <w:tcPr>
                  <w:tcW w:w="2000"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项目选用设备均符合国家现行《建筑施工机械与设备混凝土搅拌站（楼）》GB/T10171-2016、《建筑施工机械与设备混凝土搅拌机》GB/T9142-2021和《混凝土搅拌运输车》GB/T26408等相应规定。</w:t>
                  </w:r>
                </w:p>
              </w:tc>
              <w:tc>
                <w:tcPr>
                  <w:tcW w:w="73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Ex>
              <w:trPr>
                <w:trHeight w:val="306" w:hRule="atLeast"/>
                <w:jc w:val="center"/>
              </w:trPr>
              <w:tc>
                <w:tcPr>
                  <w:tcW w:w="1383" w:type="dxa"/>
                  <w:vMerge w:val="continue"/>
                  <w:tcBorders>
                    <w:tl2br w:val="nil"/>
                    <w:tr2bl w:val="nil"/>
                  </w:tcBorders>
                  <w:vAlign w:val="center"/>
                </w:tcPr>
                <w:p>
                  <w:pPr>
                    <w:rPr>
                      <w:color w:val="000000" w:themeColor="text1"/>
                      <w:sz w:val="21"/>
                      <w:szCs w:val="21"/>
                      <w14:textFill>
                        <w14:solidFill>
                          <w14:schemeClr w14:val="tx1"/>
                        </w14:solidFill>
                      </w14:textFill>
                    </w:rPr>
                  </w:pPr>
                </w:p>
              </w:tc>
              <w:tc>
                <w:tcPr>
                  <w:tcW w:w="3006"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搅拌站(楼)宜采用整体封闭方式；搅拌站(楼)应安装除尘装置，并应保持正常使用；搅拌站(楼)的搅拌层和称量层宜设置水冲洗装置，冲洗产生的废水宜通过专用管道进入生产废水处置系统；搅拌主机卸料口应设置防喷溅设施。装料区域的地面和墙壁应保持清洁卫生粉料仓应标识清晰并配备料位控制系统，料位控制系统应定期检查维护。</w:t>
                  </w:r>
                </w:p>
              </w:tc>
              <w:tc>
                <w:tcPr>
                  <w:tcW w:w="2000" w:type="dxa"/>
                  <w:tcBorders>
                    <w:tl2br w:val="nil"/>
                    <w:tr2bl w:val="nil"/>
                  </w:tcBorders>
                  <w:vAlign w:val="center"/>
                </w:tcPr>
                <w:p>
                  <w:pPr>
                    <w:rPr>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u w:val="none"/>
                    </w:rPr>
                    <w:t>项目</w:t>
                  </w:r>
                  <w:r>
                    <w:rPr>
                      <w:rFonts w:hint="default" w:ascii="Times New Roman" w:hAnsi="Times New Roman" w:eastAsia="宋体" w:cs="Times New Roman"/>
                      <w:color w:val="auto"/>
                      <w:sz w:val="21"/>
                      <w:szCs w:val="21"/>
                      <w:highlight w:val="none"/>
                      <w:u w:val="none"/>
                      <w:lang w:eastAsia="zh-CN"/>
                    </w:rPr>
                    <w:t>搅拌</w:t>
                  </w:r>
                  <w:r>
                    <w:rPr>
                      <w:rFonts w:hint="default" w:ascii="Times New Roman" w:hAnsi="Times New Roman" w:eastAsia="宋体" w:cs="Times New Roman"/>
                      <w:color w:val="auto"/>
                      <w:sz w:val="21"/>
                      <w:szCs w:val="21"/>
                      <w:highlight w:val="none"/>
                      <w:u w:val="none"/>
                    </w:rPr>
                    <w:t>站主体</w:t>
                  </w:r>
                  <w:r>
                    <w:rPr>
                      <w:rFonts w:hint="eastAsia" w:cs="Times New Roman"/>
                      <w:color w:val="auto"/>
                      <w:sz w:val="21"/>
                      <w:szCs w:val="21"/>
                      <w:highlight w:val="none"/>
                      <w:u w:val="none"/>
                      <w:lang w:val="en-US" w:eastAsia="zh-CN"/>
                    </w:rPr>
                    <w:t>均</w:t>
                  </w:r>
                  <w:r>
                    <w:rPr>
                      <w:rFonts w:hint="default" w:ascii="Times New Roman" w:hAnsi="Times New Roman" w:eastAsia="宋体" w:cs="Times New Roman"/>
                      <w:color w:val="auto"/>
                      <w:sz w:val="21"/>
                      <w:szCs w:val="21"/>
                      <w:highlight w:val="none"/>
                      <w:u w:val="none"/>
                    </w:rPr>
                    <w:t>为全封闭</w:t>
                  </w:r>
                  <w:r>
                    <w:rPr>
                      <w:rFonts w:hint="default" w:ascii="Times New Roman" w:hAnsi="Times New Roman" w:eastAsia="宋体" w:cs="Times New Roman"/>
                      <w:color w:val="auto"/>
                      <w:sz w:val="21"/>
                      <w:szCs w:val="21"/>
                      <w:highlight w:val="none"/>
                      <w:u w:val="none"/>
                      <w:lang w:val="en-US" w:eastAsia="zh-CN"/>
                    </w:rPr>
                    <w:t>搅拌楼</w:t>
                  </w:r>
                  <w:r>
                    <w:rPr>
                      <w:rFonts w:hint="default" w:ascii="Times New Roman" w:hAnsi="Times New Roman" w:eastAsia="宋体" w:cs="Times New Roman"/>
                      <w:color w:val="auto"/>
                      <w:sz w:val="21"/>
                      <w:szCs w:val="21"/>
                      <w:highlight w:val="none"/>
                      <w:u w:val="none"/>
                    </w:rPr>
                    <w:t>，设备冲洗废水经沉淀池沉淀回用于生产；搅拌口设防喷溅设施。</w:t>
                  </w:r>
                </w:p>
              </w:tc>
              <w:tc>
                <w:tcPr>
                  <w:tcW w:w="73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Ex>
              <w:trPr>
                <w:trHeight w:val="306" w:hRule="atLeast"/>
                <w:jc w:val="center"/>
              </w:trPr>
              <w:tc>
                <w:tcPr>
                  <w:tcW w:w="1383" w:type="dxa"/>
                  <w:vMerge w:val="continue"/>
                  <w:tcBorders>
                    <w:tl2br w:val="nil"/>
                    <w:tr2bl w:val="nil"/>
                  </w:tcBorders>
                  <w:vAlign w:val="center"/>
                </w:tcPr>
                <w:p>
                  <w:pPr>
                    <w:rPr>
                      <w:color w:val="000000" w:themeColor="text1"/>
                      <w:sz w:val="21"/>
                      <w:szCs w:val="21"/>
                      <w14:textFill>
                        <w14:solidFill>
                          <w14:schemeClr w14:val="tx1"/>
                        </w14:solidFill>
                      </w14:textFill>
                    </w:rPr>
                  </w:pPr>
                </w:p>
              </w:tc>
              <w:tc>
                <w:tcPr>
                  <w:tcW w:w="3006"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预拌混凝土绿色生产应配备运输车清洗装置，冲洗产生的废水应通过专用管道进入生产废水处置系统</w:t>
                  </w:r>
                </w:p>
              </w:tc>
              <w:tc>
                <w:tcPr>
                  <w:tcW w:w="2000"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项目依托厂区车辆冲洗装置，洗车废水沉淀后回用于洗车。</w:t>
                  </w:r>
                </w:p>
              </w:tc>
              <w:tc>
                <w:tcPr>
                  <w:tcW w:w="73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Ex>
              <w:trPr>
                <w:trHeight w:val="306" w:hRule="atLeast"/>
                <w:jc w:val="center"/>
              </w:trPr>
              <w:tc>
                <w:tcPr>
                  <w:tcW w:w="1383" w:type="dxa"/>
                  <w:vMerge w:val="continue"/>
                  <w:tcBorders>
                    <w:tl2br w:val="nil"/>
                    <w:tr2bl w:val="nil"/>
                  </w:tcBorders>
                  <w:vAlign w:val="center"/>
                </w:tcPr>
                <w:p>
                  <w:pPr>
                    <w:rPr>
                      <w:color w:val="000000" w:themeColor="text1"/>
                      <w:sz w:val="21"/>
                      <w:szCs w:val="21"/>
                      <w14:textFill>
                        <w14:solidFill>
                          <w14:schemeClr w14:val="tx1"/>
                        </w14:solidFill>
                      </w14:textFill>
                    </w:rPr>
                  </w:pPr>
                </w:p>
              </w:tc>
              <w:tc>
                <w:tcPr>
                  <w:tcW w:w="3006"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原材料的运输、装卸和存放应采取降低噪声和粉尘的措施；预拌混凝土生产用大量粉料不宜使用袋装方式；预拌混凝土生产用大宗粉料不宜使用袋装方式</w:t>
                  </w:r>
                </w:p>
              </w:tc>
              <w:tc>
                <w:tcPr>
                  <w:tcW w:w="2000" w:type="dxa"/>
                  <w:tcBorders>
                    <w:tl2br w:val="nil"/>
                    <w:tr2bl w:val="nil"/>
                  </w:tcBorders>
                  <w:vAlign w:val="center"/>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原材料运输、装卸过程采取洒水抑尘，车辆苫盖措施；水泥由专用罐车运送至厂区，粉料储存方式为仓储。</w:t>
                  </w:r>
                </w:p>
              </w:tc>
              <w:tc>
                <w:tcPr>
                  <w:tcW w:w="73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pPr>
              <w:autoSpaceDE w:val="0"/>
              <w:autoSpaceDN w:val="0"/>
              <w:adjustRightInd w:val="0"/>
              <w:snapToGrid w:val="0"/>
              <w:spacing w:line="36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根据上表可知，本项目建设符合《预拌混凝土绿色生产及管理技术规程》（JGJ/T328-2014）相关要求。</w:t>
            </w:r>
          </w:p>
          <w:p>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jc w:val="both"/>
              <w:textAlignment w:val="auto"/>
              <w:rPr>
                <w:b/>
                <w:color w:val="000000" w:themeColor="text1"/>
                <w:kern w:val="0"/>
                <w:szCs w:val="21"/>
                <w14:textFill>
                  <w14:solidFill>
                    <w14:schemeClr w14:val="tx1"/>
                  </w14:solidFill>
                </w14:textFill>
              </w:rPr>
            </w:pPr>
            <w:r>
              <w:rPr>
                <w:rFonts w:hint="eastAsia"/>
                <w:b/>
                <w:color w:val="000000" w:themeColor="text1"/>
                <w:kern w:val="0"/>
                <w:szCs w:val="21"/>
                <w:lang w:val="en-US" w:eastAsia="zh-CN"/>
                <w14:textFill>
                  <w14:solidFill>
                    <w14:schemeClr w14:val="tx1"/>
                  </w14:solidFill>
                </w14:textFill>
              </w:rPr>
              <w:t>9、</w:t>
            </w:r>
            <w:r>
              <w:rPr>
                <w:b/>
                <w:color w:val="000000" w:themeColor="text1"/>
                <w:kern w:val="0"/>
                <w:szCs w:val="21"/>
                <w14:textFill>
                  <w14:solidFill>
                    <w14:schemeClr w14:val="tx1"/>
                  </w14:solidFill>
                </w14:textFill>
              </w:rPr>
              <w:t>与《黑龙江省空气质量持续改善行动计划实施方案》（黑政发〔2023〕19号）符合性分析</w:t>
            </w:r>
          </w:p>
          <w:p>
            <w:pPr>
              <w:pStyle w:val="99"/>
              <w:spacing w:line="360" w:lineRule="auto"/>
              <w:ind w:firstLine="480"/>
              <w:rPr>
                <w:rFonts w:cs="Times New Roman"/>
                <w:color w:val="000000" w:themeColor="text1"/>
                <w:kern w:val="2"/>
                <w:sz w:val="24"/>
                <w:szCs w:val="24"/>
                <w14:textFill>
                  <w14:solidFill>
                    <w14:schemeClr w14:val="tx1"/>
                  </w14:solidFill>
                </w14:textFill>
              </w:rPr>
            </w:pPr>
            <w:r>
              <w:rPr>
                <w:rFonts w:cs="Times New Roman"/>
                <w:color w:val="000000" w:themeColor="text1"/>
                <w:kern w:val="2"/>
                <w:sz w:val="24"/>
                <w:szCs w:val="24"/>
                <w14:textFill>
                  <w14:solidFill>
                    <w14:schemeClr w14:val="tx1"/>
                  </w14:solidFill>
                </w14:textFill>
              </w:rPr>
              <w:t>（1）相关内容</w:t>
            </w:r>
          </w:p>
          <w:p>
            <w:pPr>
              <w:pStyle w:val="99"/>
              <w:spacing w:line="360" w:lineRule="auto"/>
              <w:ind w:firstLine="480"/>
              <w:rPr>
                <w:rFonts w:cs="Times New Roman"/>
                <w:color w:val="000000" w:themeColor="text1"/>
                <w:sz w:val="24"/>
                <w:szCs w:val="24"/>
                <w:shd w:val="clear" w:color="auto" w:fill="FFFFFF"/>
                <w14:textFill>
                  <w14:solidFill>
                    <w14:schemeClr w14:val="tx1"/>
                  </w14:solidFill>
                </w14:textFill>
              </w:rPr>
            </w:pPr>
            <w:r>
              <w:rPr>
                <w:rFonts w:cs="Times New Roman"/>
                <w:color w:val="000000" w:themeColor="text1"/>
                <w:sz w:val="24"/>
                <w:szCs w:val="24"/>
                <w:shd w:val="clear" w:color="auto" w:fill="FFFFFF"/>
                <w14:textFill>
                  <w14:solidFill>
                    <w14:schemeClr w14:val="tx1"/>
                  </w14:solidFill>
                </w14:textFill>
              </w:rPr>
              <w:t>六、推动多污染物协同控制</w:t>
            </w:r>
          </w:p>
          <w:p>
            <w:pPr>
              <w:pStyle w:val="99"/>
              <w:spacing w:line="360" w:lineRule="auto"/>
              <w:ind w:firstLine="480"/>
              <w:rPr>
                <w:rFonts w:cs="Times New Roman"/>
                <w:color w:val="000000" w:themeColor="text1"/>
                <w:kern w:val="2"/>
                <w:sz w:val="24"/>
                <w:szCs w:val="24"/>
                <w14:textFill>
                  <w14:solidFill>
                    <w14:schemeClr w14:val="tx1"/>
                  </w14:solidFill>
                </w14:textFill>
              </w:rPr>
            </w:pPr>
            <w:r>
              <w:rPr>
                <w:rFonts w:cs="Times New Roman"/>
                <w:color w:val="000000" w:themeColor="text1"/>
                <w:sz w:val="24"/>
                <w:szCs w:val="24"/>
                <w:shd w:val="clear" w:color="auto" w:fill="FFFFFF"/>
                <w14:textFill>
                  <w14:solidFill>
                    <w14:schemeClr w14:val="tx1"/>
                  </w14:solidFill>
                </w14:textFill>
              </w:rPr>
              <w:t>（二十三）</w:t>
            </w:r>
            <w:r>
              <w:rPr>
                <w:rFonts w:cs="Times New Roman"/>
                <w:color w:val="000000" w:themeColor="text1"/>
                <w:kern w:val="2"/>
                <w:sz w:val="24"/>
                <w:szCs w:val="24"/>
                <w14:textFill>
                  <w14:solidFill>
                    <w14:schemeClr w14:val="tx1"/>
                  </w14:solidFill>
                </w14:textFill>
              </w:rPr>
              <w:t>加强工业企业监管，确保全面稳定达标排放。结合新制（修）订的排放标准，推进玻璃、石灰、矿棉、有色等行业实施深度治理。全面排查锅炉、炉窑、VOC</w:t>
            </w:r>
            <w:r>
              <w:rPr>
                <w:rFonts w:hint="eastAsia" w:cs="Times New Roman"/>
                <w:color w:val="000000" w:themeColor="text1"/>
                <w:kern w:val="2"/>
                <w:sz w:val="24"/>
                <w:szCs w:val="24"/>
                <w:vertAlign w:val="subscript"/>
                <w14:textFill>
                  <w14:solidFill>
                    <w14:schemeClr w14:val="tx1"/>
                  </w14:solidFill>
                </w14:textFill>
              </w:rPr>
              <w:t>S</w:t>
            </w:r>
            <w:r>
              <w:rPr>
                <w:rFonts w:cs="Times New Roman"/>
                <w:color w:val="000000" w:themeColor="text1"/>
                <w:kern w:val="2"/>
                <w:sz w:val="24"/>
                <w:szCs w:val="24"/>
                <w14:textFill>
                  <w14:solidFill>
                    <w14:schemeClr w14:val="tx1"/>
                  </w14:solidFill>
                </w14:textFill>
              </w:rPr>
              <w:t>等低效失效大气污染治理设施，对采用脱硫脱硝一体化、湿法脱硝、微生物法脱硝、单一低温等离子、光氧化、光催化以及非水溶性VOC</w:t>
            </w:r>
            <w:r>
              <w:rPr>
                <w:rFonts w:hint="eastAsia" w:cs="Times New Roman"/>
                <w:color w:val="000000" w:themeColor="text1"/>
                <w:kern w:val="2"/>
                <w:sz w:val="24"/>
                <w:szCs w:val="24"/>
                <w:vertAlign w:val="subscript"/>
                <w14:textFill>
                  <w14:solidFill>
                    <w14:schemeClr w14:val="tx1"/>
                  </w14:solidFill>
                </w14:textFill>
              </w:rPr>
              <w:t>S</w:t>
            </w:r>
            <w:r>
              <w:rPr>
                <w:rFonts w:cs="Times New Roman"/>
                <w:color w:val="000000" w:themeColor="text1"/>
                <w:kern w:val="2"/>
                <w:sz w:val="24"/>
                <w:szCs w:val="24"/>
                <w14:textFill>
                  <w14:solidFill>
                    <w14:schemeClr w14:val="tx1"/>
                  </w14:solidFill>
                </w14:textFill>
              </w:rPr>
              <w:t>废气采用单一喷淋吸收等治理工艺实施整治。燃气锅炉实施低氮燃烧改造，对低氮燃烧器、烟气再循环系统、分级燃烧系统、燃料及风量调配系统等关键部件要严把质量关，确保低氮燃烧系统稳定运行。生物质锅炉采用专用锅炉，配套布袋等高效除尘设施，禁止掺烧煤炭、生活垃圾等其他物料。推进整合小型生物质锅炉，积极引导城市建成区内生物质锅炉（含电力）超低排放改造。强化治污设施运行维护，减少非正常工况排放。严格旁路监管，重点涉气企业逐步取消烟气和含VOC</w:t>
            </w:r>
            <w:r>
              <w:rPr>
                <w:rFonts w:hint="eastAsia" w:cs="Times New Roman"/>
                <w:color w:val="000000" w:themeColor="text1"/>
                <w:kern w:val="2"/>
                <w:sz w:val="24"/>
                <w:szCs w:val="24"/>
                <w:vertAlign w:val="subscript"/>
                <w14:textFill>
                  <w14:solidFill>
                    <w14:schemeClr w14:val="tx1"/>
                  </w14:solidFill>
                </w14:textFill>
              </w:rPr>
              <w:t>S</w:t>
            </w:r>
            <w:r>
              <w:rPr>
                <w:rFonts w:cs="Times New Roman"/>
                <w:color w:val="000000" w:themeColor="text1"/>
                <w:kern w:val="2"/>
                <w:sz w:val="24"/>
                <w:szCs w:val="24"/>
                <w14:textFill>
                  <w14:solidFill>
                    <w14:schemeClr w14:val="tx1"/>
                  </w14:solidFill>
                </w14:textFill>
              </w:rPr>
              <w:t>废气旁路，因安全生产需要无法取消的，需向当地生态环境部门报备，安装在线监控系统及备用处置设施，在非紧急情况下保持关闭并加强监管。</w:t>
            </w:r>
          </w:p>
          <w:p>
            <w:pPr>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不新建</w:t>
            </w:r>
            <w:r>
              <w:rPr>
                <w:color w:val="000000" w:themeColor="text1"/>
                <w14:textFill>
                  <w14:solidFill>
                    <w14:schemeClr w14:val="tx1"/>
                  </w14:solidFill>
                </w14:textFill>
              </w:rPr>
              <w:t>锅炉，项目建设符合《黑龙江省空气质量持续改善行动计划实施方案》（黑政发〔2023〕19号）</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相关要求。</w:t>
            </w:r>
          </w:p>
          <w:p>
            <w:pPr>
              <w:pStyle w:val="54"/>
              <w:keepNext w:val="0"/>
              <w:keepLines w:val="0"/>
              <w:pageBreakBefore w:val="0"/>
              <w:widowControl w:val="0"/>
              <w:numPr>
                <w:ilvl w:val="0"/>
                <w:numId w:val="0"/>
              </w:numPr>
              <w:kinsoku/>
              <w:wordWrap/>
              <w:overflowPunct/>
              <w:topLinePunct w:val="0"/>
              <w:autoSpaceDE/>
              <w:autoSpaceDN/>
              <w:bidi w:val="0"/>
              <w:adjustRightInd/>
              <w:snapToGrid/>
              <w:ind w:left="0" w:leftChars="0" w:firstLine="482" w:firstLineChars="200"/>
              <w:jc w:val="both"/>
              <w:textAlignment w:val="auto"/>
              <w:rPr>
                <w:color w:val="000000" w:themeColor="text1"/>
                <w:highlight w:val="none"/>
                <w14:textFill>
                  <w14:solidFill>
                    <w14:schemeClr w14:val="tx1"/>
                  </w14:solidFill>
                </w14:textFill>
              </w:rPr>
            </w:pPr>
            <w:r>
              <w:rPr>
                <w:rFonts w:hint="eastAsia"/>
                <w:b/>
                <w:color w:val="000000" w:themeColor="text1"/>
                <w:kern w:val="0"/>
                <w:szCs w:val="21"/>
                <w:highlight w:val="none"/>
                <w:lang w:val="en-US" w:eastAsia="zh-CN"/>
                <w14:textFill>
                  <w14:solidFill>
                    <w14:schemeClr w14:val="tx1"/>
                  </w14:solidFill>
                </w14:textFill>
              </w:rPr>
              <w:t>10、</w:t>
            </w:r>
            <w:r>
              <w:rPr>
                <w:b/>
                <w:color w:val="000000" w:themeColor="text1"/>
                <w:kern w:val="0"/>
                <w:szCs w:val="21"/>
                <w:highlight w:val="none"/>
                <w14:textFill>
                  <w14:solidFill>
                    <w14:schemeClr w14:val="tx1"/>
                  </w14:solidFill>
                </w14:textFill>
              </w:rPr>
              <w:t>与《</w:t>
            </w:r>
            <w:r>
              <w:rPr>
                <w:rFonts w:hint="eastAsia"/>
                <w:b/>
                <w:color w:val="000000" w:themeColor="text1"/>
                <w:kern w:val="0"/>
                <w:szCs w:val="21"/>
                <w:highlight w:val="none"/>
                <w14:textFill>
                  <w14:solidFill>
                    <w14:schemeClr w14:val="tx1"/>
                  </w14:solidFill>
                </w14:textFill>
              </w:rPr>
              <w:t>促进绿色建材生产和应用行动方案</w:t>
            </w:r>
            <w:r>
              <w:rPr>
                <w:b/>
                <w:color w:val="000000" w:themeColor="text1"/>
                <w:kern w:val="0"/>
                <w:szCs w:val="21"/>
                <w:highlight w:val="none"/>
                <w14:textFill>
                  <w14:solidFill>
                    <w14:schemeClr w14:val="tx1"/>
                  </w14:solidFill>
                </w14:textFill>
              </w:rPr>
              <w:t>》（黑政发〔2023〕19号）符合性分析</w:t>
            </w:r>
          </w:p>
          <w:p>
            <w:pPr>
              <w:pStyle w:val="99"/>
              <w:spacing w:line="360" w:lineRule="auto"/>
              <w:ind w:firstLine="480"/>
              <w:rPr>
                <w:rFonts w:cs="Times New Roman"/>
                <w:color w:val="000000" w:themeColor="text1"/>
                <w:kern w:val="2"/>
                <w:sz w:val="24"/>
                <w:szCs w:val="24"/>
                <w:highlight w:val="none"/>
                <w14:textFill>
                  <w14:solidFill>
                    <w14:schemeClr w14:val="tx1"/>
                  </w14:solidFill>
                </w14:textFill>
              </w:rPr>
            </w:pPr>
            <w:r>
              <w:rPr>
                <w:rFonts w:cs="Times New Roman"/>
                <w:color w:val="000000" w:themeColor="text1"/>
                <w:kern w:val="2"/>
                <w:sz w:val="24"/>
                <w:szCs w:val="24"/>
                <w:highlight w:val="none"/>
                <w14:textFill>
                  <w14:solidFill>
                    <w14:schemeClr w14:val="tx1"/>
                  </w14:solidFill>
                </w14:textFill>
              </w:rPr>
              <w:t>根据《促进绿色建材生产和应用行动方案》第三条水泥与制品性能提升行动</w:t>
            </w:r>
            <w:r>
              <w:rPr>
                <w:rFonts w:cs="Times New Roman"/>
                <w:color w:val="000000" w:themeColor="text1"/>
                <w:kern w:val="2"/>
                <w:sz w:val="24"/>
                <w:szCs w:val="24"/>
                <w:highlight w:val="none"/>
                <w14:textFill>
                  <w14:solidFill>
                    <w14:schemeClr w14:val="tx1"/>
                  </w14:solidFill>
                </w14:textFill>
              </w:rPr>
              <w:fldChar w:fldCharType="begin"/>
            </w:r>
            <w:r>
              <w:rPr>
                <w:rFonts w:cs="Times New Roman"/>
                <w:color w:val="000000" w:themeColor="text1"/>
                <w:kern w:val="2"/>
                <w:sz w:val="24"/>
                <w:szCs w:val="24"/>
                <w:highlight w:val="none"/>
                <w14:textFill>
                  <w14:solidFill>
                    <w14:schemeClr w14:val="tx1"/>
                  </w14:solidFill>
                </w14:textFill>
              </w:rPr>
              <w:instrText xml:space="preserve"> = 1 \* GB3 </w:instrText>
            </w:r>
            <w:r>
              <w:rPr>
                <w:rFonts w:cs="Times New Roman"/>
                <w:color w:val="000000" w:themeColor="text1"/>
                <w:kern w:val="2"/>
                <w:sz w:val="24"/>
                <w:szCs w:val="24"/>
                <w:highlight w:val="none"/>
                <w14:textFill>
                  <w14:solidFill>
                    <w14:schemeClr w14:val="tx1"/>
                  </w14:solidFill>
                </w14:textFill>
              </w:rPr>
              <w:fldChar w:fldCharType="separate"/>
            </w:r>
            <w:r>
              <w:rPr>
                <w:rFonts w:cs="Times New Roman"/>
                <w:color w:val="000000" w:themeColor="text1"/>
                <w:kern w:val="2"/>
                <w:sz w:val="24"/>
                <w:szCs w:val="24"/>
                <w:highlight w:val="none"/>
                <w14:textFill>
                  <w14:solidFill>
                    <w14:schemeClr w14:val="tx1"/>
                  </w14:solidFill>
                </w14:textFill>
              </w:rPr>
              <w:t>①</w:t>
            </w:r>
            <w:r>
              <w:rPr>
                <w:rFonts w:cs="Times New Roman"/>
                <w:color w:val="000000" w:themeColor="text1"/>
                <w:kern w:val="2"/>
                <w:sz w:val="24"/>
                <w:szCs w:val="24"/>
                <w:highlight w:val="none"/>
                <w14:textFill>
                  <w14:solidFill>
                    <w14:schemeClr w14:val="tx1"/>
                  </w14:solidFill>
                </w14:textFill>
              </w:rPr>
              <w:fldChar w:fldCharType="end"/>
            </w:r>
            <w:r>
              <w:rPr>
                <w:rFonts w:cs="Times New Roman"/>
                <w:color w:val="000000" w:themeColor="text1"/>
                <w:kern w:val="2"/>
                <w:sz w:val="24"/>
                <w:szCs w:val="24"/>
                <w:highlight w:val="none"/>
                <w14:textFill>
                  <w14:solidFill>
                    <w14:schemeClr w14:val="tx1"/>
                  </w14:solidFill>
                </w14:textFill>
              </w:rPr>
              <w:t>发展高品质和专用水泥。制修订水泥产品标准，完善产品质量标准体系，鼓励生产和使用高标号水泥、纯熟料水泥。优先发展并规范使用海工、核电、道路等工程专用水泥。支持延伸产业链，完善混凝土掺合料标准，加快机制砂石工业化、标准化和绿色化。</w:t>
            </w:r>
            <w:r>
              <w:rPr>
                <w:rFonts w:cs="Times New Roman"/>
                <w:color w:val="000000" w:themeColor="text1"/>
                <w:kern w:val="2"/>
                <w:sz w:val="24"/>
                <w:szCs w:val="24"/>
                <w:highlight w:val="none"/>
                <w14:textFill>
                  <w14:solidFill>
                    <w14:schemeClr w14:val="tx1"/>
                  </w14:solidFill>
                </w14:textFill>
              </w:rPr>
              <w:fldChar w:fldCharType="begin"/>
            </w:r>
            <w:r>
              <w:rPr>
                <w:rFonts w:cs="Times New Roman"/>
                <w:color w:val="000000" w:themeColor="text1"/>
                <w:kern w:val="2"/>
                <w:sz w:val="24"/>
                <w:szCs w:val="24"/>
                <w:highlight w:val="none"/>
                <w14:textFill>
                  <w14:solidFill>
                    <w14:schemeClr w14:val="tx1"/>
                  </w14:solidFill>
                </w14:textFill>
              </w:rPr>
              <w:instrText xml:space="preserve"> = 2 \* GB3 </w:instrText>
            </w:r>
            <w:r>
              <w:rPr>
                <w:rFonts w:cs="Times New Roman"/>
                <w:color w:val="000000" w:themeColor="text1"/>
                <w:kern w:val="2"/>
                <w:sz w:val="24"/>
                <w:szCs w:val="24"/>
                <w:highlight w:val="none"/>
                <w14:textFill>
                  <w14:solidFill>
                    <w14:schemeClr w14:val="tx1"/>
                  </w14:solidFill>
                </w14:textFill>
              </w:rPr>
              <w:fldChar w:fldCharType="separate"/>
            </w:r>
            <w:r>
              <w:rPr>
                <w:rFonts w:cs="Times New Roman"/>
                <w:color w:val="000000" w:themeColor="text1"/>
                <w:kern w:val="2"/>
                <w:sz w:val="24"/>
                <w:szCs w:val="24"/>
                <w:highlight w:val="none"/>
                <w14:textFill>
                  <w14:solidFill>
                    <w14:schemeClr w14:val="tx1"/>
                  </w14:solidFill>
                </w14:textFill>
              </w:rPr>
              <w:t>②</w:t>
            </w:r>
            <w:r>
              <w:rPr>
                <w:rFonts w:cs="Times New Roman"/>
                <w:color w:val="000000" w:themeColor="text1"/>
                <w:kern w:val="2"/>
                <w:sz w:val="24"/>
                <w:szCs w:val="24"/>
                <w:highlight w:val="none"/>
                <w14:textFill>
                  <w14:solidFill>
                    <w14:schemeClr w14:val="tx1"/>
                  </w14:solidFill>
                </w14:textFill>
              </w:rPr>
              <w:fldChar w:fldCharType="end"/>
            </w:r>
            <w:r>
              <w:rPr>
                <w:rFonts w:cs="Times New Roman"/>
                <w:color w:val="000000" w:themeColor="text1"/>
                <w:kern w:val="2"/>
                <w:sz w:val="24"/>
                <w:szCs w:val="24"/>
                <w:highlight w:val="none"/>
                <w14:textFill>
                  <w14:solidFill>
                    <w14:schemeClr w14:val="tx1"/>
                  </w14:solidFill>
                </w14:textFill>
              </w:rPr>
              <w:t>推广应用高性能混凝土。鼓励使用C35及以上强度等级预拌混凝土，推广大掺量掺合料及再生骨料应用技术，提升高性能混凝土应用技术水平。研究开发高性能混凝土耐久性设计和评价技术，延长工程寿命。</w:t>
            </w:r>
            <w:r>
              <w:rPr>
                <w:rFonts w:cs="Times New Roman"/>
                <w:color w:val="000000" w:themeColor="text1"/>
                <w:kern w:val="2"/>
                <w:sz w:val="24"/>
                <w:szCs w:val="24"/>
                <w:highlight w:val="none"/>
                <w14:textFill>
                  <w14:solidFill>
                    <w14:schemeClr w14:val="tx1"/>
                  </w14:solidFill>
                </w14:textFill>
              </w:rPr>
              <w:fldChar w:fldCharType="begin"/>
            </w:r>
            <w:r>
              <w:rPr>
                <w:rFonts w:cs="Times New Roman"/>
                <w:color w:val="000000" w:themeColor="text1"/>
                <w:kern w:val="2"/>
                <w:sz w:val="24"/>
                <w:szCs w:val="24"/>
                <w:highlight w:val="none"/>
                <w14:textFill>
                  <w14:solidFill>
                    <w14:schemeClr w14:val="tx1"/>
                  </w14:solidFill>
                </w14:textFill>
              </w:rPr>
              <w:instrText xml:space="preserve"> = 3 \* GB3 </w:instrText>
            </w:r>
            <w:r>
              <w:rPr>
                <w:rFonts w:cs="Times New Roman"/>
                <w:color w:val="000000" w:themeColor="text1"/>
                <w:kern w:val="2"/>
                <w:sz w:val="24"/>
                <w:szCs w:val="24"/>
                <w:highlight w:val="none"/>
                <w14:textFill>
                  <w14:solidFill>
                    <w14:schemeClr w14:val="tx1"/>
                  </w14:solidFill>
                </w14:textFill>
              </w:rPr>
              <w:fldChar w:fldCharType="separate"/>
            </w:r>
            <w:r>
              <w:rPr>
                <w:rFonts w:cs="Times New Roman"/>
                <w:color w:val="000000" w:themeColor="text1"/>
                <w:kern w:val="2"/>
                <w:sz w:val="24"/>
                <w:szCs w:val="24"/>
                <w:highlight w:val="none"/>
                <w14:textFill>
                  <w14:solidFill>
                    <w14:schemeClr w14:val="tx1"/>
                  </w14:solidFill>
                </w14:textFill>
              </w:rPr>
              <w:t>③</w:t>
            </w:r>
            <w:r>
              <w:rPr>
                <w:rFonts w:cs="Times New Roman"/>
                <w:color w:val="000000" w:themeColor="text1"/>
                <w:kern w:val="2"/>
                <w:sz w:val="24"/>
                <w:szCs w:val="24"/>
                <w:highlight w:val="none"/>
                <w14:textFill>
                  <w14:solidFill>
                    <w14:schemeClr w14:val="tx1"/>
                  </w14:solidFill>
                </w14:textFill>
              </w:rPr>
              <w:fldChar w:fldCharType="end"/>
            </w:r>
            <w:r>
              <w:rPr>
                <w:rFonts w:cs="Times New Roman"/>
                <w:color w:val="000000" w:themeColor="text1"/>
                <w:kern w:val="2"/>
                <w:sz w:val="24"/>
                <w:szCs w:val="24"/>
                <w:highlight w:val="none"/>
                <w14:textFill>
                  <w14:solidFill>
                    <w14:schemeClr w14:val="tx1"/>
                  </w14:solidFill>
                </w14:textFill>
              </w:rPr>
              <w:t>大力发展装配式混凝土建筑及构配件。积极推广成熟的预制装配式混凝土结构体系，优化完善现有预制框架、剪力墙、框架-剪力墙结构等装配式混凝土结构体系。完善混凝土预制构配件的通用体系，推进叠合楼板、内外墙板、楼梯阳台、厨卫装饰等工厂化生产，引导构配件产业系列化开发、规模化生产、配套化供应。</w:t>
            </w: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color w:val="auto"/>
                <w:highlight w:val="none"/>
                <w:lang w:val="en-US" w:eastAsia="zh-CN"/>
              </w:rPr>
              <w:t>本项目属于生产商品混凝土项目</w:t>
            </w:r>
            <w:r>
              <w:rPr>
                <w:rFonts w:hint="eastAsia" w:cs="Times New Roman"/>
                <w:color w:val="auto"/>
                <w:highlight w:val="none"/>
                <w:lang w:val="en-US" w:eastAsia="zh-CN"/>
              </w:rPr>
              <w:t>及</w:t>
            </w:r>
            <w:r>
              <w:rPr>
                <w:rFonts w:hint="eastAsia"/>
                <w:color w:val="auto"/>
                <w:sz w:val="24"/>
                <w:szCs w:val="24"/>
                <w:highlight w:val="none"/>
              </w:rPr>
              <w:t>水泥稳定碎石</w:t>
            </w:r>
            <w:r>
              <w:rPr>
                <w:rFonts w:hint="default" w:ascii="Times New Roman" w:hAnsi="Times New Roman" w:eastAsia="宋体" w:cs="Times New Roman"/>
                <w:color w:val="auto"/>
                <w:highlight w:val="none"/>
                <w:lang w:val="en-US" w:eastAsia="zh-CN"/>
              </w:rPr>
              <w:t>，为《促进绿色建材生产和应用行动方案》鼓励生产的水泥制品，建成后年生产商品混凝土1万m</w:t>
            </w:r>
            <w:r>
              <w:rPr>
                <w:rFonts w:hint="default" w:ascii="Times New Roman" w:hAnsi="Times New Roman" w:eastAsia="宋体" w:cs="Times New Roman"/>
                <w:color w:val="auto"/>
                <w:highlight w:val="none"/>
                <w:vertAlign w:val="superscript"/>
                <w:lang w:val="en-US" w:eastAsia="zh-CN"/>
              </w:rPr>
              <w:t>3</w:t>
            </w:r>
            <w:r>
              <w:rPr>
                <w:rFonts w:hint="eastAsia" w:cs="Times New Roman"/>
                <w:color w:val="auto"/>
                <w:highlight w:val="none"/>
                <w:lang w:val="en-US" w:eastAsia="zh-CN"/>
              </w:rPr>
              <w:t>、</w:t>
            </w:r>
            <w:r>
              <w:rPr>
                <w:rFonts w:hint="eastAsia"/>
                <w:color w:val="auto"/>
                <w:sz w:val="24"/>
                <w:szCs w:val="24"/>
                <w:highlight w:val="none"/>
              </w:rPr>
              <w:t>水泥稳定碎石</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万m</w:t>
            </w:r>
            <w:r>
              <w:rPr>
                <w:rFonts w:hint="default"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w:t>
            </w:r>
            <w:r>
              <w:rPr>
                <w:rFonts w:hint="default" w:ascii="Times New Roman" w:hAnsi="Times New Roman" w:eastAsia="宋体" w:cs="Times New Roman"/>
                <w:color w:val="auto"/>
                <w:highlight w:val="none"/>
                <w:lang w:val="en-US" w:eastAsia="zh-CN"/>
              </w:rPr>
              <w:t>与《促进绿色建材生产和应用行动方案》相符。</w:t>
            </w: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keepNext w:val="0"/>
              <w:keepLines w:val="0"/>
              <w:pageBreakBefore w:val="0"/>
              <w:numPr>
                <w:ilvl w:val="0"/>
                <w:numId w:val="0"/>
              </w:numPr>
              <w:kinsoku/>
              <w:wordWrap/>
              <w:overflowPunct/>
              <w:topLinePunct w:val="0"/>
              <w:bidi w:val="0"/>
              <w:ind w:firstLine="480" w:firstLineChars="200"/>
              <w:jc w:val="both"/>
              <w:textAlignment w:val="auto"/>
              <w:rPr>
                <w:rFonts w:hint="default" w:ascii="Times New Roman" w:hAnsi="Times New Roman" w:eastAsia="宋体" w:cs="Times New Roman"/>
                <w:color w:val="auto"/>
                <w:highlight w:val="yellow"/>
                <w:lang w:val="en-US" w:eastAsia="zh-CN"/>
              </w:rPr>
            </w:pPr>
          </w:p>
          <w:p>
            <w:pPr>
              <w:pStyle w:val="54"/>
              <w:ind w:left="0" w:leftChars="0" w:firstLine="0" w:firstLineChars="0"/>
              <w:jc w:val="both"/>
              <w:rPr>
                <w:rFonts w:cs="Times New Roman"/>
                <w:b/>
                <w:bCs/>
                <w:color w:val="000000" w:themeColor="text1"/>
                <w:kern w:val="2"/>
                <w:sz w:val="24"/>
                <w:szCs w:val="24"/>
                <w14:textFill>
                  <w14:solidFill>
                    <w14:schemeClr w14:val="tx1"/>
                  </w14:solidFill>
                </w14:textFill>
              </w:rPr>
            </w:pPr>
          </w:p>
        </w:tc>
      </w:tr>
    </w:tbl>
    <w:p>
      <w:pPr>
        <w:rPr>
          <w:color w:val="000000" w:themeColor="text1"/>
          <w14:textFill>
            <w14:solidFill>
              <w14:schemeClr w14:val="tx1"/>
            </w14:solidFill>
          </w14:textFill>
        </w:rPr>
        <w:sectPr>
          <w:headerReference r:id="rId5" w:type="default"/>
          <w:footerReference r:id="rId6"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425" w:num="1"/>
          <w:docGrid w:linePitch="312" w:charSpace="0"/>
        </w:sectPr>
      </w:pPr>
    </w:p>
    <w:p>
      <w:pPr>
        <w:ind w:firstLine="600"/>
        <w:jc w:val="center"/>
        <w:outlineLvl w:val="0"/>
        <w:rPr>
          <w:rFonts w:eastAsia="黑体"/>
          <w:color w:val="000000" w:themeColor="text1"/>
          <w:sz w:val="30"/>
          <w:szCs w:val="30"/>
          <w14:textFill>
            <w14:solidFill>
              <w14:schemeClr w14:val="tx1"/>
            </w14:solidFill>
          </w14:textFill>
        </w:rPr>
      </w:pPr>
      <w:bookmarkStart w:id="4" w:name="_Toc6412"/>
      <w:r>
        <w:rPr>
          <w:rFonts w:eastAsia="黑体"/>
          <w:color w:val="000000" w:themeColor="text1"/>
          <w:sz w:val="30"/>
          <w:szCs w:val="30"/>
          <w14:textFill>
            <w14:solidFill>
              <w14:schemeClr w14:val="tx1"/>
            </w14:solidFill>
          </w14:textFill>
        </w:rPr>
        <w:t>二、建设项目工程分析</w:t>
      </w:r>
      <w:bookmarkEnd w:id="4"/>
    </w:p>
    <w:tbl>
      <w:tblPr>
        <w:tblStyle w:val="33"/>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5" w:hRule="atLeast"/>
          <w:jc w:val="center"/>
        </w:trPr>
        <w:tc>
          <w:tcPr>
            <w:tcW w:w="78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8851" w:type="dxa"/>
          </w:tcPr>
          <w:p>
            <w:pPr>
              <w:pStyle w:val="54"/>
              <w:numPr>
                <w:ilvl w:val="0"/>
                <w:numId w:val="5"/>
              </w:numPr>
              <w:ind w:firstLine="482"/>
              <w:rPr>
                <w:b/>
                <w:bCs/>
                <w:color w:val="auto"/>
                <w:highlight w:val="none"/>
              </w:rPr>
            </w:pPr>
            <w:r>
              <w:rPr>
                <w:b/>
                <w:bCs/>
                <w:color w:val="auto"/>
                <w:highlight w:val="none"/>
              </w:rPr>
              <w:t>工程概况</w:t>
            </w:r>
          </w:p>
          <w:p>
            <w:pPr>
              <w:pStyle w:val="54"/>
              <w:ind w:firstLine="480"/>
              <w:rPr>
                <w:rFonts w:hint="eastAsia" w:eastAsia="宋体"/>
                <w:color w:val="auto"/>
                <w:highlight w:val="none"/>
                <w:lang w:eastAsia="zh-CN"/>
              </w:rPr>
            </w:pPr>
            <w:r>
              <w:rPr>
                <w:color w:val="auto"/>
                <w:highlight w:val="none"/>
              </w:rPr>
              <w:t>（1）项目名称：</w:t>
            </w:r>
            <w:r>
              <w:rPr>
                <w:rFonts w:hint="eastAsia"/>
                <w:color w:val="auto"/>
                <w:highlight w:val="none"/>
                <w:lang w:eastAsia="zh-CN"/>
              </w:rPr>
              <w:t>嘉荫县万邦商混有限公司商品混凝土搅拌站扩建项目</w:t>
            </w:r>
          </w:p>
          <w:p>
            <w:pPr>
              <w:pStyle w:val="54"/>
              <w:ind w:firstLine="480"/>
              <w:rPr>
                <w:rFonts w:hint="eastAsia" w:eastAsia="宋体"/>
                <w:color w:val="auto"/>
                <w:highlight w:val="none"/>
                <w:lang w:eastAsia="zh-CN"/>
              </w:rPr>
            </w:pPr>
            <w:r>
              <w:rPr>
                <w:color w:val="auto"/>
                <w:highlight w:val="none"/>
              </w:rPr>
              <w:t>（2）建设单位：</w:t>
            </w:r>
            <w:r>
              <w:rPr>
                <w:rFonts w:hint="eastAsia"/>
                <w:color w:val="auto"/>
                <w:highlight w:val="none"/>
                <w:lang w:eastAsia="zh-CN"/>
              </w:rPr>
              <w:t>嘉荫县万邦商混有限公司</w:t>
            </w:r>
          </w:p>
          <w:p>
            <w:pPr>
              <w:pStyle w:val="54"/>
              <w:ind w:firstLine="480"/>
              <w:rPr>
                <w:rFonts w:hint="eastAsia" w:eastAsia="宋体"/>
                <w:color w:val="auto"/>
                <w:highlight w:val="none"/>
                <w:lang w:eastAsia="zh-CN"/>
              </w:rPr>
            </w:pPr>
            <w:r>
              <w:rPr>
                <w:color w:val="auto"/>
                <w:highlight w:val="none"/>
              </w:rPr>
              <w:t>（3）建设性质：</w:t>
            </w:r>
            <w:r>
              <w:rPr>
                <w:rFonts w:hint="eastAsia"/>
                <w:color w:val="auto"/>
                <w:highlight w:val="none"/>
                <w:lang w:val="en-US" w:eastAsia="zh-CN"/>
              </w:rPr>
              <w:t>扩建</w:t>
            </w:r>
          </w:p>
          <w:p>
            <w:pPr>
              <w:pStyle w:val="54"/>
              <w:ind w:firstLine="480"/>
              <w:rPr>
                <w:rFonts w:hint="default"/>
                <w:color w:val="auto"/>
                <w:highlight w:val="none"/>
                <w:lang w:val="en-US"/>
              </w:rPr>
            </w:pPr>
            <w:r>
              <w:rPr>
                <w:color w:val="auto"/>
                <w:highlight w:val="none"/>
              </w:rPr>
              <w:t>（4）建设地点：</w:t>
            </w:r>
            <w:r>
              <w:rPr>
                <w:rFonts w:hint="eastAsia" w:ascii="Times New Roman" w:hAnsi="Times New Roman" w:cs="Times New Roman"/>
                <w:color w:val="auto"/>
                <w:szCs w:val="21"/>
                <w:highlight w:val="none"/>
                <w:lang w:val="en-US" w:eastAsia="zh-CN"/>
              </w:rPr>
              <w:t>嘉荫县朝阳镇恐龙大道3号</w:t>
            </w:r>
            <w:r>
              <w:rPr>
                <w:rFonts w:hint="eastAsia"/>
                <w:color w:val="auto"/>
                <w:highlight w:val="none"/>
                <w:lang w:eastAsia="zh-CN"/>
              </w:rPr>
              <w:t>嘉荫县万邦商混有限公司</w:t>
            </w:r>
            <w:r>
              <w:rPr>
                <w:rFonts w:hint="eastAsia"/>
                <w:color w:val="auto"/>
                <w:highlight w:val="none"/>
                <w:lang w:val="en-US" w:eastAsia="zh-CN"/>
              </w:rPr>
              <w:t>院内</w:t>
            </w:r>
          </w:p>
          <w:p>
            <w:pPr>
              <w:pStyle w:val="54"/>
              <w:ind w:firstLine="480"/>
              <w:rPr>
                <w:color w:val="auto"/>
                <w:highlight w:val="none"/>
              </w:rPr>
            </w:pPr>
            <w:r>
              <w:rPr>
                <w:color w:val="auto"/>
                <w:highlight w:val="none"/>
              </w:rPr>
              <w:t>（5）劳动</w:t>
            </w:r>
            <w:r>
              <w:rPr>
                <w:rFonts w:hint="eastAsia"/>
                <w:color w:val="auto"/>
                <w:highlight w:val="none"/>
              </w:rPr>
              <w:t>班制及</w:t>
            </w:r>
            <w:r>
              <w:rPr>
                <w:color w:val="auto"/>
                <w:highlight w:val="none"/>
              </w:rPr>
              <w:t>定员：</w:t>
            </w:r>
            <w:r>
              <w:rPr>
                <w:rFonts w:hint="eastAsia"/>
                <w:color w:val="auto"/>
                <w:highlight w:val="none"/>
                <w:lang w:val="en-US" w:eastAsia="zh-CN"/>
              </w:rPr>
              <w:t>本次扩建</w:t>
            </w:r>
            <w:r>
              <w:rPr>
                <w:rFonts w:hint="eastAsia"/>
                <w:sz w:val="24"/>
                <w:highlight w:val="none"/>
                <w:lang w:val="en-US" w:eastAsia="zh-CN"/>
              </w:rPr>
              <w:t>不</w:t>
            </w:r>
            <w:r>
              <w:rPr>
                <w:rFonts w:hint="eastAsia"/>
                <w:sz w:val="24"/>
                <w:highlight w:val="none"/>
              </w:rPr>
              <w:t>新增</w:t>
            </w:r>
            <w:r>
              <w:rPr>
                <w:sz w:val="24"/>
                <w:highlight w:val="none"/>
              </w:rPr>
              <w:t>劳动定员</w:t>
            </w:r>
          </w:p>
          <w:p>
            <w:pPr>
              <w:pStyle w:val="54"/>
              <w:ind w:firstLine="480"/>
              <w:rPr>
                <w:color w:val="auto"/>
                <w:highlight w:val="none"/>
              </w:rPr>
            </w:pPr>
            <w:r>
              <w:rPr>
                <w:color w:val="auto"/>
                <w:highlight w:val="none"/>
              </w:rPr>
              <w:t>（6）建设投资：工程总投资</w:t>
            </w:r>
            <w:r>
              <w:rPr>
                <w:rFonts w:hint="eastAsia"/>
                <w:color w:val="auto"/>
                <w:highlight w:val="none"/>
                <w:lang w:val="en-US" w:eastAsia="zh-CN"/>
              </w:rPr>
              <w:t>60</w:t>
            </w:r>
            <w:r>
              <w:rPr>
                <w:color w:val="auto"/>
                <w:highlight w:val="none"/>
              </w:rPr>
              <w:t>万元</w:t>
            </w:r>
          </w:p>
          <w:p>
            <w:pPr>
              <w:pStyle w:val="54"/>
              <w:ind w:firstLine="480"/>
              <w:rPr>
                <w:color w:val="auto"/>
                <w:highlight w:val="none"/>
              </w:rPr>
            </w:pPr>
            <w:r>
              <w:rPr>
                <w:color w:val="auto"/>
                <w:highlight w:val="none"/>
              </w:rPr>
              <w:t>（7）建设内容：</w:t>
            </w:r>
            <w:r>
              <w:rPr>
                <w:rFonts w:hint="eastAsia"/>
                <w:color w:val="auto"/>
                <w:highlight w:val="none"/>
                <w:lang w:val="en-US" w:eastAsia="zh-CN"/>
              </w:rPr>
              <w:t>本次新增1条商品混凝土生产线及一条</w:t>
            </w:r>
            <w:r>
              <w:rPr>
                <w:rFonts w:hint="eastAsia"/>
                <w:color w:val="auto"/>
                <w:highlight w:val="none"/>
              </w:rPr>
              <w:t>水泥稳定碎石</w:t>
            </w:r>
            <w:r>
              <w:rPr>
                <w:rFonts w:hint="eastAsia"/>
                <w:color w:val="auto"/>
                <w:highlight w:val="none"/>
                <w:lang w:val="en-US" w:eastAsia="zh-CN"/>
              </w:rPr>
              <w:t>生产线，年产商品混凝土1万</w:t>
            </w:r>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color w:val="auto"/>
                <w:sz w:val="24"/>
                <w:szCs w:val="24"/>
                <w:highlight w:val="none"/>
              </w:rPr>
              <w:t>水泥稳定碎石</w:t>
            </w:r>
            <w:r>
              <w:rPr>
                <w:rFonts w:hint="eastAsia"/>
                <w:color w:val="auto"/>
                <w:sz w:val="24"/>
                <w:szCs w:val="24"/>
                <w:highlight w:val="none"/>
                <w:lang w:val="en-US" w:eastAsia="zh-CN"/>
              </w:rPr>
              <w:t>3万</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w:t>
            </w:r>
          </w:p>
          <w:p>
            <w:pPr>
              <w:pStyle w:val="54"/>
              <w:numPr>
                <w:ilvl w:val="0"/>
                <w:numId w:val="5"/>
              </w:numPr>
              <w:ind w:firstLine="482"/>
              <w:rPr>
                <w:b/>
                <w:bCs/>
                <w:color w:val="auto"/>
                <w:highlight w:val="none"/>
              </w:rPr>
            </w:pPr>
            <w:r>
              <w:rPr>
                <w:b/>
                <w:bCs/>
                <w:color w:val="auto"/>
                <w:highlight w:val="none"/>
              </w:rPr>
              <w:t>工程组成</w:t>
            </w:r>
          </w:p>
          <w:p>
            <w:pPr>
              <w:pStyle w:val="54"/>
              <w:ind w:firstLine="480"/>
              <w:rPr>
                <w:color w:val="auto"/>
                <w:highlight w:val="none"/>
              </w:rPr>
            </w:pPr>
            <w:r>
              <w:rPr>
                <w:color w:val="auto"/>
                <w:highlight w:val="none"/>
              </w:rPr>
              <w:t>本项目组成表详见下表。</w:t>
            </w:r>
          </w:p>
          <w:p>
            <w:pPr>
              <w:pStyle w:val="60"/>
              <w:numPr>
                <w:ilvl w:val="0"/>
                <w:numId w:val="0"/>
              </w:num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表2-1  工程组成一览表</w:t>
            </w:r>
          </w:p>
          <w:tbl>
            <w:tblPr>
              <w:tblStyle w:val="32"/>
              <w:tblW w:w="875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374"/>
              <w:gridCol w:w="4"/>
              <w:gridCol w:w="1149"/>
              <w:gridCol w:w="4"/>
              <w:gridCol w:w="3"/>
              <w:gridCol w:w="717"/>
              <w:gridCol w:w="329"/>
              <w:gridCol w:w="5215"/>
              <w:gridCol w:w="5"/>
              <w:gridCol w:w="4"/>
              <w:gridCol w:w="127"/>
              <w:gridCol w:w="685"/>
              <w:gridCol w:w="5"/>
              <w:gridCol w:w="4"/>
              <w:gridCol w:w="1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1"/>
                <w:wAfter w:w="129" w:type="dxa"/>
                <w:trHeight w:val="340" w:hRule="atLeast"/>
                <w:jc w:val="center"/>
              </w:trPr>
              <w:tc>
                <w:tcPr>
                  <w:tcW w:w="1531" w:type="dxa"/>
                  <w:gridSpan w:val="4"/>
                  <w:tcBorders>
                    <w:tl2br w:val="nil"/>
                    <w:tr2bl w:val="nil"/>
                  </w:tcBorders>
                  <w:vAlign w:val="center"/>
                </w:tcPr>
                <w:p>
                  <w:pPr>
                    <w:pStyle w:val="19"/>
                    <w:rPr>
                      <w:color w:val="auto"/>
                      <w:highlight w:val="none"/>
                    </w:rPr>
                  </w:pPr>
                  <w:r>
                    <w:rPr>
                      <w:color w:val="auto"/>
                      <w:highlight w:val="none"/>
                    </w:rPr>
                    <w:t>工程组成</w:t>
                  </w:r>
                </w:p>
              </w:tc>
              <w:tc>
                <w:tcPr>
                  <w:tcW w:w="6273" w:type="dxa"/>
                  <w:gridSpan w:val="6"/>
                  <w:tcBorders>
                    <w:tl2br w:val="nil"/>
                    <w:tr2bl w:val="nil"/>
                  </w:tcBorders>
                  <w:vAlign w:val="center"/>
                </w:tcPr>
                <w:p>
                  <w:pPr>
                    <w:pStyle w:val="19"/>
                    <w:rPr>
                      <w:color w:val="auto"/>
                      <w:highlight w:val="none"/>
                    </w:rPr>
                  </w:pPr>
                  <w:r>
                    <w:rPr>
                      <w:color w:val="auto"/>
                      <w:highlight w:val="none"/>
                    </w:rPr>
                    <w:t>主要建设内容</w:t>
                  </w:r>
                </w:p>
              </w:tc>
              <w:tc>
                <w:tcPr>
                  <w:tcW w:w="821" w:type="dxa"/>
                  <w:gridSpan w:val="4"/>
                  <w:tcBorders>
                    <w:tl2br w:val="nil"/>
                    <w:tr2bl w:val="nil"/>
                  </w:tcBorders>
                  <w:vAlign w:val="center"/>
                </w:tcPr>
                <w:p>
                  <w:pPr>
                    <w:pStyle w:val="19"/>
                    <w:rPr>
                      <w:color w:val="auto"/>
                      <w:highlight w:val="none"/>
                    </w:rPr>
                  </w:pPr>
                  <w:r>
                    <w:rPr>
                      <w:color w:val="auto"/>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1668" w:hRule="atLeast"/>
                <w:jc w:val="center"/>
              </w:trPr>
              <w:tc>
                <w:tcPr>
                  <w:tcW w:w="374" w:type="dxa"/>
                  <w:vMerge w:val="restart"/>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主体工程</w:t>
                  </w:r>
                </w:p>
              </w:tc>
              <w:tc>
                <w:tcPr>
                  <w:tcW w:w="1153" w:type="dxa"/>
                  <w:gridSpan w:val="2"/>
                  <w:tcBorders>
                    <w:tl2br w:val="nil"/>
                    <w:tr2bl w:val="nil"/>
                  </w:tcBorders>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混凝土</w:t>
                  </w:r>
                </w:p>
                <w:p>
                  <w:pPr>
                    <w:adjustRightInd w:val="0"/>
                    <w:snapToGrid w:val="0"/>
                    <w:jc w:val="center"/>
                    <w:rPr>
                      <w:color w:val="auto"/>
                      <w:sz w:val="21"/>
                      <w:szCs w:val="21"/>
                      <w:highlight w:val="none"/>
                    </w:rPr>
                  </w:pPr>
                  <w:r>
                    <w:rPr>
                      <w:rFonts w:hint="eastAsia"/>
                      <w:color w:val="auto"/>
                      <w:sz w:val="21"/>
                      <w:szCs w:val="21"/>
                      <w:highlight w:val="none"/>
                    </w:rPr>
                    <w:t>搅拌站</w:t>
                  </w:r>
                </w:p>
              </w:tc>
              <w:tc>
                <w:tcPr>
                  <w:tcW w:w="6273"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位于</w:t>
                  </w:r>
                  <w:r>
                    <w:rPr>
                      <w:rFonts w:hint="default" w:ascii="Times New Roman" w:hAnsi="Times New Roman" w:eastAsia="宋体" w:cs="Times New Roman"/>
                      <w:color w:val="auto"/>
                      <w:sz w:val="21"/>
                      <w:szCs w:val="21"/>
                      <w:highlight w:val="none"/>
                      <w:u w:val="none"/>
                    </w:rPr>
                    <w:t>厂区</w:t>
                  </w:r>
                  <w:r>
                    <w:rPr>
                      <w:rFonts w:hint="eastAsia" w:cs="Times New Roman"/>
                      <w:color w:val="auto"/>
                      <w:sz w:val="21"/>
                      <w:szCs w:val="21"/>
                      <w:highlight w:val="none"/>
                      <w:u w:val="none"/>
                      <w:lang w:val="en-US" w:eastAsia="zh-CN"/>
                    </w:rPr>
                    <w:t>西南</w:t>
                  </w:r>
                  <w:r>
                    <w:rPr>
                      <w:rFonts w:hint="default" w:ascii="Times New Roman" w:hAnsi="Times New Roman" w:eastAsia="宋体" w:cs="Times New Roman"/>
                      <w:color w:val="auto"/>
                      <w:sz w:val="21"/>
                      <w:szCs w:val="21"/>
                      <w:highlight w:val="none"/>
                      <w:u w:val="none"/>
                    </w:rPr>
                    <w:t>位置，</w:t>
                  </w:r>
                  <w:r>
                    <w:rPr>
                      <w:rFonts w:hint="default" w:ascii="Times New Roman" w:hAnsi="Times New Roman" w:eastAsia="宋体" w:cs="Times New Roman"/>
                      <w:color w:val="auto"/>
                      <w:sz w:val="21"/>
                      <w:szCs w:val="21"/>
                      <w:highlight w:val="none"/>
                      <w:u w:val="none"/>
                      <w:lang w:eastAsia="zh-CN"/>
                    </w:rPr>
                    <w:t>混凝土搅拌</w:t>
                  </w:r>
                  <w:r>
                    <w:rPr>
                      <w:rFonts w:hint="default" w:ascii="Times New Roman" w:hAnsi="Times New Roman" w:eastAsia="宋体" w:cs="Times New Roman"/>
                      <w:color w:val="auto"/>
                      <w:sz w:val="21"/>
                      <w:szCs w:val="21"/>
                      <w:highlight w:val="none"/>
                      <w:u w:val="none"/>
                    </w:rPr>
                    <w:t>站占地面积</w:t>
                  </w:r>
                  <w:r>
                    <w:rPr>
                      <w:rFonts w:hint="eastAsia" w:cs="Times New Roman"/>
                      <w:color w:val="auto"/>
                      <w:sz w:val="21"/>
                      <w:szCs w:val="21"/>
                      <w:highlight w:val="none"/>
                      <w:u w:val="none"/>
                      <w:lang w:val="en-US" w:eastAsia="zh-CN"/>
                    </w:rPr>
                    <w:t>280</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2</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val="en-US" w:eastAsia="zh-CN"/>
                    </w:rPr>
                    <w:t>高度1</w:t>
                  </w:r>
                  <w:r>
                    <w:rPr>
                      <w:rFonts w:hint="eastAsia"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lang w:val="en-US" w:eastAsia="zh-CN"/>
                    </w:rPr>
                    <w:t>m，</w:t>
                  </w:r>
                  <w:r>
                    <w:rPr>
                      <w:rFonts w:hint="default" w:ascii="Times New Roman" w:hAnsi="Times New Roman" w:eastAsia="宋体" w:cs="Times New Roman"/>
                      <w:color w:val="auto"/>
                      <w:sz w:val="21"/>
                      <w:szCs w:val="21"/>
                      <w:highlight w:val="none"/>
                      <w:u w:val="none"/>
                    </w:rPr>
                    <w:t>建设1条</w:t>
                  </w:r>
                  <w:r>
                    <w:rPr>
                      <w:rFonts w:hint="eastAsia" w:cs="Times New Roman"/>
                      <w:color w:val="auto"/>
                      <w:sz w:val="21"/>
                      <w:szCs w:val="21"/>
                      <w:highlight w:val="none"/>
                      <w:u w:val="none"/>
                      <w:lang w:val="en-US" w:eastAsia="zh-CN"/>
                    </w:rPr>
                    <w:t>1万</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w:t>
                  </w:r>
                  <w:r>
                    <w:rPr>
                      <w:rFonts w:hint="eastAsia" w:cs="Times New Roman"/>
                      <w:color w:val="auto"/>
                      <w:sz w:val="21"/>
                      <w:szCs w:val="21"/>
                      <w:highlight w:val="none"/>
                      <w:u w:val="none"/>
                      <w:lang w:val="en-US" w:eastAsia="zh-CN"/>
                    </w:rPr>
                    <w:t>a商品</w:t>
                  </w:r>
                  <w:r>
                    <w:rPr>
                      <w:rFonts w:hint="default" w:ascii="Times New Roman" w:hAnsi="Times New Roman" w:eastAsia="宋体" w:cs="Times New Roman"/>
                      <w:color w:val="auto"/>
                      <w:sz w:val="21"/>
                      <w:szCs w:val="21"/>
                      <w:highlight w:val="none"/>
                      <w:u w:val="none"/>
                      <w:lang w:eastAsia="zh-CN"/>
                    </w:rPr>
                    <w:t>混凝土搅拌</w:t>
                  </w:r>
                  <w:r>
                    <w:rPr>
                      <w:rFonts w:hint="default" w:ascii="Times New Roman" w:hAnsi="Times New Roman" w:eastAsia="宋体" w:cs="Times New Roman"/>
                      <w:color w:val="auto"/>
                      <w:sz w:val="21"/>
                      <w:szCs w:val="21"/>
                      <w:highlight w:val="none"/>
                      <w:u w:val="none"/>
                    </w:rPr>
                    <w:t>料生产线，包括输送系统、计量系统、搅拌系统等，各种原料按比例投入搅拌机中混合拌制均匀，成品出料直接装入混凝土运输车外运。年生产</w:t>
                  </w:r>
                  <w:r>
                    <w:rPr>
                      <w:rFonts w:hint="default" w:ascii="Times New Roman" w:hAnsi="Times New Roman" w:eastAsia="宋体" w:cs="Times New Roman"/>
                      <w:color w:val="auto"/>
                      <w:sz w:val="21"/>
                      <w:szCs w:val="21"/>
                      <w:highlight w:val="none"/>
                      <w:u w:val="none"/>
                      <w:lang w:eastAsia="zh-CN"/>
                    </w:rPr>
                    <w:t>混凝土</w:t>
                  </w:r>
                  <w:r>
                    <w:rPr>
                      <w:rFonts w:hint="default" w:ascii="Times New Roman" w:hAnsi="Times New Roman" w:eastAsia="宋体" w:cs="Times New Roman"/>
                      <w:color w:val="auto"/>
                      <w:sz w:val="21"/>
                      <w:szCs w:val="21"/>
                      <w:highlight w:val="none"/>
                      <w:u w:val="none"/>
                      <w:lang w:val="en-US" w:eastAsia="zh-CN"/>
                    </w:rPr>
                    <w:t>1万</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.2</w:t>
                  </w:r>
                  <w:r>
                    <w:rPr>
                      <w:rFonts w:hint="default" w:ascii="Times New Roman" w:hAnsi="Times New Roman" w:eastAsia="宋体" w:cs="Times New Roman"/>
                      <w:color w:val="auto"/>
                      <w:sz w:val="21"/>
                      <w:szCs w:val="21"/>
                      <w:highlight w:val="none"/>
                      <w:u w:val="none"/>
                      <w:lang w:val="en-US" w:eastAsia="zh-CN"/>
                    </w:rPr>
                    <w:t>万</w:t>
                  </w:r>
                  <w:r>
                    <w:rPr>
                      <w:rFonts w:hint="default" w:ascii="Times New Roman" w:hAnsi="Times New Roman" w:eastAsia="宋体" w:cs="Times New Roman"/>
                      <w:color w:val="auto"/>
                      <w:sz w:val="21"/>
                      <w:szCs w:val="21"/>
                      <w:highlight w:val="none"/>
                      <w:u w:val="none"/>
                    </w:rPr>
                    <w:t>t）。</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1"/>
                      <w:szCs w:val="21"/>
                      <w:highlight w:val="none"/>
                    </w:rPr>
                  </w:pPr>
                  <w:r>
                    <w:rPr>
                      <w:rFonts w:hint="default" w:ascii="Times New Roman" w:hAnsi="Times New Roman" w:eastAsia="宋体" w:cs="Times New Roman"/>
                      <w:color w:val="auto"/>
                      <w:sz w:val="21"/>
                      <w:szCs w:val="21"/>
                      <w:highlight w:val="none"/>
                      <w:u w:val="none"/>
                      <w:lang w:eastAsia="zh-CN"/>
                    </w:rPr>
                    <w:t>混凝土搅拌</w:t>
                  </w:r>
                  <w:r>
                    <w:rPr>
                      <w:rFonts w:hint="default" w:ascii="Times New Roman" w:hAnsi="Times New Roman" w:eastAsia="宋体" w:cs="Times New Roman"/>
                      <w:color w:val="auto"/>
                      <w:sz w:val="21"/>
                      <w:szCs w:val="21"/>
                      <w:highlight w:val="none"/>
                      <w:u w:val="none"/>
                    </w:rPr>
                    <w:t>站主体为全封闭</w:t>
                  </w:r>
                  <w:r>
                    <w:rPr>
                      <w:rFonts w:hint="default" w:ascii="Times New Roman" w:hAnsi="Times New Roman" w:eastAsia="宋体" w:cs="Times New Roman"/>
                      <w:color w:val="auto"/>
                      <w:sz w:val="21"/>
                      <w:szCs w:val="21"/>
                      <w:highlight w:val="none"/>
                      <w:u w:val="none"/>
                      <w:lang w:val="en-US" w:eastAsia="zh-CN"/>
                    </w:rPr>
                    <w:t>搅拌楼</w:t>
                  </w:r>
                  <w:r>
                    <w:rPr>
                      <w:rFonts w:hint="default" w:ascii="Times New Roman" w:hAnsi="Times New Roman" w:eastAsia="宋体" w:cs="Times New Roman"/>
                      <w:color w:val="auto"/>
                      <w:sz w:val="21"/>
                      <w:szCs w:val="21"/>
                      <w:highlight w:val="none"/>
                      <w:u w:val="none"/>
                    </w:rPr>
                    <w:t>，拌合站</w:t>
                  </w:r>
                  <w:r>
                    <w:rPr>
                      <w:rFonts w:hint="default" w:ascii="Times New Roman" w:hAnsi="Times New Roman" w:eastAsia="宋体" w:cs="Times New Roman"/>
                      <w:color w:val="auto"/>
                      <w:sz w:val="21"/>
                      <w:szCs w:val="21"/>
                      <w:highlight w:val="none"/>
                      <w:u w:val="none"/>
                      <w:lang w:val="en-US" w:eastAsia="zh-CN"/>
                    </w:rPr>
                    <w:t>上方设置</w:t>
                  </w:r>
                  <w:r>
                    <w:rPr>
                      <w:rFonts w:hint="eastAsia" w:cs="Times New Roman"/>
                      <w:color w:val="auto"/>
                      <w:sz w:val="21"/>
                      <w:szCs w:val="21"/>
                      <w:highlight w:val="none"/>
                      <w:u w:val="none"/>
                      <w:lang w:val="en-US" w:eastAsia="zh-CN"/>
                    </w:rPr>
                    <w:t>布袋除尘器</w:t>
                  </w:r>
                  <w:r>
                    <w:rPr>
                      <w:rFonts w:hint="default" w:ascii="Times New Roman" w:hAnsi="Times New Roman" w:eastAsia="宋体"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收集粉尘</w:t>
                  </w:r>
                  <w:r>
                    <w:rPr>
                      <w:rFonts w:hint="default" w:ascii="Times New Roman" w:hAnsi="Times New Roman" w:eastAsia="宋体" w:cs="Times New Roman"/>
                      <w:color w:val="auto"/>
                      <w:sz w:val="21"/>
                      <w:szCs w:val="21"/>
                      <w:highlight w:val="none"/>
                      <w:u w:val="none"/>
                      <w:lang w:val="en-US" w:eastAsia="zh-CN"/>
                    </w:rPr>
                    <w:t>回用于生产。</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248" w:hRule="atLeast"/>
                <w:jc w:val="center"/>
              </w:trPr>
              <w:tc>
                <w:tcPr>
                  <w:tcW w:w="374" w:type="dxa"/>
                  <w:vMerge w:val="continue"/>
                  <w:tcBorders>
                    <w:tl2br w:val="nil"/>
                    <w:tr2bl w:val="nil"/>
                  </w:tcBorders>
                  <w:vAlign w:val="center"/>
                </w:tcPr>
                <w:p>
                  <w:pPr>
                    <w:adjustRightInd w:val="0"/>
                    <w:snapToGrid w:val="0"/>
                    <w:jc w:val="center"/>
                    <w:rPr>
                      <w:rFonts w:hint="eastAsia"/>
                      <w:color w:val="auto"/>
                      <w:sz w:val="21"/>
                      <w:szCs w:val="21"/>
                      <w:highlight w:val="none"/>
                    </w:rPr>
                  </w:pPr>
                </w:p>
              </w:tc>
              <w:tc>
                <w:tcPr>
                  <w:tcW w:w="1153" w:type="dxa"/>
                  <w:gridSpan w:val="2"/>
                  <w:tcBorders>
                    <w:tl2br w:val="nil"/>
                    <w:tr2bl w:val="nil"/>
                  </w:tcBorders>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rPr>
                    <w:t>水泥稳定碎石</w:t>
                  </w:r>
                  <w:r>
                    <w:rPr>
                      <w:rFonts w:hint="eastAsia"/>
                      <w:color w:val="auto"/>
                      <w:sz w:val="21"/>
                      <w:szCs w:val="21"/>
                      <w:highlight w:val="none"/>
                      <w:lang w:val="en-US" w:eastAsia="zh-CN"/>
                    </w:rPr>
                    <w:t>搅拌站</w:t>
                  </w:r>
                </w:p>
              </w:tc>
              <w:tc>
                <w:tcPr>
                  <w:tcW w:w="6273" w:type="dxa"/>
                  <w:gridSpan w:val="6"/>
                  <w:tcBorders>
                    <w:tl2br w:val="nil"/>
                    <w:tr2bl w:val="nil"/>
                  </w:tcBorders>
                  <w:vAlign w:val="center"/>
                </w:tcPr>
                <w:p>
                  <w:pPr>
                    <w:adjustRightInd w:val="0"/>
                    <w:snapToGrid w:val="0"/>
                    <w:rPr>
                      <w:color w:val="auto"/>
                      <w:sz w:val="21"/>
                      <w:szCs w:val="21"/>
                      <w:highlight w:val="none"/>
                    </w:rPr>
                  </w:pPr>
                  <w:r>
                    <w:rPr>
                      <w:rFonts w:hint="eastAsia"/>
                      <w:color w:val="auto"/>
                      <w:sz w:val="21"/>
                      <w:szCs w:val="21"/>
                      <w:highlight w:val="none"/>
                    </w:rPr>
                    <w:t>水泥稳定碎石生产区位于厂区中段靠厂界</w:t>
                  </w:r>
                  <w:r>
                    <w:rPr>
                      <w:rFonts w:hint="eastAsia"/>
                      <w:color w:val="auto"/>
                      <w:sz w:val="21"/>
                      <w:szCs w:val="21"/>
                      <w:highlight w:val="none"/>
                      <w:lang w:val="en-US" w:eastAsia="zh-CN"/>
                    </w:rPr>
                    <w:t>南</w:t>
                  </w:r>
                  <w:r>
                    <w:rPr>
                      <w:rFonts w:hint="eastAsia"/>
                      <w:color w:val="auto"/>
                      <w:sz w:val="21"/>
                      <w:szCs w:val="21"/>
                      <w:highlight w:val="none"/>
                    </w:rPr>
                    <w:t>侧位置，搅拌站占地面积</w:t>
                  </w:r>
                  <w:r>
                    <w:rPr>
                      <w:rFonts w:hint="eastAsia"/>
                      <w:color w:val="auto"/>
                      <w:sz w:val="21"/>
                      <w:szCs w:val="21"/>
                      <w:highlight w:val="none"/>
                      <w:lang w:val="en-US" w:eastAsia="zh-CN"/>
                    </w:rPr>
                    <w:t>115</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rPr>
                    <w:t>，高度</w:t>
                  </w:r>
                  <w:r>
                    <w:rPr>
                      <w:rFonts w:hint="eastAsia"/>
                      <w:color w:val="auto"/>
                      <w:sz w:val="21"/>
                      <w:szCs w:val="21"/>
                      <w:highlight w:val="none"/>
                      <w:lang w:val="en-US" w:eastAsia="zh-CN"/>
                    </w:rPr>
                    <w:t>5.5</w:t>
                  </w:r>
                  <w:r>
                    <w:rPr>
                      <w:rFonts w:hint="eastAsia"/>
                      <w:color w:val="auto"/>
                      <w:sz w:val="21"/>
                      <w:szCs w:val="21"/>
                      <w:highlight w:val="none"/>
                    </w:rPr>
                    <w:t>m，</w:t>
                  </w:r>
                  <w:r>
                    <w:rPr>
                      <w:color w:val="auto"/>
                      <w:sz w:val="21"/>
                      <w:szCs w:val="21"/>
                      <w:highlight w:val="none"/>
                    </w:rPr>
                    <w:t>建设</w:t>
                  </w:r>
                  <w:r>
                    <w:rPr>
                      <w:rFonts w:hint="eastAsia"/>
                      <w:color w:val="auto"/>
                      <w:sz w:val="21"/>
                      <w:szCs w:val="21"/>
                      <w:highlight w:val="none"/>
                    </w:rPr>
                    <w:t>1</w:t>
                  </w:r>
                  <w:r>
                    <w:rPr>
                      <w:color w:val="auto"/>
                      <w:sz w:val="21"/>
                      <w:szCs w:val="21"/>
                      <w:highlight w:val="none"/>
                    </w:rPr>
                    <w:t>条</w:t>
                  </w:r>
                  <w:r>
                    <w:rPr>
                      <w:rFonts w:hint="eastAsia"/>
                      <w:color w:val="auto"/>
                      <w:sz w:val="21"/>
                      <w:szCs w:val="21"/>
                      <w:highlight w:val="none"/>
                      <w:lang w:val="en-US" w:eastAsia="zh-CN"/>
                    </w:rPr>
                    <w:t>3万</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3</w:t>
                  </w:r>
                  <w:r>
                    <w:rPr>
                      <w:color w:val="auto"/>
                      <w:sz w:val="21"/>
                      <w:szCs w:val="21"/>
                      <w:highlight w:val="none"/>
                    </w:rPr>
                    <w:t>/</w:t>
                  </w:r>
                  <w:r>
                    <w:rPr>
                      <w:rFonts w:hint="eastAsia"/>
                      <w:color w:val="auto"/>
                      <w:sz w:val="21"/>
                      <w:szCs w:val="21"/>
                      <w:highlight w:val="none"/>
                      <w:lang w:val="en-US" w:eastAsia="zh-CN"/>
                    </w:rPr>
                    <w:t>a</w:t>
                  </w:r>
                  <w:r>
                    <w:rPr>
                      <w:rFonts w:hint="eastAsia"/>
                      <w:color w:val="auto"/>
                      <w:sz w:val="21"/>
                      <w:szCs w:val="21"/>
                      <w:highlight w:val="none"/>
                    </w:rPr>
                    <w:t>水稳料</w:t>
                  </w:r>
                  <w:r>
                    <w:rPr>
                      <w:color w:val="auto"/>
                      <w:sz w:val="21"/>
                      <w:szCs w:val="21"/>
                      <w:highlight w:val="none"/>
                    </w:rPr>
                    <w:t>生产线，包括输送系统、计量系统、搅拌系统等，各种原料按比例投入搅拌机中混合拌制均匀，成品出料直接装入混凝土运输车外运。年</w:t>
                  </w:r>
                  <w:r>
                    <w:rPr>
                      <w:rFonts w:hint="eastAsia"/>
                      <w:color w:val="auto"/>
                      <w:sz w:val="21"/>
                      <w:szCs w:val="21"/>
                      <w:highlight w:val="none"/>
                    </w:rPr>
                    <w:t>生产水泥稳定碎石</w:t>
                  </w:r>
                  <w:r>
                    <w:rPr>
                      <w:rFonts w:hint="eastAsia"/>
                      <w:color w:val="auto"/>
                      <w:sz w:val="21"/>
                      <w:szCs w:val="21"/>
                      <w:highlight w:val="none"/>
                      <w:lang w:val="en-US" w:eastAsia="zh-CN"/>
                    </w:rPr>
                    <w:t>3万</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w:t>
                  </w:r>
                  <w:r>
                    <w:rPr>
                      <w:rFonts w:hint="eastAsia"/>
                      <w:color w:val="auto"/>
                      <w:sz w:val="21"/>
                      <w:szCs w:val="21"/>
                      <w:highlight w:val="none"/>
                      <w:lang w:val="en-US" w:eastAsia="zh-CN"/>
                    </w:rPr>
                    <w:t>3.6万</w:t>
                  </w:r>
                  <w:r>
                    <w:rPr>
                      <w:rFonts w:hint="eastAsia"/>
                      <w:color w:val="auto"/>
                      <w:sz w:val="21"/>
                      <w:szCs w:val="21"/>
                      <w:highlight w:val="none"/>
                    </w:rPr>
                    <w:t>t）。</w:t>
                  </w:r>
                </w:p>
                <w:p>
                  <w:pPr>
                    <w:adjustRightInd w:val="0"/>
                    <w:snapToGrid w:val="0"/>
                    <w:rPr>
                      <w:rFonts w:hint="eastAsia"/>
                      <w:color w:val="auto"/>
                      <w:sz w:val="21"/>
                      <w:szCs w:val="21"/>
                      <w:highlight w:val="none"/>
                    </w:rPr>
                  </w:pPr>
                  <w:r>
                    <w:rPr>
                      <w:rFonts w:hint="eastAsia"/>
                      <w:color w:val="auto"/>
                      <w:sz w:val="21"/>
                      <w:szCs w:val="21"/>
                      <w:highlight w:val="none"/>
                    </w:rPr>
                    <w:t>水稳料搅拌站主体</w:t>
                  </w:r>
                  <w:r>
                    <w:rPr>
                      <w:color w:val="auto"/>
                      <w:sz w:val="21"/>
                      <w:szCs w:val="21"/>
                      <w:highlight w:val="none"/>
                    </w:rPr>
                    <w:t>为全</w:t>
                  </w:r>
                  <w:r>
                    <w:rPr>
                      <w:rFonts w:hint="eastAsia"/>
                      <w:color w:val="auto"/>
                      <w:sz w:val="21"/>
                      <w:szCs w:val="21"/>
                      <w:highlight w:val="none"/>
                    </w:rPr>
                    <w:t>封</w:t>
                  </w:r>
                  <w:r>
                    <w:rPr>
                      <w:color w:val="auto"/>
                      <w:sz w:val="21"/>
                      <w:szCs w:val="21"/>
                      <w:highlight w:val="none"/>
                    </w:rPr>
                    <w:t>闭，</w:t>
                  </w:r>
                  <w:r>
                    <w:rPr>
                      <w:rFonts w:hint="default" w:ascii="Times New Roman" w:hAnsi="Times New Roman" w:eastAsia="宋体" w:cs="Times New Roman"/>
                      <w:color w:val="auto"/>
                      <w:sz w:val="21"/>
                      <w:szCs w:val="21"/>
                      <w:highlight w:val="none"/>
                      <w:u w:val="none"/>
                    </w:rPr>
                    <w:t>拌合站</w:t>
                  </w:r>
                  <w:r>
                    <w:rPr>
                      <w:rFonts w:hint="default" w:ascii="Times New Roman" w:hAnsi="Times New Roman" w:eastAsia="宋体" w:cs="Times New Roman"/>
                      <w:color w:val="auto"/>
                      <w:sz w:val="21"/>
                      <w:szCs w:val="21"/>
                      <w:highlight w:val="none"/>
                      <w:u w:val="none"/>
                      <w:lang w:val="en-US" w:eastAsia="zh-CN"/>
                    </w:rPr>
                    <w:t>上方设置</w:t>
                  </w:r>
                  <w:r>
                    <w:rPr>
                      <w:rFonts w:hint="eastAsia" w:cs="Times New Roman"/>
                      <w:color w:val="auto"/>
                      <w:sz w:val="21"/>
                      <w:szCs w:val="21"/>
                      <w:highlight w:val="none"/>
                      <w:u w:val="none"/>
                      <w:lang w:val="en-US" w:eastAsia="zh-CN"/>
                    </w:rPr>
                    <w:t>布袋除尘器</w:t>
                  </w:r>
                  <w:r>
                    <w:rPr>
                      <w:rFonts w:hint="default" w:ascii="Times New Roman" w:hAnsi="Times New Roman" w:eastAsia="宋体" w:cs="Times New Roman"/>
                      <w:color w:val="auto"/>
                      <w:sz w:val="21"/>
                      <w:szCs w:val="21"/>
                      <w:highlight w:val="none"/>
                      <w:u w:val="none"/>
                      <w:lang w:val="en-US" w:eastAsia="zh-CN"/>
                    </w:rPr>
                    <w:t>，</w:t>
                  </w:r>
                  <w:r>
                    <w:rPr>
                      <w:rFonts w:hint="eastAsia" w:cs="Times New Roman"/>
                      <w:color w:val="auto"/>
                      <w:sz w:val="21"/>
                      <w:szCs w:val="21"/>
                      <w:highlight w:val="none"/>
                      <w:u w:val="none"/>
                      <w:lang w:val="en-US" w:eastAsia="zh-CN"/>
                    </w:rPr>
                    <w:t>收集粉尘</w:t>
                  </w:r>
                  <w:r>
                    <w:rPr>
                      <w:rFonts w:hint="default" w:ascii="Times New Roman" w:hAnsi="Times New Roman" w:eastAsia="宋体" w:cs="Times New Roman"/>
                      <w:color w:val="auto"/>
                      <w:sz w:val="21"/>
                      <w:szCs w:val="21"/>
                      <w:highlight w:val="none"/>
                      <w:u w:val="none"/>
                      <w:lang w:val="en-US" w:eastAsia="zh-CN"/>
                    </w:rPr>
                    <w:t>回用于生产。</w:t>
                  </w:r>
                </w:p>
              </w:tc>
              <w:tc>
                <w:tcPr>
                  <w:tcW w:w="821" w:type="dxa"/>
                  <w:gridSpan w:val="4"/>
                  <w:tcBorders>
                    <w:tl2br w:val="nil"/>
                    <w:tr2bl w:val="nil"/>
                  </w:tcBorders>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615" w:hRule="atLeast"/>
                <w:jc w:val="center"/>
              </w:trPr>
              <w:tc>
                <w:tcPr>
                  <w:tcW w:w="374" w:type="dxa"/>
                  <w:vMerge w:val="restart"/>
                  <w:tcBorders>
                    <w:tl2br w:val="nil"/>
                    <w:tr2bl w:val="nil"/>
                  </w:tcBorders>
                  <w:vAlign w:val="center"/>
                </w:tcPr>
                <w:p>
                  <w:pPr>
                    <w:pStyle w:val="19"/>
                    <w:rPr>
                      <w:color w:val="auto"/>
                      <w:highlight w:val="none"/>
                    </w:rPr>
                  </w:pPr>
                  <w:r>
                    <w:rPr>
                      <w:rFonts w:hint="eastAsia"/>
                      <w:color w:val="auto"/>
                      <w:highlight w:val="none"/>
                    </w:rPr>
                    <w:t>储运工程</w:t>
                  </w:r>
                </w:p>
              </w:tc>
              <w:tc>
                <w:tcPr>
                  <w:tcW w:w="1153" w:type="dxa"/>
                  <w:gridSpan w:val="2"/>
                  <w:tcBorders>
                    <w:tl2br w:val="nil"/>
                    <w:tr2bl w:val="nil"/>
                  </w:tcBorders>
                  <w:vAlign w:val="center"/>
                </w:tcPr>
                <w:p>
                  <w:pPr>
                    <w:pStyle w:val="19"/>
                    <w:rPr>
                      <w:rFonts w:hint="eastAsia"/>
                      <w:color w:val="auto"/>
                      <w:highlight w:val="none"/>
                    </w:rPr>
                  </w:pPr>
                  <w:r>
                    <w:rPr>
                      <w:rFonts w:hint="default" w:ascii="Times New Roman" w:hAnsi="Times New Roman" w:eastAsia="宋体" w:cs="Times New Roman"/>
                      <w:color w:val="auto"/>
                      <w:sz w:val="21"/>
                      <w:szCs w:val="21"/>
                      <w:highlight w:val="none"/>
                    </w:rPr>
                    <w:t>原料堆场</w:t>
                  </w:r>
                </w:p>
              </w:tc>
              <w:tc>
                <w:tcPr>
                  <w:tcW w:w="6273" w:type="dxa"/>
                  <w:gridSpan w:val="6"/>
                  <w:tcBorders>
                    <w:tl2br w:val="nil"/>
                    <w:tr2bl w:val="nil"/>
                  </w:tcBorders>
                  <w:shd w:val="clear" w:color="auto" w:fill="auto"/>
                  <w:vAlign w:val="center"/>
                </w:tcPr>
                <w:p>
                  <w:pPr>
                    <w:adjustRightInd w:val="0"/>
                    <w:snapToGrid w:val="0"/>
                    <w:rPr>
                      <w:color w:val="auto"/>
                      <w:sz w:val="21"/>
                      <w:szCs w:val="21"/>
                      <w:highlight w:val="none"/>
                    </w:rPr>
                  </w:pPr>
                  <w:r>
                    <w:rPr>
                      <w:rFonts w:hint="eastAsia" w:cs="Times New Roman"/>
                      <w:color w:val="auto"/>
                      <w:sz w:val="21"/>
                      <w:szCs w:val="21"/>
                      <w:highlight w:val="none"/>
                      <w:lang w:val="en-US" w:eastAsia="zh-CN"/>
                    </w:rPr>
                    <w:t>商混站原建设有</w:t>
                  </w:r>
                  <w:r>
                    <w:rPr>
                      <w:rFonts w:hint="default" w:ascii="Times New Roman" w:hAnsi="Times New Roman" w:eastAsia="宋体" w:cs="Times New Roman"/>
                      <w:color w:val="auto"/>
                      <w:sz w:val="21"/>
                      <w:szCs w:val="21"/>
                      <w:highlight w:val="none"/>
                    </w:rPr>
                    <w:t>原料堆场1座，半封闭结构，堆放碎石和中砂，水泥地面硬化，占地面积为750m</w:t>
                  </w:r>
                  <w:r>
                    <w:rPr>
                      <w:rFonts w:hint="default" w:ascii="Times New Roman" w:hAnsi="Times New Roman" w:eastAsia="宋体" w:cs="Times New Roman"/>
                      <w:color w:val="auto"/>
                      <w:sz w:val="21"/>
                      <w:szCs w:val="21"/>
                      <w:highlight w:val="none"/>
                      <w:vertAlign w:val="superscript"/>
                    </w:rPr>
                    <w:t>2</w:t>
                  </w:r>
                </w:p>
              </w:tc>
              <w:tc>
                <w:tcPr>
                  <w:tcW w:w="821" w:type="dxa"/>
                  <w:gridSpan w:val="4"/>
                  <w:tcBorders>
                    <w:tl2br w:val="nil"/>
                    <w:tr2bl w:val="nil"/>
                  </w:tcBorders>
                  <w:shd w:val="clear" w:color="auto" w:fill="auto"/>
                  <w:vAlign w:val="center"/>
                </w:tcPr>
                <w:p>
                  <w:pPr>
                    <w:adjustRightInd w:val="0"/>
                    <w:snapToGrid w:val="0"/>
                    <w:jc w:val="center"/>
                    <w:rPr>
                      <w:rFonts w:hint="default" w:eastAsia="宋体"/>
                      <w:color w:val="auto"/>
                      <w:sz w:val="21"/>
                      <w:highlight w:val="none"/>
                      <w:lang w:val="en-US" w:eastAsia="zh-CN"/>
                    </w:rPr>
                  </w:pPr>
                  <w:r>
                    <w:rPr>
                      <w:rFonts w:hint="eastAsia"/>
                      <w:color w:val="auto"/>
                      <w:sz w:val="21"/>
                      <w:highlight w:val="none"/>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448" w:hRule="atLeast"/>
                <w:jc w:val="center"/>
              </w:trPr>
              <w:tc>
                <w:tcPr>
                  <w:tcW w:w="378" w:type="dxa"/>
                  <w:gridSpan w:val="2"/>
                  <w:vMerge w:val="continue"/>
                  <w:tcBorders>
                    <w:tl2br w:val="nil"/>
                    <w:tr2bl w:val="nil"/>
                  </w:tcBorders>
                  <w:vAlign w:val="center"/>
                </w:tcPr>
                <w:p>
                  <w:pPr>
                    <w:pStyle w:val="19"/>
                    <w:rPr>
                      <w:color w:val="auto"/>
                      <w:highlight w:val="none"/>
                    </w:rPr>
                  </w:pPr>
                </w:p>
              </w:tc>
              <w:tc>
                <w:tcPr>
                  <w:tcW w:w="1156" w:type="dxa"/>
                  <w:gridSpan w:val="3"/>
                  <w:vMerge w:val="restart"/>
                  <w:tcBorders>
                    <w:tl2br w:val="nil"/>
                    <w:tr2bl w:val="nil"/>
                  </w:tcBorders>
                  <w:vAlign w:val="center"/>
                </w:tcPr>
                <w:p>
                  <w:pPr>
                    <w:pStyle w:val="19"/>
                    <w:rPr>
                      <w:color w:val="auto"/>
                      <w:highlight w:val="none"/>
                    </w:rPr>
                  </w:pPr>
                  <w:r>
                    <w:rPr>
                      <w:rFonts w:hint="eastAsia"/>
                      <w:color w:val="auto"/>
                      <w:highlight w:val="none"/>
                      <w:lang w:val="en-US" w:eastAsia="zh-CN"/>
                    </w:rPr>
                    <w:t>商品混凝土生产区</w:t>
                  </w:r>
                </w:p>
              </w:tc>
              <w:tc>
                <w:tcPr>
                  <w:tcW w:w="717" w:type="dxa"/>
                  <w:tcBorders>
                    <w:tl2br w:val="nil"/>
                    <w:tr2bl w:val="nil"/>
                  </w:tcBorders>
                  <w:vAlign w:val="center"/>
                </w:tcPr>
                <w:p>
                  <w:pPr>
                    <w:pStyle w:val="19"/>
                    <w:rPr>
                      <w:rFonts w:hint="eastAsia"/>
                      <w:color w:val="auto"/>
                      <w:highlight w:val="none"/>
                    </w:rPr>
                  </w:pPr>
                  <w:r>
                    <w:rPr>
                      <w:rFonts w:hint="eastAsia"/>
                      <w:color w:val="auto"/>
                      <w:highlight w:val="none"/>
                    </w:rPr>
                    <w:t>水泥仓</w:t>
                  </w:r>
                </w:p>
              </w:tc>
              <w:tc>
                <w:tcPr>
                  <w:tcW w:w="5680" w:type="dxa"/>
                  <w:gridSpan w:val="5"/>
                  <w:tcBorders>
                    <w:tl2br w:val="nil"/>
                    <w:tr2bl w:val="nil"/>
                  </w:tcBorders>
                  <w:vAlign w:val="center"/>
                </w:tcPr>
                <w:p>
                  <w:pPr>
                    <w:adjustRightInd w:val="0"/>
                    <w:snapToGrid w:val="0"/>
                    <w:rPr>
                      <w:color w:val="auto"/>
                      <w:sz w:val="21"/>
                      <w:szCs w:val="21"/>
                      <w:highlight w:val="none"/>
                    </w:rPr>
                  </w:pPr>
                  <w:r>
                    <w:rPr>
                      <w:rFonts w:hint="default" w:ascii="Times New Roman" w:hAnsi="Times New Roman" w:eastAsia="宋体" w:cs="Times New Roman"/>
                      <w:color w:val="auto"/>
                      <w:sz w:val="21"/>
                      <w:szCs w:val="21"/>
                      <w:highlight w:val="none"/>
                      <w:lang w:val="en-US" w:eastAsia="zh-CN"/>
                    </w:rPr>
                    <w:t>封闭混凝土搅拌楼外建设2个</w:t>
                  </w:r>
                  <w:r>
                    <w:rPr>
                      <w:rFonts w:hint="eastAsia" w:cs="Times New Roman"/>
                      <w:color w:val="auto"/>
                      <w:sz w:val="21"/>
                      <w:szCs w:val="21"/>
                      <w:highlight w:val="none"/>
                      <w:lang w:val="en-US" w:eastAsia="zh-CN"/>
                    </w:rPr>
                    <w:t>水泥卧仓</w:t>
                  </w:r>
                  <w:r>
                    <w:rPr>
                      <w:rFonts w:hint="default" w:ascii="Times New Roman" w:hAnsi="Times New Roman" w:eastAsia="宋体" w:cs="Times New Roman"/>
                      <w:color w:val="auto"/>
                      <w:sz w:val="21"/>
                      <w:szCs w:val="21"/>
                      <w:highlight w:val="none"/>
                      <w:lang w:val="en-US" w:eastAsia="zh-CN"/>
                    </w:rPr>
                    <w:t>，容积均为</w:t>
                  </w:r>
                  <w:r>
                    <w:rPr>
                      <w:rFonts w:hint="eastAsia"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lang w:val="en-US" w:eastAsia="zh-CN"/>
                    </w:rPr>
                    <w:t>t。</w:t>
                  </w:r>
                </w:p>
              </w:tc>
              <w:tc>
                <w:tcPr>
                  <w:tcW w:w="823" w:type="dxa"/>
                  <w:gridSpan w:val="4"/>
                  <w:tcBorders>
                    <w:tl2br w:val="nil"/>
                    <w:tr2bl w:val="nil"/>
                  </w:tcBorders>
                  <w:vAlign w:val="center"/>
                </w:tcPr>
                <w:p>
                  <w:pPr>
                    <w:adjustRightInd w:val="0"/>
                    <w:snapToGrid w:val="0"/>
                    <w:jc w:val="center"/>
                    <w:rPr>
                      <w:color w:val="auto"/>
                      <w:sz w:val="21"/>
                      <w:highlight w:val="none"/>
                    </w:rPr>
                  </w:pPr>
                  <w:r>
                    <w:rPr>
                      <w:rFonts w:hint="eastAsia"/>
                      <w:color w:val="auto"/>
                      <w:sz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125" w:hRule="atLeast"/>
                <w:jc w:val="center"/>
              </w:trPr>
              <w:tc>
                <w:tcPr>
                  <w:tcW w:w="378" w:type="dxa"/>
                  <w:gridSpan w:val="2"/>
                  <w:vMerge w:val="continue"/>
                  <w:tcBorders>
                    <w:tl2br w:val="nil"/>
                    <w:tr2bl w:val="nil"/>
                  </w:tcBorders>
                  <w:vAlign w:val="center"/>
                </w:tcPr>
                <w:p>
                  <w:pPr>
                    <w:pStyle w:val="19"/>
                    <w:rPr>
                      <w:color w:val="auto"/>
                      <w:highlight w:val="none"/>
                    </w:rPr>
                  </w:pPr>
                </w:p>
              </w:tc>
              <w:tc>
                <w:tcPr>
                  <w:tcW w:w="1156" w:type="dxa"/>
                  <w:gridSpan w:val="3"/>
                  <w:vMerge w:val="continue"/>
                  <w:tcBorders>
                    <w:tl2br w:val="nil"/>
                    <w:tr2bl w:val="nil"/>
                  </w:tcBorders>
                  <w:vAlign w:val="center"/>
                </w:tcPr>
                <w:p>
                  <w:pPr>
                    <w:pStyle w:val="19"/>
                    <w:rPr>
                      <w:rFonts w:hint="eastAsia"/>
                      <w:color w:val="auto"/>
                      <w:highlight w:val="none"/>
                    </w:rPr>
                  </w:pPr>
                </w:p>
              </w:tc>
              <w:tc>
                <w:tcPr>
                  <w:tcW w:w="717" w:type="dxa"/>
                  <w:tcBorders>
                    <w:tl2br w:val="nil"/>
                    <w:tr2bl w:val="nil"/>
                  </w:tcBorders>
                  <w:shd w:val="clear" w:color="auto" w:fill="auto"/>
                  <w:vAlign w:val="center"/>
                </w:tcPr>
                <w:p>
                  <w:pPr>
                    <w:pStyle w:val="19"/>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粉煤仓</w:t>
                  </w:r>
                </w:p>
              </w:tc>
              <w:tc>
                <w:tcPr>
                  <w:tcW w:w="5680" w:type="dxa"/>
                  <w:gridSpan w:val="5"/>
                  <w:tcBorders>
                    <w:tl2br w:val="nil"/>
                    <w:tr2bl w:val="nil"/>
                  </w:tcBorders>
                  <w:shd w:val="clear" w:color="auto" w:fill="auto"/>
                  <w:vAlign w:val="center"/>
                </w:tcPr>
                <w:p>
                  <w:pPr>
                    <w:adjustRightInd w:val="0"/>
                    <w:snapToGrid w:val="0"/>
                    <w:ind w:firstLine="420" w:firstLineChars="20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封闭混凝土搅拌楼外建设1个粉煤仓，容积为</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t。</w:t>
                  </w:r>
                </w:p>
              </w:tc>
              <w:tc>
                <w:tcPr>
                  <w:tcW w:w="823" w:type="dxa"/>
                  <w:gridSpan w:val="4"/>
                  <w:tcBorders>
                    <w:tl2br w:val="nil"/>
                    <w:tr2bl w:val="nil"/>
                  </w:tcBorders>
                  <w:vAlign w:val="center"/>
                </w:tcPr>
                <w:p>
                  <w:pPr>
                    <w:adjustRightInd w:val="0"/>
                    <w:snapToGrid w:val="0"/>
                    <w:jc w:val="center"/>
                    <w:rPr>
                      <w:rFonts w:hint="eastAsia"/>
                      <w:color w:val="auto"/>
                      <w:sz w:val="21"/>
                      <w:highlight w:val="none"/>
                    </w:rPr>
                  </w:pPr>
                  <w:r>
                    <w:rPr>
                      <w:rFonts w:hint="eastAsia"/>
                      <w:color w:val="auto"/>
                      <w:sz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92" w:hRule="atLeast"/>
                <w:jc w:val="center"/>
              </w:trPr>
              <w:tc>
                <w:tcPr>
                  <w:tcW w:w="378" w:type="dxa"/>
                  <w:gridSpan w:val="2"/>
                  <w:vMerge w:val="continue"/>
                  <w:tcBorders>
                    <w:tl2br w:val="nil"/>
                    <w:tr2bl w:val="nil"/>
                  </w:tcBorders>
                  <w:vAlign w:val="center"/>
                </w:tcPr>
                <w:p>
                  <w:pPr>
                    <w:pStyle w:val="19"/>
                    <w:rPr>
                      <w:color w:val="auto"/>
                      <w:highlight w:val="none"/>
                    </w:rPr>
                  </w:pPr>
                </w:p>
              </w:tc>
              <w:tc>
                <w:tcPr>
                  <w:tcW w:w="1156" w:type="dxa"/>
                  <w:gridSpan w:val="3"/>
                  <w:vMerge w:val="continue"/>
                  <w:tcBorders>
                    <w:tl2br w:val="nil"/>
                    <w:tr2bl w:val="nil"/>
                  </w:tcBorders>
                  <w:vAlign w:val="center"/>
                </w:tcPr>
                <w:p>
                  <w:pPr>
                    <w:pStyle w:val="19"/>
                    <w:rPr>
                      <w:rFonts w:hint="eastAsia"/>
                      <w:color w:val="auto"/>
                      <w:highlight w:val="none"/>
                    </w:rPr>
                  </w:pPr>
                </w:p>
              </w:tc>
              <w:tc>
                <w:tcPr>
                  <w:tcW w:w="717" w:type="dxa"/>
                  <w:tcBorders>
                    <w:tl2br w:val="nil"/>
                    <w:tr2bl w:val="nil"/>
                  </w:tcBorders>
                  <w:shd w:val="clear" w:color="auto" w:fill="auto"/>
                  <w:vAlign w:val="center"/>
                </w:tcPr>
                <w:p>
                  <w:pPr>
                    <w:pStyle w:val="19"/>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外加剂储罐</w:t>
                  </w:r>
                </w:p>
              </w:tc>
              <w:tc>
                <w:tcPr>
                  <w:tcW w:w="5680" w:type="dxa"/>
                  <w:gridSpan w:val="5"/>
                  <w:tcBorders>
                    <w:tl2br w:val="nil"/>
                    <w:tr2bl w:val="nil"/>
                  </w:tcBorders>
                  <w:shd w:val="clear" w:color="auto" w:fill="auto"/>
                  <w:vAlign w:val="center"/>
                </w:tcPr>
                <w:p>
                  <w:pPr>
                    <w:adjustRightInd w:val="0"/>
                    <w:snapToGrid w:val="0"/>
                    <w:ind w:firstLine="420" w:firstLineChars="200"/>
                    <w:jc w:val="lef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封闭混凝土搅拌楼外建设</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个外加剂储罐，容积均为5t。</w:t>
                  </w:r>
                </w:p>
              </w:tc>
              <w:tc>
                <w:tcPr>
                  <w:tcW w:w="823" w:type="dxa"/>
                  <w:gridSpan w:val="4"/>
                  <w:tcBorders>
                    <w:tl2br w:val="nil"/>
                    <w:tr2bl w:val="nil"/>
                  </w:tcBorders>
                  <w:vAlign w:val="center"/>
                </w:tcPr>
                <w:p>
                  <w:pPr>
                    <w:adjustRightInd w:val="0"/>
                    <w:snapToGrid w:val="0"/>
                    <w:jc w:val="center"/>
                    <w:rPr>
                      <w:rFonts w:hint="eastAsia"/>
                      <w:color w:val="auto"/>
                      <w:sz w:val="21"/>
                      <w:highlight w:val="none"/>
                    </w:rPr>
                  </w:pPr>
                  <w:r>
                    <w:rPr>
                      <w:rFonts w:hint="eastAsia"/>
                      <w:color w:val="auto"/>
                      <w:sz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231" w:hRule="atLeast"/>
                <w:jc w:val="center"/>
              </w:trPr>
              <w:tc>
                <w:tcPr>
                  <w:tcW w:w="378" w:type="dxa"/>
                  <w:gridSpan w:val="2"/>
                  <w:vMerge w:val="continue"/>
                  <w:tcBorders>
                    <w:tl2br w:val="nil"/>
                    <w:tr2bl w:val="nil"/>
                  </w:tcBorders>
                  <w:vAlign w:val="center"/>
                </w:tcPr>
                <w:p>
                  <w:pPr>
                    <w:pStyle w:val="19"/>
                    <w:rPr>
                      <w:color w:val="auto"/>
                      <w:highlight w:val="none"/>
                    </w:rPr>
                  </w:pPr>
                </w:p>
              </w:tc>
              <w:tc>
                <w:tcPr>
                  <w:tcW w:w="1156" w:type="dxa"/>
                  <w:gridSpan w:val="3"/>
                  <w:tcBorders>
                    <w:tl2br w:val="nil"/>
                    <w:tr2bl w:val="nil"/>
                  </w:tcBorders>
                  <w:vAlign w:val="center"/>
                </w:tcPr>
                <w:p>
                  <w:pPr>
                    <w:pStyle w:val="19"/>
                    <w:rPr>
                      <w:rFonts w:hint="eastAsia" w:eastAsia="宋体"/>
                      <w:color w:val="auto"/>
                      <w:highlight w:val="none"/>
                      <w:lang w:val="en-US" w:eastAsia="zh-CN"/>
                    </w:rPr>
                  </w:pPr>
                  <w:r>
                    <w:rPr>
                      <w:rFonts w:hint="eastAsia"/>
                      <w:color w:val="auto"/>
                      <w:sz w:val="21"/>
                      <w:szCs w:val="21"/>
                      <w:highlight w:val="none"/>
                    </w:rPr>
                    <w:t>水泥稳定碎石</w:t>
                  </w:r>
                  <w:r>
                    <w:rPr>
                      <w:rFonts w:hint="eastAsia"/>
                      <w:color w:val="auto"/>
                      <w:sz w:val="21"/>
                      <w:szCs w:val="21"/>
                      <w:highlight w:val="none"/>
                      <w:lang w:val="en-US" w:eastAsia="zh-CN"/>
                    </w:rPr>
                    <w:t>生产区</w:t>
                  </w:r>
                </w:p>
              </w:tc>
              <w:tc>
                <w:tcPr>
                  <w:tcW w:w="717" w:type="dxa"/>
                  <w:tcBorders>
                    <w:tl2br w:val="nil"/>
                    <w:tr2bl w:val="nil"/>
                  </w:tcBorders>
                  <w:vAlign w:val="center"/>
                </w:tcPr>
                <w:p>
                  <w:pPr>
                    <w:pStyle w:val="19"/>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水泥仓</w:t>
                  </w:r>
                </w:p>
              </w:tc>
              <w:tc>
                <w:tcPr>
                  <w:tcW w:w="5680" w:type="dxa"/>
                  <w:gridSpan w:val="5"/>
                  <w:tcBorders>
                    <w:tl2br w:val="nil"/>
                    <w:tr2bl w:val="nil"/>
                  </w:tcBorders>
                  <w:vAlign w:val="center"/>
                </w:tcPr>
                <w:p>
                  <w:pPr>
                    <w:adjustRightInd w:val="0"/>
                    <w:snapToGrid w:val="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封闭混凝土搅拌楼外建设</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个水泥筒仓，容积均为</w:t>
                  </w:r>
                  <w:r>
                    <w:rPr>
                      <w:rFonts w:hint="eastAsia"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lang w:val="en-US" w:eastAsia="zh-CN"/>
                    </w:rPr>
                    <w:t>t。</w:t>
                  </w:r>
                </w:p>
              </w:tc>
              <w:tc>
                <w:tcPr>
                  <w:tcW w:w="823" w:type="dxa"/>
                  <w:gridSpan w:val="4"/>
                  <w:tcBorders>
                    <w:tl2br w:val="nil"/>
                    <w:tr2bl w:val="nil"/>
                  </w:tcBorders>
                  <w:vAlign w:val="center"/>
                </w:tcPr>
                <w:p>
                  <w:pPr>
                    <w:adjustRightInd w:val="0"/>
                    <w:snapToGrid w:val="0"/>
                    <w:jc w:val="center"/>
                    <w:rPr>
                      <w:rFonts w:hint="eastAsia"/>
                      <w:color w:val="auto"/>
                      <w:sz w:val="21"/>
                      <w:highlight w:val="none"/>
                    </w:rPr>
                  </w:pPr>
                  <w:r>
                    <w:rPr>
                      <w:rFonts w:hint="eastAsia"/>
                      <w:color w:val="auto"/>
                      <w:sz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restart"/>
                  <w:tcBorders>
                    <w:tl2br w:val="nil"/>
                    <w:tr2bl w:val="nil"/>
                  </w:tcBorders>
                  <w:vAlign w:val="center"/>
                </w:tcPr>
                <w:p>
                  <w:pPr>
                    <w:pStyle w:val="19"/>
                    <w:rPr>
                      <w:color w:val="auto"/>
                      <w:highlight w:val="none"/>
                    </w:rPr>
                  </w:pPr>
                  <w:r>
                    <w:rPr>
                      <w:color w:val="auto"/>
                      <w:highlight w:val="none"/>
                    </w:rPr>
                    <w:t>辅助工程</w:t>
                  </w:r>
                </w:p>
              </w:tc>
              <w:tc>
                <w:tcPr>
                  <w:tcW w:w="1153" w:type="dxa"/>
                  <w:gridSpan w:val="2"/>
                  <w:tcBorders>
                    <w:tl2br w:val="nil"/>
                    <w:tr2bl w:val="nil"/>
                  </w:tcBorders>
                  <w:vAlign w:val="center"/>
                </w:tcPr>
                <w:p>
                  <w:pPr>
                    <w:pStyle w:val="19"/>
                    <w:rPr>
                      <w:color w:val="auto"/>
                      <w:highlight w:val="none"/>
                    </w:rPr>
                  </w:pPr>
                  <w:r>
                    <w:rPr>
                      <w:rFonts w:hint="eastAsia"/>
                      <w:color w:val="auto"/>
                      <w:highlight w:val="none"/>
                    </w:rPr>
                    <w:t>办公楼</w:t>
                  </w:r>
                </w:p>
              </w:tc>
              <w:tc>
                <w:tcPr>
                  <w:tcW w:w="6273" w:type="dxa"/>
                  <w:gridSpan w:val="6"/>
                  <w:tcBorders>
                    <w:tl2br w:val="nil"/>
                    <w:tr2bl w:val="nil"/>
                  </w:tcBorders>
                  <w:vAlign w:val="center"/>
                </w:tcPr>
                <w:p>
                  <w:pPr>
                    <w:adjustRightInd w:val="0"/>
                    <w:snapToGrid w:val="0"/>
                    <w:rPr>
                      <w:rFonts w:hint="eastAsia" w:eastAsia="宋体"/>
                      <w:color w:val="auto"/>
                      <w:sz w:val="21"/>
                      <w:szCs w:val="21"/>
                      <w:highlight w:val="none"/>
                      <w:lang w:eastAsia="zh-CN"/>
                    </w:rPr>
                  </w:pPr>
                  <w:r>
                    <w:rPr>
                      <w:rFonts w:hint="eastAsia"/>
                      <w:color w:val="auto"/>
                      <w:sz w:val="21"/>
                      <w:szCs w:val="21"/>
                      <w:highlight w:val="none"/>
                    </w:rPr>
                    <w:t>1栋2层，砖混结构的办公楼，占地面积1820m</w:t>
                  </w:r>
                  <w:r>
                    <w:rPr>
                      <w:rFonts w:hint="eastAsia"/>
                      <w:color w:val="auto"/>
                      <w:sz w:val="21"/>
                      <w:szCs w:val="21"/>
                      <w:highlight w:val="none"/>
                      <w:vertAlign w:val="superscript"/>
                      <w:lang w:val="en-US" w:eastAsia="zh-CN"/>
                    </w:rPr>
                    <w:t>2</w:t>
                  </w:r>
                  <w:r>
                    <w:rPr>
                      <w:rFonts w:hint="eastAsia"/>
                      <w:color w:val="auto"/>
                      <w:sz w:val="21"/>
                      <w:szCs w:val="21"/>
                      <w:highlight w:val="none"/>
                    </w:rPr>
                    <w:t>，建筑面积3640m</w:t>
                  </w:r>
                  <w:r>
                    <w:rPr>
                      <w:rFonts w:hint="eastAsia"/>
                      <w:color w:val="auto"/>
                      <w:sz w:val="21"/>
                      <w:szCs w:val="21"/>
                      <w:highlight w:val="none"/>
                      <w:vertAlign w:val="superscript"/>
                      <w:lang w:val="en-US" w:eastAsia="zh-CN"/>
                    </w:rPr>
                    <w:t>2</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410" w:hRule="atLeast"/>
                <w:jc w:val="center"/>
              </w:trPr>
              <w:tc>
                <w:tcPr>
                  <w:tcW w:w="374" w:type="dxa"/>
                  <w:vMerge w:val="continue"/>
                  <w:tcBorders>
                    <w:tl2br w:val="nil"/>
                    <w:tr2bl w:val="nil"/>
                  </w:tcBorders>
                  <w:vAlign w:val="center"/>
                </w:tcPr>
                <w:p>
                  <w:pPr>
                    <w:pStyle w:val="19"/>
                    <w:rPr>
                      <w:color w:val="auto"/>
                      <w:highlight w:val="none"/>
                    </w:rPr>
                  </w:pPr>
                </w:p>
              </w:tc>
              <w:tc>
                <w:tcPr>
                  <w:tcW w:w="1153" w:type="dxa"/>
                  <w:gridSpan w:val="2"/>
                  <w:tcBorders>
                    <w:tl2br w:val="nil"/>
                    <w:tr2bl w:val="nil"/>
                  </w:tcBorders>
                  <w:shd w:val="clear" w:color="auto" w:fill="auto"/>
                  <w:vAlign w:val="center"/>
                </w:tcPr>
                <w:p>
                  <w:pPr>
                    <w:pStyle w:val="19"/>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洗车台</w:t>
                  </w:r>
                </w:p>
              </w:tc>
              <w:tc>
                <w:tcPr>
                  <w:tcW w:w="6273" w:type="dxa"/>
                  <w:gridSpan w:val="6"/>
                  <w:tcBorders>
                    <w:tl2br w:val="nil"/>
                    <w:tr2bl w:val="nil"/>
                  </w:tcBorders>
                  <w:shd w:val="clear" w:color="auto" w:fill="auto"/>
                  <w:vAlign w:val="center"/>
                </w:tcPr>
                <w:p>
                  <w:pPr>
                    <w:pStyle w:val="19"/>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厂区内原有</w:t>
                  </w:r>
                  <w:r>
                    <w:rPr>
                      <w:rFonts w:hint="default" w:ascii="Times New Roman" w:hAnsi="Times New Roman" w:eastAsia="宋体" w:cs="Times New Roman"/>
                      <w:color w:val="auto"/>
                      <w:sz w:val="21"/>
                      <w:szCs w:val="21"/>
                      <w:highlight w:val="none"/>
                    </w:rPr>
                    <w:t>洗车台1座，占地面积80m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，采用水泥硬化处理</w:t>
                  </w:r>
                  <w:r>
                    <w:rPr>
                      <w:rFonts w:hint="default" w:ascii="Times New Roman" w:hAnsi="Times New Roman" w:eastAsia="宋体" w:cs="Times New Roman"/>
                      <w:color w:val="auto"/>
                      <w:sz w:val="21"/>
                      <w:szCs w:val="21"/>
                      <w:highlight w:val="none"/>
                      <w:lang w:eastAsia="zh-CN"/>
                    </w:rPr>
                    <w:t>。</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39" w:hRule="atLeast"/>
                <w:jc w:val="center"/>
              </w:trPr>
              <w:tc>
                <w:tcPr>
                  <w:tcW w:w="374" w:type="dxa"/>
                  <w:vMerge w:val="continue"/>
                  <w:tcBorders>
                    <w:tl2br w:val="nil"/>
                    <w:tr2bl w:val="nil"/>
                  </w:tcBorders>
                  <w:vAlign w:val="center"/>
                </w:tcPr>
                <w:p>
                  <w:pPr>
                    <w:pStyle w:val="19"/>
                    <w:rPr>
                      <w:color w:val="auto"/>
                      <w:highlight w:val="none"/>
                    </w:rPr>
                  </w:pPr>
                </w:p>
              </w:tc>
              <w:tc>
                <w:tcPr>
                  <w:tcW w:w="1153" w:type="dxa"/>
                  <w:gridSpan w:val="2"/>
                  <w:tcBorders>
                    <w:tl2br w:val="nil"/>
                    <w:tr2bl w:val="nil"/>
                  </w:tcBorders>
                  <w:shd w:val="clear" w:color="auto" w:fill="auto"/>
                  <w:vAlign w:val="center"/>
                </w:tcPr>
                <w:p>
                  <w:pPr>
                    <w:pStyle w:val="19"/>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实验室</w:t>
                  </w:r>
                </w:p>
              </w:tc>
              <w:tc>
                <w:tcPr>
                  <w:tcW w:w="6273" w:type="dxa"/>
                  <w:gridSpan w:val="6"/>
                  <w:tcBorders>
                    <w:tl2br w:val="nil"/>
                    <w:tr2bl w:val="nil"/>
                  </w:tcBorders>
                  <w:shd w:val="clear" w:color="auto" w:fill="auto"/>
                  <w:vAlign w:val="center"/>
                </w:tcPr>
                <w:p>
                  <w:pPr>
                    <w:adjustRightInd w:val="0"/>
                    <w:snapToGrid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lang w:val="en-US" w:eastAsia="zh-CN"/>
                    </w:rPr>
                    <w:t>位于办公室内，</w:t>
                  </w:r>
                  <w:r>
                    <w:rPr>
                      <w:rFonts w:hint="default" w:ascii="Times New Roman" w:hAnsi="Times New Roman" w:eastAsia="宋体" w:cs="Times New Roman"/>
                      <w:color w:val="auto"/>
                      <w:sz w:val="21"/>
                      <w:szCs w:val="21"/>
                      <w:highlight w:val="none"/>
                      <w:u w:val="none"/>
                    </w:rPr>
                    <w:t>实验用于混凝土</w:t>
                  </w:r>
                  <w:r>
                    <w:rPr>
                      <w:rFonts w:hint="eastAsia" w:cs="Times New Roman"/>
                      <w:color w:val="auto"/>
                      <w:sz w:val="21"/>
                      <w:szCs w:val="21"/>
                      <w:highlight w:val="none"/>
                      <w:u w:val="none"/>
                      <w:lang w:eastAsia="zh-CN"/>
                    </w:rPr>
                    <w:t>配比试验</w:t>
                  </w:r>
                  <w:r>
                    <w:rPr>
                      <w:rFonts w:hint="default" w:ascii="Times New Roman" w:hAnsi="Times New Roman" w:eastAsia="宋体" w:cs="Times New Roman"/>
                      <w:color w:val="auto"/>
                      <w:sz w:val="21"/>
                      <w:szCs w:val="21"/>
                      <w:highlight w:val="none"/>
                      <w:u w:val="none"/>
                      <w:lang w:val="en-US" w:eastAsia="zh-CN"/>
                    </w:rPr>
                    <w:t>以及</w:t>
                  </w:r>
                  <w:r>
                    <w:rPr>
                      <w:rFonts w:hint="default" w:ascii="Times New Roman" w:hAnsi="Times New Roman" w:eastAsia="宋体" w:cs="Times New Roman"/>
                      <w:color w:val="auto"/>
                      <w:sz w:val="21"/>
                      <w:szCs w:val="21"/>
                      <w:highlight w:val="none"/>
                      <w:u w:val="none"/>
                    </w:rPr>
                    <w:t>简单的成品抽样检测试验</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全部为物理性试验，如抗压、抗折、抗拉等</w:t>
                  </w:r>
                  <w:r>
                    <w:rPr>
                      <w:rFonts w:hint="eastAsia" w:cs="Times New Roman"/>
                      <w:color w:val="auto"/>
                      <w:sz w:val="21"/>
                      <w:szCs w:val="21"/>
                      <w:highlight w:val="none"/>
                      <w:u w:val="none"/>
                      <w:lang w:eastAsia="zh-CN"/>
                    </w:rPr>
                    <w:t>方面试验</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不涉及化学试剂，无危险废物排放，无酸碱废液排放。</w:t>
                  </w:r>
                </w:p>
              </w:tc>
              <w:tc>
                <w:tcPr>
                  <w:tcW w:w="821" w:type="dxa"/>
                  <w:gridSpan w:val="4"/>
                  <w:tcBorders>
                    <w:tl2br w:val="nil"/>
                    <w:tr2bl w:val="nil"/>
                  </w:tcBorders>
                  <w:vAlign w:val="center"/>
                </w:tcPr>
                <w:p>
                  <w:pPr>
                    <w:adjustRightInd w:val="0"/>
                    <w:snapToGrid w:val="0"/>
                    <w:jc w:val="center"/>
                    <w:rPr>
                      <w:rFonts w:hint="eastAsia"/>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restart"/>
                  <w:tcBorders>
                    <w:tl2br w:val="nil"/>
                    <w:tr2bl w:val="nil"/>
                  </w:tcBorders>
                  <w:vAlign w:val="center"/>
                </w:tcPr>
                <w:p>
                  <w:pPr>
                    <w:pStyle w:val="19"/>
                    <w:rPr>
                      <w:color w:val="auto"/>
                      <w:highlight w:val="none"/>
                    </w:rPr>
                  </w:pPr>
                  <w:r>
                    <w:rPr>
                      <w:color w:val="auto"/>
                      <w:highlight w:val="none"/>
                    </w:rPr>
                    <w:t>公用工程</w:t>
                  </w:r>
                </w:p>
              </w:tc>
              <w:tc>
                <w:tcPr>
                  <w:tcW w:w="1153" w:type="dxa"/>
                  <w:gridSpan w:val="2"/>
                  <w:tcBorders>
                    <w:tl2br w:val="nil"/>
                    <w:tr2bl w:val="nil"/>
                  </w:tcBorders>
                  <w:vAlign w:val="center"/>
                </w:tcPr>
                <w:p>
                  <w:pPr>
                    <w:pStyle w:val="19"/>
                    <w:rPr>
                      <w:color w:val="auto"/>
                      <w:highlight w:val="none"/>
                    </w:rPr>
                  </w:pPr>
                  <w:r>
                    <w:rPr>
                      <w:color w:val="auto"/>
                      <w:highlight w:val="none"/>
                    </w:rPr>
                    <w:t>供电</w:t>
                  </w:r>
                </w:p>
              </w:tc>
              <w:tc>
                <w:tcPr>
                  <w:tcW w:w="6273" w:type="dxa"/>
                  <w:gridSpan w:val="6"/>
                  <w:tcBorders>
                    <w:tl2br w:val="nil"/>
                    <w:tr2bl w:val="nil"/>
                  </w:tcBorders>
                  <w:vAlign w:val="center"/>
                </w:tcPr>
                <w:p>
                  <w:pPr>
                    <w:pStyle w:val="19"/>
                    <w:rPr>
                      <w:color w:val="auto"/>
                      <w:highlight w:val="none"/>
                    </w:rPr>
                  </w:pPr>
                  <w:r>
                    <w:rPr>
                      <w:color w:val="auto"/>
                      <w:highlight w:val="none"/>
                    </w:rPr>
                    <w:t>本项目由</w:t>
                  </w:r>
                  <w:r>
                    <w:rPr>
                      <w:rFonts w:hint="eastAsia"/>
                      <w:color w:val="auto"/>
                      <w:highlight w:val="none"/>
                    </w:rPr>
                    <w:t>市政</w:t>
                  </w:r>
                  <w:r>
                    <w:rPr>
                      <w:color w:val="auto"/>
                      <w:highlight w:val="none"/>
                    </w:rPr>
                    <w:t>供电，满足用电需求。</w:t>
                  </w:r>
                </w:p>
              </w:tc>
              <w:tc>
                <w:tcPr>
                  <w:tcW w:w="821" w:type="dxa"/>
                  <w:gridSpan w:val="4"/>
                  <w:tcBorders>
                    <w:tl2br w:val="nil"/>
                    <w:tr2bl w:val="nil"/>
                  </w:tcBorders>
                  <w:vAlign w:val="center"/>
                </w:tcPr>
                <w:p>
                  <w:pPr>
                    <w:jc w:val="center"/>
                    <w:rPr>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continue"/>
                  <w:tcBorders>
                    <w:tl2br w:val="nil"/>
                    <w:tr2bl w:val="nil"/>
                  </w:tcBorders>
                  <w:vAlign w:val="center"/>
                </w:tcPr>
                <w:p>
                  <w:pPr>
                    <w:pStyle w:val="19"/>
                    <w:rPr>
                      <w:color w:val="auto"/>
                      <w:highlight w:val="none"/>
                    </w:rPr>
                  </w:pPr>
                </w:p>
              </w:tc>
              <w:tc>
                <w:tcPr>
                  <w:tcW w:w="1153" w:type="dxa"/>
                  <w:gridSpan w:val="2"/>
                  <w:tcBorders>
                    <w:tl2br w:val="nil"/>
                    <w:tr2bl w:val="nil"/>
                  </w:tcBorders>
                  <w:vAlign w:val="center"/>
                </w:tcPr>
                <w:p>
                  <w:pPr>
                    <w:pStyle w:val="19"/>
                    <w:rPr>
                      <w:color w:val="auto"/>
                      <w:highlight w:val="none"/>
                    </w:rPr>
                  </w:pPr>
                  <w:r>
                    <w:rPr>
                      <w:color w:val="auto"/>
                      <w:highlight w:val="none"/>
                    </w:rPr>
                    <w:t>采暖</w:t>
                  </w:r>
                </w:p>
              </w:tc>
              <w:tc>
                <w:tcPr>
                  <w:tcW w:w="6273" w:type="dxa"/>
                  <w:gridSpan w:val="6"/>
                  <w:tcBorders>
                    <w:tl2br w:val="nil"/>
                    <w:tr2bl w:val="nil"/>
                  </w:tcBorders>
                  <w:vAlign w:val="center"/>
                </w:tcPr>
                <w:p>
                  <w:pPr>
                    <w:pStyle w:val="19"/>
                    <w:rPr>
                      <w:color w:val="auto"/>
                      <w:highlight w:val="none"/>
                    </w:rPr>
                  </w:pPr>
                  <w:r>
                    <w:rPr>
                      <w:color w:val="auto"/>
                      <w:highlight w:val="none"/>
                    </w:rPr>
                    <w:t>冬季不生产，不设置供暖设施。</w:t>
                  </w:r>
                </w:p>
              </w:tc>
              <w:tc>
                <w:tcPr>
                  <w:tcW w:w="821" w:type="dxa"/>
                  <w:gridSpan w:val="4"/>
                  <w:tcBorders>
                    <w:tl2br w:val="nil"/>
                    <w:tr2bl w:val="nil"/>
                  </w:tcBorders>
                  <w:vAlign w:val="center"/>
                </w:tcPr>
                <w:p>
                  <w:pPr>
                    <w:jc w:val="center"/>
                    <w:rPr>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continue"/>
                  <w:tcBorders>
                    <w:tl2br w:val="nil"/>
                    <w:tr2bl w:val="nil"/>
                  </w:tcBorders>
                  <w:vAlign w:val="center"/>
                </w:tcPr>
                <w:p>
                  <w:pPr>
                    <w:pStyle w:val="19"/>
                    <w:rPr>
                      <w:color w:val="auto"/>
                      <w:highlight w:val="none"/>
                    </w:rPr>
                  </w:pPr>
                </w:p>
              </w:tc>
              <w:tc>
                <w:tcPr>
                  <w:tcW w:w="1153" w:type="dxa"/>
                  <w:gridSpan w:val="2"/>
                  <w:tcBorders>
                    <w:tl2br w:val="nil"/>
                    <w:tr2bl w:val="nil"/>
                  </w:tcBorders>
                  <w:vAlign w:val="center"/>
                </w:tcPr>
                <w:p>
                  <w:pPr>
                    <w:pStyle w:val="19"/>
                    <w:rPr>
                      <w:color w:val="auto"/>
                      <w:highlight w:val="none"/>
                    </w:rPr>
                  </w:pPr>
                  <w:r>
                    <w:rPr>
                      <w:color w:val="auto"/>
                      <w:highlight w:val="none"/>
                    </w:rPr>
                    <w:t>给水</w:t>
                  </w:r>
                </w:p>
              </w:tc>
              <w:tc>
                <w:tcPr>
                  <w:tcW w:w="6273" w:type="dxa"/>
                  <w:gridSpan w:val="6"/>
                  <w:tcBorders>
                    <w:tl2br w:val="nil"/>
                    <w:tr2bl w:val="nil"/>
                  </w:tcBorders>
                  <w:vAlign w:val="center"/>
                </w:tcPr>
                <w:p>
                  <w:pPr>
                    <w:autoSpaceDE w:val="0"/>
                    <w:autoSpaceDN w:val="0"/>
                    <w:adjustRightInd w:val="0"/>
                    <w:snapToGrid w:val="0"/>
                    <w:rPr>
                      <w:color w:val="auto"/>
                      <w:sz w:val="21"/>
                      <w:szCs w:val="21"/>
                      <w:highlight w:val="none"/>
                    </w:rPr>
                  </w:pPr>
                  <w:r>
                    <w:rPr>
                      <w:rFonts w:hint="eastAsia"/>
                      <w:color w:val="auto"/>
                      <w:sz w:val="21"/>
                      <w:szCs w:val="21"/>
                      <w:highlight w:val="none"/>
                      <w:lang w:val="en-US" w:eastAsia="zh-CN"/>
                    </w:rPr>
                    <w:t>项目用水来自市政供水管网</w:t>
                  </w:r>
                  <w:r>
                    <w:rPr>
                      <w:rFonts w:hint="eastAsia"/>
                      <w:color w:val="auto"/>
                      <w:sz w:val="21"/>
                      <w:szCs w:val="21"/>
                      <w:highlight w:val="none"/>
                    </w:rPr>
                    <w:t>，可满足本项目的生产用水和生活用水需求</w:t>
                  </w:r>
                  <w:r>
                    <w:rPr>
                      <w:color w:val="auto"/>
                      <w:sz w:val="21"/>
                      <w:szCs w:val="21"/>
                      <w:highlight w:val="none"/>
                    </w:rPr>
                    <w:t>。</w:t>
                  </w:r>
                </w:p>
              </w:tc>
              <w:tc>
                <w:tcPr>
                  <w:tcW w:w="821" w:type="dxa"/>
                  <w:gridSpan w:val="4"/>
                  <w:tcBorders>
                    <w:tl2br w:val="nil"/>
                    <w:tr2bl w:val="nil"/>
                  </w:tcBorders>
                  <w:vAlign w:val="center"/>
                </w:tcPr>
                <w:p>
                  <w:pPr>
                    <w:jc w:val="center"/>
                    <w:rPr>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continue"/>
                  <w:tcBorders>
                    <w:tl2br w:val="nil"/>
                    <w:tr2bl w:val="nil"/>
                  </w:tcBorders>
                  <w:vAlign w:val="center"/>
                </w:tcPr>
                <w:p>
                  <w:pPr>
                    <w:pStyle w:val="19"/>
                    <w:rPr>
                      <w:color w:val="auto"/>
                      <w:highlight w:val="none"/>
                    </w:rPr>
                  </w:pPr>
                </w:p>
              </w:tc>
              <w:tc>
                <w:tcPr>
                  <w:tcW w:w="1153" w:type="dxa"/>
                  <w:gridSpan w:val="2"/>
                  <w:tcBorders>
                    <w:tl2br w:val="nil"/>
                    <w:tr2bl w:val="nil"/>
                  </w:tcBorders>
                  <w:vAlign w:val="center"/>
                </w:tcPr>
                <w:p>
                  <w:pPr>
                    <w:pStyle w:val="19"/>
                    <w:rPr>
                      <w:color w:val="auto"/>
                      <w:highlight w:val="none"/>
                    </w:rPr>
                  </w:pPr>
                  <w:r>
                    <w:rPr>
                      <w:color w:val="auto"/>
                      <w:highlight w:val="none"/>
                    </w:rPr>
                    <w:t>排水</w:t>
                  </w:r>
                </w:p>
              </w:tc>
              <w:tc>
                <w:tcPr>
                  <w:tcW w:w="6273" w:type="dxa"/>
                  <w:gridSpan w:val="6"/>
                  <w:tcBorders>
                    <w:tl2br w:val="nil"/>
                    <w:tr2bl w:val="nil"/>
                  </w:tcBorders>
                  <w:vAlign w:val="center"/>
                </w:tcPr>
                <w:p>
                  <w:pPr>
                    <w:autoSpaceDE w:val="0"/>
                    <w:autoSpaceDN w:val="0"/>
                    <w:adjustRightInd w:val="0"/>
                    <w:snapToGrid w:val="0"/>
                    <w:rPr>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厂区</w:t>
                  </w:r>
                  <w:r>
                    <w:rPr>
                      <w:rFonts w:hint="eastAsia"/>
                      <w:color w:val="auto"/>
                      <w:sz w:val="21"/>
                      <w:szCs w:val="21"/>
                      <w:highlight w:val="none"/>
                      <w:lang w:val="en-US" w:eastAsia="zh-CN"/>
                    </w:rPr>
                    <w:t>建设有1座三级沉淀池，</w:t>
                  </w:r>
                  <w:r>
                    <w:rPr>
                      <w:rFonts w:hint="eastAsia"/>
                      <w:color w:val="auto"/>
                      <w:sz w:val="21"/>
                      <w:szCs w:val="21"/>
                      <w:highlight w:val="none"/>
                    </w:rPr>
                    <w:t>容积为</w:t>
                  </w:r>
                  <w:r>
                    <w:rPr>
                      <w:rFonts w:hint="eastAsia"/>
                      <w:color w:val="auto"/>
                      <w:sz w:val="21"/>
                      <w:szCs w:val="21"/>
                      <w:highlight w:val="none"/>
                      <w:lang w:val="en-US" w:eastAsia="zh-CN"/>
                    </w:rPr>
                    <w:t>500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w:t>
                  </w:r>
                  <w:r>
                    <w:rPr>
                      <w:rFonts w:hint="eastAsia" w:cs="Times New Roman"/>
                      <w:b w:val="0"/>
                      <w:bCs w:val="0"/>
                      <w:color w:val="auto"/>
                      <w:kern w:val="0"/>
                      <w:sz w:val="21"/>
                      <w:szCs w:val="21"/>
                      <w:highlight w:val="none"/>
                      <w:lang w:val="en-US" w:eastAsia="zh-CN" w:bidi="ar-SA"/>
                    </w:rPr>
                    <w:t>用于收集厂区初期雨水</w:t>
                  </w:r>
                  <w:r>
                    <w:rPr>
                      <w:rFonts w:hint="eastAsia"/>
                      <w:color w:val="auto"/>
                      <w:sz w:val="21"/>
                      <w:szCs w:val="21"/>
                      <w:highlight w:val="none"/>
                      <w:lang w:val="en-US" w:eastAsia="zh-CN"/>
                    </w:rPr>
                    <w:t>厂区雨水。</w:t>
                  </w:r>
                  <w:r>
                    <w:rPr>
                      <w:rFonts w:hint="eastAsia"/>
                      <w:color w:val="auto"/>
                      <w:sz w:val="21"/>
                      <w:szCs w:val="21"/>
                      <w:highlight w:val="none"/>
                    </w:rPr>
                    <w:t>车辆清洗</w:t>
                  </w:r>
                  <w:r>
                    <w:rPr>
                      <w:rFonts w:hint="eastAsia"/>
                      <w:color w:val="auto"/>
                      <w:sz w:val="21"/>
                      <w:szCs w:val="21"/>
                      <w:highlight w:val="none"/>
                      <w:lang w:eastAsia="zh-CN"/>
                    </w:rPr>
                    <w:t>、</w:t>
                  </w:r>
                  <w:r>
                    <w:rPr>
                      <w:rFonts w:hint="eastAsia"/>
                      <w:color w:val="auto"/>
                      <w:sz w:val="21"/>
                      <w:szCs w:val="21"/>
                      <w:highlight w:val="none"/>
                    </w:rPr>
                    <w:t>搅拌机冲洗产生的废水</w:t>
                  </w:r>
                  <w:r>
                    <w:rPr>
                      <w:rFonts w:hint="eastAsia"/>
                      <w:color w:val="auto"/>
                      <w:sz w:val="21"/>
                      <w:szCs w:val="21"/>
                      <w:highlight w:val="none"/>
                      <w:lang w:val="en-US" w:eastAsia="zh-CN"/>
                    </w:rPr>
                    <w:t>及初期雨水</w:t>
                  </w:r>
                  <w:r>
                    <w:rPr>
                      <w:rFonts w:hint="eastAsia"/>
                      <w:color w:val="auto"/>
                      <w:sz w:val="21"/>
                      <w:szCs w:val="21"/>
                      <w:highlight w:val="none"/>
                    </w:rPr>
                    <w:t>经</w:t>
                  </w:r>
                  <w:r>
                    <w:rPr>
                      <w:rFonts w:hint="eastAsia"/>
                      <w:color w:val="auto"/>
                      <w:sz w:val="21"/>
                      <w:szCs w:val="21"/>
                      <w:highlight w:val="none"/>
                      <w:lang w:val="en-US" w:eastAsia="zh-CN"/>
                    </w:rPr>
                    <w:t>三级</w:t>
                  </w:r>
                  <w:r>
                    <w:rPr>
                      <w:rFonts w:hint="eastAsia"/>
                      <w:color w:val="auto"/>
                      <w:sz w:val="21"/>
                      <w:szCs w:val="21"/>
                      <w:highlight w:val="none"/>
                    </w:rPr>
                    <w:t>沉淀池处理后回用于生产。</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340" w:hRule="atLeast"/>
                <w:jc w:val="center"/>
              </w:trPr>
              <w:tc>
                <w:tcPr>
                  <w:tcW w:w="374" w:type="dxa"/>
                  <w:vMerge w:val="restart"/>
                  <w:tcBorders>
                    <w:tl2br w:val="nil"/>
                    <w:tr2bl w:val="nil"/>
                  </w:tcBorders>
                  <w:vAlign w:val="center"/>
                </w:tcPr>
                <w:p>
                  <w:pPr>
                    <w:pStyle w:val="19"/>
                    <w:rPr>
                      <w:color w:val="auto"/>
                      <w:highlight w:val="none"/>
                    </w:rPr>
                  </w:pPr>
                  <w:r>
                    <w:rPr>
                      <w:color w:val="auto"/>
                      <w:highlight w:val="none"/>
                    </w:rPr>
                    <w:t>环保工程</w:t>
                  </w:r>
                </w:p>
              </w:tc>
              <w:tc>
                <w:tcPr>
                  <w:tcW w:w="1153" w:type="dxa"/>
                  <w:gridSpan w:val="2"/>
                  <w:vMerge w:val="restart"/>
                  <w:tcBorders>
                    <w:tl2br w:val="nil"/>
                    <w:tr2bl w:val="nil"/>
                  </w:tcBorders>
                  <w:vAlign w:val="center"/>
                </w:tcPr>
                <w:p>
                  <w:pPr>
                    <w:pStyle w:val="19"/>
                    <w:rPr>
                      <w:color w:val="auto"/>
                      <w:highlight w:val="none"/>
                    </w:rPr>
                  </w:pPr>
                  <w:r>
                    <w:rPr>
                      <w:color w:val="auto"/>
                      <w:highlight w:val="none"/>
                    </w:rPr>
                    <w:t>废气</w:t>
                  </w:r>
                </w:p>
              </w:tc>
              <w:tc>
                <w:tcPr>
                  <w:tcW w:w="1053" w:type="dxa"/>
                  <w:gridSpan w:val="4"/>
                  <w:tcBorders>
                    <w:tl2br w:val="nil"/>
                    <w:tr2bl w:val="nil"/>
                  </w:tcBorders>
                  <w:vAlign w:val="center"/>
                </w:tcPr>
                <w:p>
                  <w:pPr>
                    <w:pStyle w:val="19"/>
                    <w:rPr>
                      <w:color w:val="auto"/>
                      <w:highlight w:val="none"/>
                    </w:rPr>
                  </w:pPr>
                  <w:r>
                    <w:rPr>
                      <w:color w:val="auto"/>
                      <w:highlight w:val="none"/>
                    </w:rPr>
                    <w:t>投料皮带输送粉尘</w:t>
                  </w:r>
                </w:p>
              </w:tc>
              <w:tc>
                <w:tcPr>
                  <w:tcW w:w="5215" w:type="dxa"/>
                  <w:tcBorders>
                    <w:tl2br w:val="nil"/>
                    <w:tr2bl w:val="nil"/>
                  </w:tcBorders>
                  <w:vAlign w:val="center"/>
                </w:tcPr>
                <w:p>
                  <w:pPr>
                    <w:tabs>
                      <w:tab w:val="left" w:pos="2700"/>
                    </w:tabs>
                    <w:adjustRightInd w:val="0"/>
                    <w:snapToGrid w:val="0"/>
                    <w:rPr>
                      <w:color w:val="auto"/>
                      <w:sz w:val="21"/>
                      <w:szCs w:val="21"/>
                      <w:highlight w:val="none"/>
                    </w:rPr>
                  </w:pPr>
                  <w:r>
                    <w:rPr>
                      <w:color w:val="auto"/>
                      <w:sz w:val="21"/>
                      <w:szCs w:val="21"/>
                      <w:highlight w:val="none"/>
                    </w:rPr>
                    <w:t>输送皮带要进行全封闭，并且加强转载点封闭强度，在料斗进料口上方设负压集气罩，砂、石进料口处定期洒水，处理效率可达排放浓度符合《水泥工业大气污染物排放标准》(GB4915-2013)表3中的大气污染物无组织排放限值。</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340" w:hRule="atLeast"/>
                <w:jc w:val="center"/>
              </w:trPr>
              <w:tc>
                <w:tcPr>
                  <w:tcW w:w="374" w:type="dxa"/>
                  <w:vMerge w:val="continue"/>
                  <w:tcBorders>
                    <w:tl2br w:val="nil"/>
                    <w:tr2bl w:val="nil"/>
                  </w:tcBorders>
                  <w:vAlign w:val="center"/>
                </w:tcPr>
                <w:p>
                  <w:pPr>
                    <w:pStyle w:val="19"/>
                    <w:rPr>
                      <w:color w:val="auto"/>
                      <w:highlight w:val="none"/>
                    </w:rPr>
                  </w:pPr>
                </w:p>
              </w:tc>
              <w:tc>
                <w:tcPr>
                  <w:tcW w:w="1153" w:type="dxa"/>
                  <w:gridSpan w:val="2"/>
                  <w:vMerge w:val="continue"/>
                  <w:tcBorders>
                    <w:tl2br w:val="nil"/>
                    <w:tr2bl w:val="nil"/>
                  </w:tcBorders>
                  <w:vAlign w:val="center"/>
                </w:tcPr>
                <w:p>
                  <w:pPr>
                    <w:pStyle w:val="19"/>
                    <w:rPr>
                      <w:color w:val="auto"/>
                      <w:highlight w:val="none"/>
                    </w:rPr>
                  </w:pPr>
                </w:p>
              </w:tc>
              <w:tc>
                <w:tcPr>
                  <w:tcW w:w="1053" w:type="dxa"/>
                  <w:gridSpan w:val="4"/>
                  <w:tcBorders>
                    <w:tl2br w:val="nil"/>
                    <w:tr2bl w:val="nil"/>
                  </w:tcBorders>
                  <w:vAlign w:val="center"/>
                </w:tcPr>
                <w:p>
                  <w:pPr>
                    <w:pStyle w:val="19"/>
                    <w:rPr>
                      <w:color w:val="auto"/>
                      <w:highlight w:val="none"/>
                    </w:rPr>
                  </w:pPr>
                  <w:r>
                    <w:rPr>
                      <w:color w:val="auto"/>
                      <w:highlight w:val="none"/>
                    </w:rPr>
                    <w:t>搅拌粉尘</w:t>
                  </w:r>
                </w:p>
              </w:tc>
              <w:tc>
                <w:tcPr>
                  <w:tcW w:w="5215" w:type="dxa"/>
                  <w:tcBorders>
                    <w:tl2br w:val="nil"/>
                    <w:tr2bl w:val="nil"/>
                  </w:tcBorders>
                  <w:vAlign w:val="center"/>
                </w:tcPr>
                <w:p>
                  <w:pPr>
                    <w:tabs>
                      <w:tab w:val="left" w:pos="2700"/>
                    </w:tabs>
                    <w:adjustRightInd w:val="0"/>
                    <w:snapToGrid w:val="0"/>
                    <w:rPr>
                      <w:rFonts w:hint="eastAsia"/>
                      <w:color w:val="auto"/>
                      <w:sz w:val="21"/>
                      <w:szCs w:val="21"/>
                      <w:highlight w:val="none"/>
                    </w:rPr>
                  </w:pPr>
                  <w:r>
                    <w:rPr>
                      <w:rFonts w:hint="eastAsia"/>
                      <w:color w:val="auto"/>
                      <w:sz w:val="21"/>
                      <w:szCs w:val="21"/>
                      <w:highlight w:val="none"/>
                      <w:lang w:val="en-US" w:eastAsia="zh-CN"/>
                    </w:rPr>
                    <w:t>搅拌工序粉尘由搅拌机产生，商品混凝土搅拌机、水泥稳定碎石搅拌机均位于密闭搅拌楼内，搅拌楼内的投料粉尘和搅拌粉尘通过负压收集的方式通过管道引入布袋除尘器处理后分别经各自15</w:t>
                  </w:r>
                  <w:r>
                    <w:rPr>
                      <w:rFonts w:hint="default"/>
                      <w:color w:val="auto"/>
                      <w:sz w:val="21"/>
                      <w:szCs w:val="21"/>
                      <w:highlight w:val="none"/>
                      <w:lang w:val="en-US" w:eastAsia="zh-CN"/>
                    </w:rPr>
                    <w:t>m</w:t>
                  </w:r>
                  <w:r>
                    <w:rPr>
                      <w:rFonts w:hint="eastAsia"/>
                      <w:color w:val="auto"/>
                      <w:sz w:val="21"/>
                      <w:szCs w:val="21"/>
                      <w:highlight w:val="none"/>
                      <w:lang w:val="en-US" w:eastAsia="zh-CN"/>
                    </w:rPr>
                    <w:t>排气筒</w:t>
                  </w:r>
                  <w:r>
                    <w:rPr>
                      <w:rFonts w:hint="default"/>
                      <w:color w:val="auto"/>
                      <w:sz w:val="21"/>
                      <w:szCs w:val="21"/>
                      <w:highlight w:val="none"/>
                      <w:lang w:val="en-US" w:eastAsia="zh-CN"/>
                    </w:rPr>
                    <w:t>DA00</w:t>
                  </w:r>
                  <w:r>
                    <w:rPr>
                      <w:rFonts w:hint="eastAsia"/>
                      <w:color w:val="auto"/>
                      <w:sz w:val="21"/>
                      <w:szCs w:val="21"/>
                      <w:highlight w:val="none"/>
                      <w:lang w:val="en-US" w:eastAsia="zh-CN"/>
                    </w:rPr>
                    <w:t>4、DA005排放，</w:t>
                  </w:r>
                  <w:r>
                    <w:rPr>
                      <w:rFonts w:hint="eastAsia"/>
                      <w:color w:val="auto"/>
                      <w:sz w:val="21"/>
                      <w:szCs w:val="21"/>
                      <w:highlight w:val="none"/>
                    </w:rPr>
                    <w:t>处理后排放浓度符合《水泥工业大气污染物排放标准》（GB4915-2013）表</w:t>
                  </w:r>
                  <w:r>
                    <w:rPr>
                      <w:rFonts w:hint="eastAsia"/>
                      <w:color w:val="auto"/>
                      <w:sz w:val="21"/>
                      <w:szCs w:val="21"/>
                      <w:highlight w:val="none"/>
                      <w:lang w:val="en-US" w:eastAsia="zh-CN"/>
                    </w:rPr>
                    <w:t>2</w:t>
                  </w:r>
                  <w:r>
                    <w:rPr>
                      <w:rFonts w:hint="eastAsia" w:cs="Times New Roman"/>
                      <w:b w:val="0"/>
                      <w:bCs/>
                      <w:color w:val="auto"/>
                      <w:sz w:val="21"/>
                      <w:szCs w:val="21"/>
                      <w:highlight w:val="none"/>
                      <w:lang w:eastAsia="zh-CN"/>
                    </w:rPr>
                    <w:t>大气污染物特别排放限值</w:t>
                  </w:r>
                  <w:r>
                    <w:rPr>
                      <w:rFonts w:hint="eastAsia"/>
                      <w:color w:val="auto"/>
                      <w:sz w:val="21"/>
                      <w:szCs w:val="21"/>
                      <w:highlight w:val="none"/>
                    </w:rPr>
                    <w:t>。</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340" w:hRule="atLeast"/>
                <w:jc w:val="center"/>
              </w:trPr>
              <w:tc>
                <w:tcPr>
                  <w:tcW w:w="374" w:type="dxa"/>
                  <w:vMerge w:val="continue"/>
                  <w:tcBorders>
                    <w:tl2br w:val="nil"/>
                    <w:tr2bl w:val="nil"/>
                  </w:tcBorders>
                  <w:vAlign w:val="center"/>
                </w:tcPr>
                <w:p>
                  <w:pPr>
                    <w:tabs>
                      <w:tab w:val="left" w:pos="2700"/>
                    </w:tabs>
                    <w:adjustRightInd w:val="0"/>
                    <w:snapToGrid w:val="0"/>
                    <w:jc w:val="center"/>
                    <w:rPr>
                      <w:color w:val="auto"/>
                      <w:sz w:val="21"/>
                      <w:szCs w:val="21"/>
                      <w:highlight w:val="none"/>
                    </w:rPr>
                  </w:pPr>
                </w:p>
              </w:tc>
              <w:tc>
                <w:tcPr>
                  <w:tcW w:w="1153" w:type="dxa"/>
                  <w:gridSpan w:val="2"/>
                  <w:vMerge w:val="continue"/>
                  <w:tcBorders>
                    <w:tl2br w:val="nil"/>
                    <w:tr2bl w:val="nil"/>
                  </w:tcBorders>
                  <w:vAlign w:val="center"/>
                </w:tcPr>
                <w:p>
                  <w:pPr>
                    <w:tabs>
                      <w:tab w:val="left" w:pos="2700"/>
                    </w:tabs>
                    <w:adjustRightInd w:val="0"/>
                    <w:snapToGrid w:val="0"/>
                    <w:jc w:val="center"/>
                    <w:rPr>
                      <w:color w:val="auto"/>
                      <w:sz w:val="21"/>
                      <w:szCs w:val="21"/>
                      <w:highlight w:val="none"/>
                    </w:rPr>
                  </w:pPr>
                </w:p>
              </w:tc>
              <w:tc>
                <w:tcPr>
                  <w:tcW w:w="1053" w:type="dxa"/>
                  <w:gridSpan w:val="4"/>
                  <w:tcBorders>
                    <w:tl2br w:val="nil"/>
                    <w:tr2bl w:val="nil"/>
                  </w:tcBorders>
                  <w:vAlign w:val="center"/>
                </w:tcPr>
                <w:p>
                  <w:pPr>
                    <w:pStyle w:val="19"/>
                    <w:rPr>
                      <w:color w:val="auto"/>
                      <w:highlight w:val="none"/>
                    </w:rPr>
                  </w:pPr>
                  <w:r>
                    <w:rPr>
                      <w:color w:val="auto"/>
                      <w:highlight w:val="none"/>
                    </w:rPr>
                    <w:t>车辆运输扬尘</w:t>
                  </w:r>
                </w:p>
              </w:tc>
              <w:tc>
                <w:tcPr>
                  <w:tcW w:w="5215" w:type="dxa"/>
                  <w:tcBorders>
                    <w:tl2br w:val="nil"/>
                    <w:tr2bl w:val="nil"/>
                  </w:tcBorders>
                  <w:vAlign w:val="center"/>
                </w:tcPr>
                <w:p>
                  <w:pPr>
                    <w:tabs>
                      <w:tab w:val="left" w:pos="2700"/>
                    </w:tabs>
                    <w:adjustRightInd w:val="0"/>
                    <w:snapToGrid w:val="0"/>
                    <w:rPr>
                      <w:color w:val="auto"/>
                      <w:sz w:val="21"/>
                      <w:szCs w:val="21"/>
                      <w:highlight w:val="none"/>
                    </w:rPr>
                  </w:pPr>
                  <w:r>
                    <w:rPr>
                      <w:color w:val="auto"/>
                      <w:sz w:val="21"/>
                      <w:szCs w:val="21"/>
                      <w:highlight w:val="none"/>
                    </w:rPr>
                    <w:t>对出厂的运输道路进行硬化，且经常清扫、洒水抑尘，设置洗车平台，车辆进出厂时对车辆轮胎等部位进行清洗。</w:t>
                  </w:r>
                </w:p>
              </w:tc>
              <w:tc>
                <w:tcPr>
                  <w:tcW w:w="821" w:type="dxa"/>
                  <w:gridSpan w:val="4"/>
                  <w:tcBorders>
                    <w:tl2br w:val="nil"/>
                    <w:tr2bl w:val="nil"/>
                  </w:tcBorders>
                  <w:vAlign w:val="center"/>
                </w:tcPr>
                <w:p>
                  <w:pPr>
                    <w:tabs>
                      <w:tab w:val="left" w:pos="2700"/>
                    </w:tabs>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1162" w:hRule="atLeast"/>
                <w:jc w:val="center"/>
              </w:trPr>
              <w:tc>
                <w:tcPr>
                  <w:tcW w:w="374" w:type="dxa"/>
                  <w:vMerge w:val="continue"/>
                  <w:tcBorders>
                    <w:tl2br w:val="nil"/>
                    <w:tr2bl w:val="nil"/>
                  </w:tcBorders>
                  <w:vAlign w:val="center"/>
                </w:tcPr>
                <w:p>
                  <w:pPr>
                    <w:tabs>
                      <w:tab w:val="left" w:pos="2700"/>
                    </w:tabs>
                    <w:adjustRightInd w:val="0"/>
                    <w:snapToGrid w:val="0"/>
                    <w:jc w:val="center"/>
                    <w:rPr>
                      <w:color w:val="auto"/>
                      <w:sz w:val="21"/>
                      <w:szCs w:val="21"/>
                      <w:highlight w:val="none"/>
                    </w:rPr>
                  </w:pPr>
                </w:p>
              </w:tc>
              <w:tc>
                <w:tcPr>
                  <w:tcW w:w="1153" w:type="dxa"/>
                  <w:gridSpan w:val="2"/>
                  <w:vMerge w:val="continue"/>
                  <w:tcBorders>
                    <w:tl2br w:val="nil"/>
                    <w:tr2bl w:val="nil"/>
                  </w:tcBorders>
                  <w:vAlign w:val="center"/>
                </w:tcPr>
                <w:p>
                  <w:pPr>
                    <w:tabs>
                      <w:tab w:val="left" w:pos="2700"/>
                    </w:tabs>
                    <w:adjustRightInd w:val="0"/>
                    <w:snapToGrid w:val="0"/>
                    <w:jc w:val="center"/>
                    <w:rPr>
                      <w:color w:val="auto"/>
                      <w:sz w:val="21"/>
                      <w:szCs w:val="21"/>
                      <w:highlight w:val="none"/>
                    </w:rPr>
                  </w:pPr>
                </w:p>
              </w:tc>
              <w:tc>
                <w:tcPr>
                  <w:tcW w:w="1053" w:type="dxa"/>
                  <w:gridSpan w:val="4"/>
                  <w:tcBorders>
                    <w:bottom w:val="single" w:color="auto" w:sz="4" w:space="0"/>
                    <w:tl2br w:val="nil"/>
                    <w:tr2bl w:val="nil"/>
                  </w:tcBorders>
                  <w:shd w:val="clear" w:color="auto" w:fill="auto"/>
                  <w:vAlign w:val="center"/>
                </w:tcPr>
                <w:p>
                  <w:pPr>
                    <w:tabs>
                      <w:tab w:val="left" w:pos="2700"/>
                    </w:tabs>
                    <w:adjustRightInd w:val="0"/>
                    <w:snapToGrid w:val="0"/>
                    <w:jc w:val="center"/>
                    <w:rPr>
                      <w:color w:val="auto"/>
                      <w:sz w:val="21"/>
                      <w:szCs w:val="21"/>
                      <w:highlight w:val="none"/>
                    </w:rPr>
                  </w:pPr>
                  <w:r>
                    <w:rPr>
                      <w:rFonts w:hint="eastAsia"/>
                      <w:color w:val="auto"/>
                      <w:sz w:val="21"/>
                      <w:szCs w:val="21"/>
                      <w:highlight w:val="none"/>
                    </w:rPr>
                    <w:t>水泥</w:t>
                  </w:r>
                  <w:r>
                    <w:rPr>
                      <w:color w:val="auto"/>
                      <w:sz w:val="21"/>
                      <w:szCs w:val="21"/>
                      <w:highlight w:val="none"/>
                    </w:rPr>
                    <w:t>仓粉尘</w:t>
                  </w:r>
                </w:p>
              </w:tc>
              <w:tc>
                <w:tcPr>
                  <w:tcW w:w="5215" w:type="dxa"/>
                  <w:tcBorders>
                    <w:bottom w:val="single" w:color="auto" w:sz="4" w:space="0"/>
                    <w:tl2br w:val="nil"/>
                    <w:tr2bl w:val="nil"/>
                  </w:tcBorders>
                  <w:shd w:val="clear" w:color="auto" w:fill="auto"/>
                  <w:vAlign w:val="center"/>
                </w:tcPr>
                <w:p>
                  <w:pPr>
                    <w:tabs>
                      <w:tab w:val="left" w:pos="2700"/>
                    </w:tabs>
                    <w:adjustRightInd w:val="0"/>
                    <w:snapToGrid w:val="0"/>
                    <w:rPr>
                      <w:color w:val="auto"/>
                      <w:sz w:val="21"/>
                      <w:szCs w:val="21"/>
                      <w:highlight w:val="none"/>
                    </w:rPr>
                  </w:pPr>
                  <w:r>
                    <w:rPr>
                      <w:rFonts w:hint="eastAsia"/>
                      <w:color w:val="auto"/>
                      <w:sz w:val="21"/>
                      <w:szCs w:val="21"/>
                      <w:highlight w:val="none"/>
                      <w:lang w:val="en-US" w:eastAsia="zh-CN"/>
                    </w:rPr>
                    <w:t>2个</w:t>
                  </w:r>
                  <w:r>
                    <w:rPr>
                      <w:color w:val="auto"/>
                      <w:sz w:val="21"/>
                      <w:szCs w:val="21"/>
                      <w:highlight w:val="none"/>
                    </w:rPr>
                    <w:t>水泥</w:t>
                  </w:r>
                  <w:r>
                    <w:rPr>
                      <w:rFonts w:hint="eastAsia"/>
                      <w:color w:val="auto"/>
                      <w:sz w:val="21"/>
                      <w:szCs w:val="21"/>
                      <w:highlight w:val="none"/>
                      <w:lang w:val="en-US" w:eastAsia="zh-CN"/>
                    </w:rPr>
                    <w:t>卧</w:t>
                  </w:r>
                  <w:r>
                    <w:rPr>
                      <w:color w:val="auto"/>
                      <w:sz w:val="21"/>
                      <w:szCs w:val="21"/>
                      <w:highlight w:val="none"/>
                    </w:rPr>
                    <w:t>仓</w:t>
                  </w:r>
                  <w:r>
                    <w:rPr>
                      <w:rFonts w:hint="eastAsia"/>
                      <w:color w:val="auto"/>
                      <w:sz w:val="21"/>
                      <w:szCs w:val="21"/>
                      <w:highlight w:val="none"/>
                      <w:lang w:eastAsia="zh-CN"/>
                    </w:rPr>
                    <w:t>、</w:t>
                  </w:r>
                  <w:r>
                    <w:rPr>
                      <w:rFonts w:hint="eastAsia"/>
                      <w:color w:val="auto"/>
                      <w:sz w:val="21"/>
                      <w:szCs w:val="21"/>
                      <w:highlight w:val="none"/>
                      <w:lang w:val="en-US" w:eastAsia="zh-CN"/>
                    </w:rPr>
                    <w:t>1个水泥筒仓</w:t>
                  </w:r>
                  <w:r>
                    <w:rPr>
                      <w:color w:val="auto"/>
                      <w:sz w:val="21"/>
                      <w:szCs w:val="21"/>
                      <w:highlight w:val="none"/>
                    </w:rPr>
                    <w:t>，</w:t>
                  </w:r>
                  <w:r>
                    <w:rPr>
                      <w:rFonts w:hint="eastAsia"/>
                      <w:color w:val="auto"/>
                      <w:sz w:val="21"/>
                      <w:szCs w:val="21"/>
                      <w:highlight w:val="none"/>
                      <w:lang w:val="en-US" w:eastAsia="zh-CN"/>
                    </w:rPr>
                    <w:t>均</w:t>
                  </w:r>
                  <w:r>
                    <w:rPr>
                      <w:color w:val="auto"/>
                      <w:sz w:val="21"/>
                      <w:szCs w:val="21"/>
                      <w:highlight w:val="none"/>
                    </w:rPr>
                    <w:t>采用密闭的形式将水泥输送至搅拌</w:t>
                  </w:r>
                  <w:r>
                    <w:rPr>
                      <w:rFonts w:hint="eastAsia"/>
                      <w:color w:val="auto"/>
                      <w:sz w:val="21"/>
                      <w:szCs w:val="21"/>
                      <w:highlight w:val="none"/>
                    </w:rPr>
                    <w:t>站</w:t>
                  </w:r>
                  <w:r>
                    <w:rPr>
                      <w:color w:val="auto"/>
                      <w:sz w:val="21"/>
                      <w:szCs w:val="21"/>
                      <w:highlight w:val="none"/>
                    </w:rPr>
                    <w:t>内，水泥原料筒仓上方</w:t>
                  </w:r>
                  <w:r>
                    <w:rPr>
                      <w:rFonts w:hint="eastAsia"/>
                      <w:color w:val="auto"/>
                      <w:sz w:val="21"/>
                      <w:szCs w:val="21"/>
                      <w:highlight w:val="none"/>
                      <w:lang w:val="en-US" w:eastAsia="zh-CN"/>
                    </w:rPr>
                    <w:t>均</w:t>
                  </w:r>
                  <w:r>
                    <w:rPr>
                      <w:color w:val="auto"/>
                      <w:sz w:val="21"/>
                      <w:szCs w:val="21"/>
                      <w:highlight w:val="none"/>
                    </w:rPr>
                    <w:t>设置呼吸口，产生的粉尘</w:t>
                  </w:r>
                  <w:r>
                    <w:rPr>
                      <w:rFonts w:hint="eastAsia"/>
                      <w:color w:val="auto"/>
                      <w:sz w:val="21"/>
                      <w:szCs w:val="21"/>
                      <w:highlight w:val="none"/>
                    </w:rPr>
                    <w:t>经布袋除尘器处理后，收集后的粉尘回用于生产，</w:t>
                  </w:r>
                  <w:r>
                    <w:rPr>
                      <w:rFonts w:hint="eastAsia"/>
                      <w:color w:val="auto"/>
                      <w:sz w:val="21"/>
                      <w:szCs w:val="21"/>
                      <w:highlight w:val="none"/>
                      <w:lang w:val="en-US" w:eastAsia="zh-CN"/>
                    </w:rPr>
                    <w:t>排气筒排放浓度</w:t>
                  </w:r>
                  <w:r>
                    <w:rPr>
                      <w:color w:val="auto"/>
                      <w:sz w:val="21"/>
                      <w:szCs w:val="21"/>
                      <w:highlight w:val="none"/>
                    </w:rPr>
                    <w:t>符合</w:t>
                  </w:r>
                  <w:r>
                    <w:rPr>
                      <w:rFonts w:hint="eastAsia"/>
                      <w:color w:val="auto"/>
                      <w:sz w:val="21"/>
                      <w:szCs w:val="21"/>
                      <w:highlight w:val="none"/>
                    </w:rPr>
                    <w:t>《水泥工业大气污染物排放标准》（GB4915-2013）表</w:t>
                  </w:r>
                  <w:r>
                    <w:rPr>
                      <w:rFonts w:hint="eastAsia"/>
                      <w:color w:val="auto"/>
                      <w:sz w:val="21"/>
                      <w:szCs w:val="21"/>
                      <w:highlight w:val="none"/>
                      <w:lang w:val="en-US" w:eastAsia="zh-CN"/>
                    </w:rPr>
                    <w:t>2</w:t>
                  </w:r>
                  <w:r>
                    <w:rPr>
                      <w:rFonts w:hint="eastAsia" w:cs="Times New Roman"/>
                      <w:b w:val="0"/>
                      <w:bCs/>
                      <w:color w:val="auto"/>
                      <w:sz w:val="21"/>
                      <w:szCs w:val="21"/>
                      <w:highlight w:val="none"/>
                      <w:lang w:eastAsia="zh-CN"/>
                    </w:rPr>
                    <w:t>大气污染物特别排放限值</w:t>
                  </w:r>
                  <w:r>
                    <w:rPr>
                      <w:rFonts w:hint="eastAsia"/>
                      <w:color w:val="auto"/>
                      <w:sz w:val="21"/>
                      <w:szCs w:val="21"/>
                      <w:highlight w:val="none"/>
                    </w:rPr>
                    <w:t>。</w:t>
                  </w:r>
                </w:p>
              </w:tc>
              <w:tc>
                <w:tcPr>
                  <w:tcW w:w="821" w:type="dxa"/>
                  <w:gridSpan w:val="4"/>
                  <w:tcBorders>
                    <w:bottom w:val="single" w:color="auto" w:sz="4" w:space="0"/>
                    <w:tl2br w:val="nil"/>
                    <w:tr2bl w:val="nil"/>
                  </w:tcBorders>
                  <w:shd w:val="clear" w:color="auto" w:fill="auto"/>
                  <w:vAlign w:val="center"/>
                </w:tcPr>
                <w:p>
                  <w:pPr>
                    <w:tabs>
                      <w:tab w:val="left" w:pos="2700"/>
                    </w:tabs>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209" w:hRule="atLeast"/>
                <w:jc w:val="center"/>
              </w:trPr>
              <w:tc>
                <w:tcPr>
                  <w:tcW w:w="374" w:type="dxa"/>
                  <w:vMerge w:val="continue"/>
                  <w:tcBorders>
                    <w:tl2br w:val="nil"/>
                    <w:tr2bl w:val="nil"/>
                  </w:tcBorders>
                  <w:vAlign w:val="center"/>
                </w:tcPr>
                <w:p>
                  <w:pPr>
                    <w:tabs>
                      <w:tab w:val="left" w:pos="2700"/>
                    </w:tabs>
                    <w:adjustRightInd w:val="0"/>
                    <w:snapToGrid w:val="0"/>
                    <w:jc w:val="center"/>
                    <w:rPr>
                      <w:color w:val="auto"/>
                      <w:sz w:val="21"/>
                      <w:szCs w:val="21"/>
                      <w:highlight w:val="yellow"/>
                    </w:rPr>
                  </w:pPr>
                </w:p>
              </w:tc>
              <w:tc>
                <w:tcPr>
                  <w:tcW w:w="1153" w:type="dxa"/>
                  <w:gridSpan w:val="2"/>
                  <w:vMerge w:val="continue"/>
                  <w:tcBorders>
                    <w:tl2br w:val="nil"/>
                    <w:tr2bl w:val="nil"/>
                  </w:tcBorders>
                  <w:vAlign w:val="center"/>
                </w:tcPr>
                <w:p>
                  <w:pPr>
                    <w:tabs>
                      <w:tab w:val="left" w:pos="2700"/>
                    </w:tabs>
                    <w:adjustRightInd w:val="0"/>
                    <w:snapToGrid w:val="0"/>
                    <w:jc w:val="center"/>
                    <w:rPr>
                      <w:color w:val="auto"/>
                      <w:sz w:val="21"/>
                      <w:szCs w:val="21"/>
                      <w:highlight w:val="yellow"/>
                    </w:rPr>
                  </w:pPr>
                </w:p>
              </w:tc>
              <w:tc>
                <w:tcPr>
                  <w:tcW w:w="1053" w:type="dxa"/>
                  <w:gridSpan w:val="4"/>
                  <w:tcBorders>
                    <w:top w:val="single" w:color="auto" w:sz="4" w:space="0"/>
                    <w:tl2br w:val="nil"/>
                    <w:tr2bl w:val="nil"/>
                  </w:tcBorders>
                  <w:shd w:val="clear" w:color="auto" w:fill="auto"/>
                  <w:vAlign w:val="center"/>
                </w:tcPr>
                <w:p>
                  <w:pPr>
                    <w:tabs>
                      <w:tab w:val="left" w:pos="2700"/>
                    </w:tabs>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粉料仓粉尘</w:t>
                  </w:r>
                </w:p>
              </w:tc>
              <w:tc>
                <w:tcPr>
                  <w:tcW w:w="5215" w:type="dxa"/>
                  <w:tcBorders>
                    <w:top w:val="single" w:color="auto" w:sz="4" w:space="0"/>
                    <w:tl2br w:val="nil"/>
                    <w:tr2bl w:val="nil"/>
                  </w:tcBorders>
                  <w:shd w:val="clear" w:color="auto" w:fill="auto"/>
                  <w:vAlign w:val="center"/>
                </w:tcPr>
                <w:p>
                  <w:pPr>
                    <w:tabs>
                      <w:tab w:val="left" w:pos="2700"/>
                    </w:tabs>
                    <w:adjustRightInd w:val="0"/>
                    <w:snapToGrid w:val="0"/>
                    <w:rPr>
                      <w:rFonts w:hint="eastAsia"/>
                      <w:color w:val="auto"/>
                      <w:sz w:val="21"/>
                      <w:szCs w:val="21"/>
                      <w:highlight w:val="none"/>
                      <w:lang w:val="en-US" w:eastAsia="zh-CN"/>
                    </w:rPr>
                  </w:pPr>
                  <w:r>
                    <w:rPr>
                      <w:rFonts w:hint="eastAsia"/>
                      <w:color w:val="auto"/>
                      <w:sz w:val="21"/>
                      <w:szCs w:val="21"/>
                      <w:highlight w:val="none"/>
                      <w:lang w:val="en-US" w:eastAsia="zh-CN"/>
                    </w:rPr>
                    <w:t>1个粉煤灰筒仓</w:t>
                  </w:r>
                  <w:r>
                    <w:rPr>
                      <w:color w:val="auto"/>
                      <w:sz w:val="21"/>
                      <w:szCs w:val="21"/>
                      <w:highlight w:val="none"/>
                    </w:rPr>
                    <w:t>，采用密闭的形式将</w:t>
                  </w:r>
                  <w:r>
                    <w:rPr>
                      <w:rFonts w:hint="eastAsia"/>
                      <w:color w:val="auto"/>
                      <w:sz w:val="21"/>
                      <w:szCs w:val="21"/>
                      <w:highlight w:val="none"/>
                      <w:lang w:val="en-US" w:eastAsia="zh-CN"/>
                    </w:rPr>
                    <w:t>粉煤灰</w:t>
                  </w:r>
                  <w:r>
                    <w:rPr>
                      <w:color w:val="auto"/>
                      <w:sz w:val="21"/>
                      <w:szCs w:val="21"/>
                      <w:highlight w:val="none"/>
                    </w:rPr>
                    <w:t>输送至搅拌</w:t>
                  </w:r>
                  <w:r>
                    <w:rPr>
                      <w:rFonts w:hint="eastAsia"/>
                      <w:color w:val="auto"/>
                      <w:sz w:val="21"/>
                      <w:szCs w:val="21"/>
                      <w:highlight w:val="none"/>
                    </w:rPr>
                    <w:t>站</w:t>
                  </w:r>
                  <w:r>
                    <w:rPr>
                      <w:color w:val="auto"/>
                      <w:sz w:val="21"/>
                      <w:szCs w:val="21"/>
                      <w:highlight w:val="none"/>
                    </w:rPr>
                    <w:t>内，筒仓上方</w:t>
                  </w:r>
                  <w:r>
                    <w:rPr>
                      <w:rFonts w:hint="eastAsia"/>
                      <w:color w:val="auto"/>
                      <w:sz w:val="21"/>
                      <w:szCs w:val="21"/>
                      <w:highlight w:val="none"/>
                      <w:lang w:val="en-US" w:eastAsia="zh-CN"/>
                    </w:rPr>
                    <w:t>均</w:t>
                  </w:r>
                  <w:r>
                    <w:rPr>
                      <w:color w:val="auto"/>
                      <w:sz w:val="21"/>
                      <w:szCs w:val="21"/>
                      <w:highlight w:val="none"/>
                    </w:rPr>
                    <w:t>设置呼吸口，产生的粉尘</w:t>
                  </w:r>
                  <w:r>
                    <w:rPr>
                      <w:rFonts w:hint="eastAsia"/>
                      <w:color w:val="auto"/>
                      <w:sz w:val="21"/>
                      <w:szCs w:val="21"/>
                      <w:highlight w:val="none"/>
                    </w:rPr>
                    <w:t>经布袋除尘器处理后，收集后的粉尘回用于生产，</w:t>
                  </w:r>
                  <w:r>
                    <w:rPr>
                      <w:rFonts w:hint="eastAsia"/>
                      <w:color w:val="auto"/>
                      <w:sz w:val="21"/>
                      <w:szCs w:val="21"/>
                      <w:highlight w:val="none"/>
                      <w:lang w:val="en-US" w:eastAsia="zh-CN"/>
                    </w:rPr>
                    <w:t>排气筒排放浓度</w:t>
                  </w:r>
                  <w:r>
                    <w:rPr>
                      <w:color w:val="auto"/>
                      <w:sz w:val="21"/>
                      <w:szCs w:val="21"/>
                      <w:highlight w:val="none"/>
                    </w:rPr>
                    <w:t>符合</w:t>
                  </w:r>
                  <w:r>
                    <w:rPr>
                      <w:rFonts w:hint="eastAsia"/>
                      <w:color w:val="auto"/>
                      <w:sz w:val="21"/>
                      <w:szCs w:val="21"/>
                      <w:highlight w:val="none"/>
                    </w:rPr>
                    <w:t>《水泥工业大气污染物排放标准》（GB4915-2013）表</w:t>
                  </w:r>
                  <w:r>
                    <w:rPr>
                      <w:rFonts w:hint="eastAsia"/>
                      <w:color w:val="auto"/>
                      <w:sz w:val="21"/>
                      <w:szCs w:val="21"/>
                      <w:highlight w:val="none"/>
                      <w:lang w:val="en-US" w:eastAsia="zh-CN"/>
                    </w:rPr>
                    <w:t>2</w:t>
                  </w:r>
                  <w:r>
                    <w:rPr>
                      <w:rFonts w:hint="eastAsia" w:cs="Times New Roman"/>
                      <w:b w:val="0"/>
                      <w:bCs/>
                      <w:color w:val="auto"/>
                      <w:sz w:val="21"/>
                      <w:szCs w:val="21"/>
                      <w:highlight w:val="none"/>
                      <w:lang w:eastAsia="zh-CN"/>
                    </w:rPr>
                    <w:t>大气污染物特别排放限值</w:t>
                  </w:r>
                  <w:r>
                    <w:rPr>
                      <w:rFonts w:hint="eastAsia"/>
                      <w:color w:val="auto"/>
                      <w:sz w:val="21"/>
                      <w:szCs w:val="21"/>
                      <w:highlight w:val="none"/>
                    </w:rPr>
                    <w:t>。</w:t>
                  </w:r>
                </w:p>
              </w:tc>
              <w:tc>
                <w:tcPr>
                  <w:tcW w:w="821" w:type="dxa"/>
                  <w:gridSpan w:val="4"/>
                  <w:tcBorders>
                    <w:top w:val="single" w:color="auto" w:sz="4" w:space="0"/>
                    <w:tl2br w:val="nil"/>
                    <w:tr2bl w:val="nil"/>
                  </w:tcBorders>
                  <w:shd w:val="clear" w:color="auto" w:fill="auto"/>
                  <w:vAlign w:val="center"/>
                </w:tcPr>
                <w:p>
                  <w:pPr>
                    <w:tabs>
                      <w:tab w:val="left" w:pos="2700"/>
                    </w:tabs>
                    <w:adjustRightInd w:val="0"/>
                    <w:snapToGrid w:val="0"/>
                    <w:jc w:val="center"/>
                    <w:rPr>
                      <w:rFonts w:hint="eastAsia"/>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340" w:hRule="atLeast"/>
                <w:jc w:val="center"/>
              </w:trPr>
              <w:tc>
                <w:tcPr>
                  <w:tcW w:w="374" w:type="dxa"/>
                  <w:vMerge w:val="continue"/>
                  <w:tcBorders>
                    <w:tl2br w:val="nil"/>
                    <w:tr2bl w:val="nil"/>
                  </w:tcBorders>
                  <w:vAlign w:val="center"/>
                </w:tcPr>
                <w:p>
                  <w:pPr>
                    <w:tabs>
                      <w:tab w:val="left" w:pos="2700"/>
                    </w:tabs>
                    <w:adjustRightInd w:val="0"/>
                    <w:snapToGrid w:val="0"/>
                    <w:jc w:val="center"/>
                    <w:rPr>
                      <w:color w:val="auto"/>
                      <w:sz w:val="21"/>
                      <w:szCs w:val="21"/>
                      <w:highlight w:val="yellow"/>
                    </w:rPr>
                  </w:pPr>
                </w:p>
              </w:tc>
              <w:tc>
                <w:tcPr>
                  <w:tcW w:w="1153" w:type="dxa"/>
                  <w:gridSpan w:val="2"/>
                  <w:vMerge w:val="continue"/>
                  <w:tcBorders>
                    <w:tl2br w:val="nil"/>
                    <w:tr2bl w:val="nil"/>
                  </w:tcBorders>
                  <w:vAlign w:val="center"/>
                </w:tcPr>
                <w:p>
                  <w:pPr>
                    <w:tabs>
                      <w:tab w:val="left" w:pos="2700"/>
                    </w:tabs>
                    <w:adjustRightInd w:val="0"/>
                    <w:snapToGrid w:val="0"/>
                    <w:jc w:val="center"/>
                    <w:rPr>
                      <w:color w:val="auto"/>
                      <w:sz w:val="21"/>
                      <w:szCs w:val="21"/>
                      <w:highlight w:val="yellow"/>
                    </w:rPr>
                  </w:pPr>
                </w:p>
              </w:tc>
              <w:tc>
                <w:tcPr>
                  <w:tcW w:w="1053" w:type="dxa"/>
                  <w:gridSpan w:val="4"/>
                  <w:tcBorders>
                    <w:tl2br w:val="nil"/>
                    <w:tr2bl w:val="nil"/>
                  </w:tcBorders>
                  <w:shd w:val="clear" w:color="auto" w:fill="auto"/>
                  <w:vAlign w:val="center"/>
                </w:tcPr>
                <w:p>
                  <w:pPr>
                    <w:tabs>
                      <w:tab w:val="left" w:pos="2700"/>
                    </w:tabs>
                    <w:adjustRightInd w:val="0"/>
                    <w:snapToGrid w:val="0"/>
                    <w:jc w:val="center"/>
                    <w:rPr>
                      <w:color w:val="auto"/>
                      <w:sz w:val="21"/>
                      <w:szCs w:val="21"/>
                      <w:highlight w:val="none"/>
                    </w:rPr>
                  </w:pPr>
                  <w:r>
                    <w:rPr>
                      <w:rFonts w:hint="eastAsia"/>
                      <w:color w:val="auto"/>
                      <w:sz w:val="21"/>
                      <w:szCs w:val="21"/>
                      <w:highlight w:val="none"/>
                    </w:rPr>
                    <w:t>上料斗扬尘</w:t>
                  </w:r>
                </w:p>
              </w:tc>
              <w:tc>
                <w:tcPr>
                  <w:tcW w:w="5215" w:type="dxa"/>
                  <w:tcBorders>
                    <w:tl2br w:val="nil"/>
                    <w:tr2bl w:val="nil"/>
                  </w:tcBorders>
                  <w:shd w:val="clear" w:color="auto" w:fill="auto"/>
                  <w:vAlign w:val="center"/>
                </w:tcPr>
                <w:p>
                  <w:pPr>
                    <w:tabs>
                      <w:tab w:val="left" w:pos="2700"/>
                    </w:tabs>
                    <w:adjustRightInd w:val="0"/>
                    <w:snapToGrid w:val="0"/>
                    <w:rPr>
                      <w:color w:val="auto"/>
                      <w:sz w:val="21"/>
                      <w:szCs w:val="21"/>
                      <w:highlight w:val="none"/>
                    </w:rPr>
                  </w:pPr>
                  <w:r>
                    <w:rPr>
                      <w:rFonts w:hint="eastAsia"/>
                      <w:color w:val="auto"/>
                      <w:sz w:val="21"/>
                      <w:szCs w:val="21"/>
                      <w:highlight w:val="none"/>
                    </w:rPr>
                    <w:t>上料斗装配喷淋系统，通过料斗上料时进行喷淋降尘。</w:t>
                  </w:r>
                </w:p>
              </w:tc>
              <w:tc>
                <w:tcPr>
                  <w:tcW w:w="821" w:type="dxa"/>
                  <w:gridSpan w:val="4"/>
                  <w:tcBorders>
                    <w:tl2br w:val="nil"/>
                    <w:tr2bl w:val="nil"/>
                  </w:tcBorders>
                  <w:shd w:val="clear" w:color="auto" w:fill="auto"/>
                  <w:vAlign w:val="center"/>
                </w:tcPr>
                <w:p>
                  <w:pPr>
                    <w:tabs>
                      <w:tab w:val="left" w:pos="2700"/>
                    </w:tabs>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340" w:hRule="atLeast"/>
                <w:jc w:val="center"/>
              </w:trPr>
              <w:tc>
                <w:tcPr>
                  <w:tcW w:w="374" w:type="dxa"/>
                  <w:vMerge w:val="continue"/>
                  <w:tcBorders>
                    <w:tl2br w:val="nil"/>
                    <w:tr2bl w:val="nil"/>
                  </w:tcBorders>
                  <w:vAlign w:val="center"/>
                </w:tcPr>
                <w:p>
                  <w:pPr>
                    <w:pStyle w:val="19"/>
                    <w:rPr>
                      <w:color w:val="auto"/>
                      <w:highlight w:val="yellow"/>
                    </w:rPr>
                  </w:pPr>
                </w:p>
              </w:tc>
              <w:tc>
                <w:tcPr>
                  <w:tcW w:w="1153" w:type="dxa"/>
                  <w:gridSpan w:val="2"/>
                  <w:vMerge w:val="restart"/>
                  <w:tcBorders>
                    <w:tl2br w:val="nil"/>
                    <w:tr2bl w:val="nil"/>
                  </w:tcBorders>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废水</w:t>
                  </w:r>
                </w:p>
              </w:tc>
              <w:tc>
                <w:tcPr>
                  <w:tcW w:w="1053" w:type="dxa"/>
                  <w:gridSpan w:val="4"/>
                  <w:tcBorders>
                    <w:tl2br w:val="nil"/>
                    <w:tr2bl w:val="nil"/>
                  </w:tcBorders>
                  <w:shd w:val="clear" w:color="auto" w:fill="auto"/>
                  <w:vAlign w:val="center"/>
                </w:tcPr>
                <w:p>
                  <w:pPr>
                    <w:tabs>
                      <w:tab w:val="left" w:pos="2700"/>
                    </w:tabs>
                    <w:adjustRightInd w:val="0"/>
                    <w:snapToGrid w:val="0"/>
                    <w:jc w:val="center"/>
                    <w:rPr>
                      <w:color w:val="auto"/>
                      <w:sz w:val="21"/>
                      <w:szCs w:val="21"/>
                      <w:highlight w:val="none"/>
                    </w:rPr>
                  </w:pPr>
                  <w:r>
                    <w:rPr>
                      <w:color w:val="auto"/>
                      <w:sz w:val="21"/>
                      <w:szCs w:val="21"/>
                      <w:highlight w:val="none"/>
                    </w:rPr>
                    <w:t>清洗废水</w:t>
                  </w:r>
                </w:p>
              </w:tc>
              <w:tc>
                <w:tcPr>
                  <w:tcW w:w="5215" w:type="dxa"/>
                  <w:vMerge w:val="restart"/>
                  <w:tcBorders>
                    <w:tl2br w:val="nil"/>
                    <w:tr2bl w:val="nil"/>
                  </w:tcBorders>
                  <w:shd w:val="clear" w:color="auto" w:fill="auto"/>
                  <w:vAlign w:val="center"/>
                </w:tcPr>
                <w:p>
                  <w:pPr>
                    <w:tabs>
                      <w:tab w:val="left" w:pos="2700"/>
                    </w:tabs>
                    <w:adjustRightInd w:val="0"/>
                    <w:snapToGrid w:val="0"/>
                    <w:rPr>
                      <w:rFonts w:hint="eastAsia" w:eastAsia="宋体"/>
                      <w:color w:val="auto"/>
                      <w:sz w:val="21"/>
                      <w:szCs w:val="21"/>
                      <w:highlight w:val="none"/>
                      <w:lang w:eastAsia="zh-CN"/>
                    </w:rPr>
                  </w:pPr>
                  <w:r>
                    <w:rPr>
                      <w:rFonts w:hint="eastAsia"/>
                      <w:color w:val="auto"/>
                      <w:sz w:val="21"/>
                      <w:szCs w:val="21"/>
                      <w:highlight w:val="none"/>
                    </w:rPr>
                    <w:t>洗车平台车辆冲洗废水收集至循环水池沉淀后循环使用，不外排</w:t>
                  </w:r>
                  <w:r>
                    <w:rPr>
                      <w:rFonts w:hint="eastAsia"/>
                      <w:color w:val="auto"/>
                      <w:sz w:val="21"/>
                      <w:szCs w:val="21"/>
                      <w:highlight w:val="none"/>
                      <w:lang w:eastAsia="zh-CN"/>
                    </w:rPr>
                    <w:t>。</w:t>
                  </w:r>
                  <w:r>
                    <w:rPr>
                      <w:color w:val="auto"/>
                      <w:sz w:val="21"/>
                      <w:szCs w:val="21"/>
                      <w:highlight w:val="none"/>
                    </w:rPr>
                    <w:t>搅拌清洗废水作业地面清洗废水经</w:t>
                  </w:r>
                  <w:r>
                    <w:rPr>
                      <w:rFonts w:hint="eastAsia"/>
                      <w:color w:val="auto"/>
                      <w:sz w:val="21"/>
                      <w:szCs w:val="21"/>
                      <w:highlight w:val="none"/>
                      <w:lang w:val="en-US" w:eastAsia="zh-CN"/>
                    </w:rPr>
                    <w:t>三级沉淀池</w:t>
                  </w:r>
                  <w:r>
                    <w:rPr>
                      <w:color w:val="auto"/>
                      <w:sz w:val="21"/>
                      <w:szCs w:val="21"/>
                      <w:highlight w:val="none"/>
                    </w:rPr>
                    <w:t>，沉淀后回用于生产，不外排。</w:t>
                  </w:r>
                  <w:r>
                    <w:rPr>
                      <w:rFonts w:hint="default" w:ascii="Times New Roman" w:hAnsi="Times New Roman" w:eastAsia="宋体" w:cs="Times New Roman"/>
                      <w:color w:val="auto"/>
                      <w:kern w:val="2"/>
                      <w:sz w:val="21"/>
                      <w:szCs w:val="21"/>
                      <w:highlight w:val="none"/>
                      <w:lang w:val="en-US" w:eastAsia="zh-CN" w:bidi="ar-SA"/>
                    </w:rPr>
                    <w:t>厂区</w:t>
                  </w:r>
                  <w:r>
                    <w:rPr>
                      <w:rFonts w:hint="eastAsia"/>
                      <w:color w:val="auto"/>
                      <w:sz w:val="21"/>
                      <w:szCs w:val="21"/>
                      <w:highlight w:val="none"/>
                      <w:lang w:val="en-US" w:eastAsia="zh-CN"/>
                    </w:rPr>
                    <w:t>建设有1座三级沉淀池，</w:t>
                  </w:r>
                  <w:r>
                    <w:rPr>
                      <w:rFonts w:hint="eastAsia"/>
                      <w:color w:val="auto"/>
                      <w:sz w:val="21"/>
                      <w:szCs w:val="21"/>
                      <w:highlight w:val="none"/>
                    </w:rPr>
                    <w:t>容积为</w:t>
                  </w:r>
                  <w:r>
                    <w:rPr>
                      <w:rFonts w:hint="eastAsia"/>
                      <w:color w:val="auto"/>
                      <w:sz w:val="21"/>
                      <w:szCs w:val="21"/>
                      <w:highlight w:val="none"/>
                      <w:lang w:val="en-US" w:eastAsia="zh-CN"/>
                    </w:rPr>
                    <w:t>500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w:t>
                  </w:r>
                  <w:r>
                    <w:rPr>
                      <w:rFonts w:hint="eastAsia" w:cs="Times New Roman"/>
                      <w:b w:val="0"/>
                      <w:bCs w:val="0"/>
                      <w:color w:val="auto"/>
                      <w:kern w:val="0"/>
                      <w:sz w:val="21"/>
                      <w:szCs w:val="21"/>
                      <w:highlight w:val="none"/>
                      <w:lang w:val="en-US" w:eastAsia="zh-CN" w:bidi="ar-SA"/>
                    </w:rPr>
                    <w:t>用于收集厂区初期雨水</w:t>
                  </w:r>
                  <w:r>
                    <w:rPr>
                      <w:rFonts w:hint="eastAsia"/>
                      <w:color w:val="auto"/>
                      <w:sz w:val="21"/>
                      <w:szCs w:val="21"/>
                      <w:highlight w:val="none"/>
                      <w:lang w:val="en-US" w:eastAsia="zh-CN"/>
                    </w:rPr>
                    <w:t>厂区雨水、搅拌废水及洗车废水。</w:t>
                  </w:r>
                </w:p>
              </w:tc>
              <w:tc>
                <w:tcPr>
                  <w:tcW w:w="821" w:type="dxa"/>
                  <w:gridSpan w:val="4"/>
                  <w:vMerge w:val="restart"/>
                  <w:tcBorders>
                    <w:tl2br w:val="nil"/>
                    <w:tr2bl w:val="nil"/>
                  </w:tcBorders>
                  <w:shd w:val="clear" w:color="auto" w:fill="auto"/>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341" w:hRule="atLeast"/>
                <w:jc w:val="center"/>
              </w:trPr>
              <w:tc>
                <w:tcPr>
                  <w:tcW w:w="374" w:type="dxa"/>
                  <w:vMerge w:val="continue"/>
                  <w:tcBorders>
                    <w:tl2br w:val="nil"/>
                    <w:tr2bl w:val="nil"/>
                  </w:tcBorders>
                  <w:vAlign w:val="center"/>
                </w:tcPr>
                <w:p>
                  <w:pPr>
                    <w:adjustRightInd w:val="0"/>
                    <w:snapToGrid w:val="0"/>
                    <w:jc w:val="center"/>
                    <w:rPr>
                      <w:color w:val="auto"/>
                      <w:sz w:val="21"/>
                      <w:szCs w:val="21"/>
                      <w:highlight w:val="yellow"/>
                    </w:rPr>
                  </w:pPr>
                </w:p>
              </w:tc>
              <w:tc>
                <w:tcPr>
                  <w:tcW w:w="1153" w:type="dxa"/>
                  <w:gridSpan w:val="2"/>
                  <w:vMerge w:val="continue"/>
                  <w:tcBorders>
                    <w:tl2br w:val="nil"/>
                    <w:tr2bl w:val="nil"/>
                  </w:tcBorders>
                  <w:vAlign w:val="center"/>
                </w:tcPr>
                <w:p>
                  <w:pPr>
                    <w:adjustRightInd w:val="0"/>
                    <w:snapToGrid w:val="0"/>
                    <w:jc w:val="center"/>
                    <w:rPr>
                      <w:color w:val="auto"/>
                      <w:sz w:val="21"/>
                      <w:szCs w:val="21"/>
                      <w:highlight w:val="yellow"/>
                    </w:rPr>
                  </w:pPr>
                </w:p>
              </w:tc>
              <w:tc>
                <w:tcPr>
                  <w:tcW w:w="1053" w:type="dxa"/>
                  <w:gridSpan w:val="4"/>
                  <w:tcBorders>
                    <w:tl2br w:val="nil"/>
                    <w:tr2bl w:val="nil"/>
                  </w:tcBorders>
                  <w:vAlign w:val="center"/>
                </w:tcPr>
                <w:p>
                  <w:pPr>
                    <w:tabs>
                      <w:tab w:val="left" w:pos="2700"/>
                    </w:tabs>
                    <w:adjustRightInd w:val="0"/>
                    <w:snapToGrid w:val="0"/>
                    <w:jc w:val="center"/>
                    <w:rPr>
                      <w:color w:val="auto"/>
                      <w:sz w:val="21"/>
                      <w:szCs w:val="21"/>
                      <w:highlight w:val="none"/>
                    </w:rPr>
                  </w:pPr>
                  <w:r>
                    <w:rPr>
                      <w:rFonts w:hint="eastAsia"/>
                      <w:color w:val="auto"/>
                      <w:sz w:val="21"/>
                      <w:szCs w:val="21"/>
                      <w:highlight w:val="none"/>
                    </w:rPr>
                    <w:t>洗车废水</w:t>
                  </w:r>
                </w:p>
              </w:tc>
              <w:tc>
                <w:tcPr>
                  <w:tcW w:w="5215" w:type="dxa"/>
                  <w:vMerge w:val="continue"/>
                  <w:tcBorders>
                    <w:tl2br w:val="nil"/>
                    <w:tr2bl w:val="nil"/>
                  </w:tcBorders>
                  <w:vAlign w:val="center"/>
                </w:tcPr>
                <w:p>
                  <w:pPr>
                    <w:tabs>
                      <w:tab w:val="left" w:pos="2700"/>
                    </w:tabs>
                    <w:adjustRightInd w:val="0"/>
                    <w:snapToGrid w:val="0"/>
                    <w:rPr>
                      <w:rFonts w:hint="eastAsia" w:eastAsia="宋体"/>
                      <w:color w:val="auto"/>
                      <w:sz w:val="21"/>
                      <w:szCs w:val="21"/>
                      <w:highlight w:val="none"/>
                      <w:lang w:eastAsia="zh-CN"/>
                    </w:rPr>
                  </w:pPr>
                </w:p>
              </w:tc>
              <w:tc>
                <w:tcPr>
                  <w:tcW w:w="821" w:type="dxa"/>
                  <w:gridSpan w:val="4"/>
                  <w:vMerge w:val="continue"/>
                  <w:tcBorders>
                    <w:tl2br w:val="nil"/>
                    <w:tr2bl w:val="nil"/>
                  </w:tcBorders>
                  <w:vAlign w:val="center"/>
                </w:tcPr>
                <w:p>
                  <w:pPr>
                    <w:adjustRightInd w:val="0"/>
                    <w:snapToGrid w:val="0"/>
                    <w:jc w:val="center"/>
                    <w:rPr>
                      <w:rFonts w:hint="default" w:eastAsia="宋体"/>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3"/>
                <w:wAfter w:w="138" w:type="dxa"/>
                <w:trHeight w:val="186" w:hRule="atLeast"/>
                <w:jc w:val="center"/>
              </w:trPr>
              <w:tc>
                <w:tcPr>
                  <w:tcW w:w="374" w:type="dxa"/>
                  <w:vMerge w:val="continue"/>
                  <w:tcBorders>
                    <w:tl2br w:val="nil"/>
                    <w:tr2bl w:val="nil"/>
                  </w:tcBorders>
                  <w:vAlign w:val="center"/>
                </w:tcPr>
                <w:p>
                  <w:pPr>
                    <w:adjustRightInd w:val="0"/>
                    <w:snapToGrid w:val="0"/>
                    <w:jc w:val="center"/>
                    <w:rPr>
                      <w:color w:val="auto"/>
                      <w:sz w:val="21"/>
                      <w:szCs w:val="21"/>
                      <w:highlight w:val="yellow"/>
                    </w:rPr>
                  </w:pPr>
                </w:p>
              </w:tc>
              <w:tc>
                <w:tcPr>
                  <w:tcW w:w="1153" w:type="dxa"/>
                  <w:gridSpan w:val="2"/>
                  <w:vMerge w:val="continue"/>
                  <w:tcBorders>
                    <w:tl2br w:val="nil"/>
                    <w:tr2bl w:val="nil"/>
                  </w:tcBorders>
                  <w:vAlign w:val="center"/>
                </w:tcPr>
                <w:p>
                  <w:pPr>
                    <w:adjustRightInd w:val="0"/>
                    <w:snapToGrid w:val="0"/>
                    <w:jc w:val="center"/>
                    <w:rPr>
                      <w:color w:val="auto"/>
                      <w:sz w:val="21"/>
                      <w:szCs w:val="21"/>
                      <w:highlight w:val="yellow"/>
                    </w:rPr>
                  </w:pPr>
                </w:p>
              </w:tc>
              <w:tc>
                <w:tcPr>
                  <w:tcW w:w="1053" w:type="dxa"/>
                  <w:gridSpan w:val="4"/>
                  <w:tcBorders>
                    <w:tl2br w:val="nil"/>
                    <w:tr2bl w:val="nil"/>
                  </w:tcBorders>
                  <w:vAlign w:val="center"/>
                </w:tcPr>
                <w:p>
                  <w:pPr>
                    <w:tabs>
                      <w:tab w:val="left" w:pos="2700"/>
                    </w:tabs>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初期雨水</w:t>
                  </w:r>
                </w:p>
              </w:tc>
              <w:tc>
                <w:tcPr>
                  <w:tcW w:w="5215" w:type="dxa"/>
                  <w:vMerge w:val="continue"/>
                  <w:tcBorders>
                    <w:tl2br w:val="nil"/>
                    <w:tr2bl w:val="nil"/>
                  </w:tcBorders>
                  <w:vAlign w:val="center"/>
                </w:tcPr>
                <w:p>
                  <w:pPr>
                    <w:tabs>
                      <w:tab w:val="left" w:pos="2700"/>
                    </w:tabs>
                    <w:adjustRightInd w:val="0"/>
                    <w:snapToGrid w:val="0"/>
                    <w:rPr>
                      <w:rFonts w:hint="eastAsia" w:eastAsia="宋体"/>
                      <w:color w:val="auto"/>
                      <w:sz w:val="21"/>
                      <w:szCs w:val="21"/>
                      <w:highlight w:val="none"/>
                      <w:lang w:eastAsia="zh-CN"/>
                    </w:rPr>
                  </w:pPr>
                </w:p>
              </w:tc>
              <w:tc>
                <w:tcPr>
                  <w:tcW w:w="821" w:type="dxa"/>
                  <w:gridSpan w:val="4"/>
                  <w:vMerge w:val="continue"/>
                  <w:tcBorders>
                    <w:tl2br w:val="nil"/>
                    <w:tr2bl w:val="nil"/>
                  </w:tcBorders>
                  <w:vAlign w:val="center"/>
                </w:tcPr>
                <w:p>
                  <w:pPr>
                    <w:adjustRightInd w:val="0"/>
                    <w:snapToGrid w:val="0"/>
                    <w:jc w:val="center"/>
                    <w:rPr>
                      <w:rFonts w:hint="default" w:eastAsia="宋体"/>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continue"/>
                  <w:tcBorders>
                    <w:tl2br w:val="nil"/>
                    <w:tr2bl w:val="nil"/>
                  </w:tcBorders>
                  <w:vAlign w:val="center"/>
                </w:tcPr>
                <w:p>
                  <w:pPr>
                    <w:pStyle w:val="19"/>
                    <w:rPr>
                      <w:color w:val="auto"/>
                      <w:highlight w:val="yellow"/>
                    </w:rPr>
                  </w:pPr>
                </w:p>
              </w:tc>
              <w:tc>
                <w:tcPr>
                  <w:tcW w:w="1153" w:type="dxa"/>
                  <w:gridSpan w:val="2"/>
                  <w:tcBorders>
                    <w:tl2br w:val="nil"/>
                    <w:tr2bl w:val="nil"/>
                  </w:tcBorders>
                  <w:vAlign w:val="center"/>
                </w:tcPr>
                <w:p>
                  <w:pPr>
                    <w:pStyle w:val="19"/>
                    <w:rPr>
                      <w:color w:val="auto"/>
                      <w:highlight w:val="none"/>
                    </w:rPr>
                  </w:pPr>
                  <w:r>
                    <w:rPr>
                      <w:color w:val="auto"/>
                      <w:highlight w:val="none"/>
                    </w:rPr>
                    <w:t>噪声</w:t>
                  </w:r>
                </w:p>
              </w:tc>
              <w:tc>
                <w:tcPr>
                  <w:tcW w:w="6273" w:type="dxa"/>
                  <w:gridSpan w:val="6"/>
                  <w:tcBorders>
                    <w:tl2br w:val="nil"/>
                    <w:tr2bl w:val="nil"/>
                  </w:tcBorders>
                  <w:vAlign w:val="center"/>
                </w:tcPr>
                <w:p>
                  <w:pPr>
                    <w:pStyle w:val="19"/>
                    <w:rPr>
                      <w:color w:val="auto"/>
                      <w:highlight w:val="none"/>
                    </w:rPr>
                  </w:pPr>
                  <w:r>
                    <w:rPr>
                      <w:color w:val="auto"/>
                      <w:highlight w:val="none"/>
                    </w:rPr>
                    <w:t>采取安装减振基础和建筑隔声等措施。</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gridAfter w:val="2"/>
                <w:wAfter w:w="133" w:type="dxa"/>
                <w:trHeight w:val="340" w:hRule="atLeast"/>
                <w:jc w:val="center"/>
              </w:trPr>
              <w:tc>
                <w:tcPr>
                  <w:tcW w:w="374" w:type="dxa"/>
                  <w:vMerge w:val="continue"/>
                  <w:tcBorders>
                    <w:tl2br w:val="nil"/>
                    <w:tr2bl w:val="nil"/>
                  </w:tcBorders>
                  <w:vAlign w:val="center"/>
                </w:tcPr>
                <w:p>
                  <w:pPr>
                    <w:pStyle w:val="19"/>
                    <w:rPr>
                      <w:color w:val="auto"/>
                      <w:highlight w:val="yellow"/>
                    </w:rPr>
                  </w:pPr>
                </w:p>
              </w:tc>
              <w:tc>
                <w:tcPr>
                  <w:tcW w:w="1153" w:type="dxa"/>
                  <w:gridSpan w:val="2"/>
                  <w:tcBorders>
                    <w:tl2br w:val="nil"/>
                    <w:tr2bl w:val="nil"/>
                  </w:tcBorders>
                  <w:vAlign w:val="center"/>
                </w:tcPr>
                <w:p>
                  <w:pPr>
                    <w:pStyle w:val="19"/>
                    <w:rPr>
                      <w:color w:val="auto"/>
                      <w:highlight w:val="none"/>
                    </w:rPr>
                  </w:pPr>
                  <w:r>
                    <w:rPr>
                      <w:color w:val="auto"/>
                      <w:highlight w:val="none"/>
                    </w:rPr>
                    <w:t>固体废物</w:t>
                  </w:r>
                </w:p>
              </w:tc>
              <w:tc>
                <w:tcPr>
                  <w:tcW w:w="6273" w:type="dxa"/>
                  <w:gridSpan w:val="6"/>
                  <w:tcBorders>
                    <w:tl2br w:val="nil"/>
                    <w:tr2bl w:val="nil"/>
                  </w:tcBorders>
                  <w:vAlign w:val="center"/>
                </w:tcPr>
                <w:p>
                  <w:pPr>
                    <w:pStyle w:val="19"/>
                    <w:rPr>
                      <w:color w:val="auto"/>
                      <w:highlight w:val="none"/>
                    </w:rPr>
                  </w:pPr>
                  <w:r>
                    <w:rPr>
                      <w:color w:val="auto"/>
                      <w:highlight w:val="none"/>
                    </w:rPr>
                    <w:t>布袋除尘器收集的粉尘、沉淀池沉渣、</w:t>
                  </w:r>
                  <w:r>
                    <w:rPr>
                      <w:rFonts w:hint="eastAsia"/>
                      <w:color w:val="auto"/>
                      <w:highlight w:val="none"/>
                      <w:lang w:val="en-US" w:eastAsia="zh-CN"/>
                    </w:rPr>
                    <w:t>实验室废料</w:t>
                  </w:r>
                  <w:r>
                    <w:rPr>
                      <w:color w:val="auto"/>
                      <w:highlight w:val="none"/>
                    </w:rPr>
                    <w:t>砂和碎石混合物回用于生产</w:t>
                  </w:r>
                  <w:r>
                    <w:rPr>
                      <w:rFonts w:hint="eastAsia"/>
                      <w:color w:val="auto"/>
                      <w:highlight w:val="none"/>
                      <w:lang w:eastAsia="zh-CN"/>
                    </w:rPr>
                    <w:t>、</w:t>
                  </w:r>
                  <w:r>
                    <w:rPr>
                      <w:rFonts w:hint="eastAsia"/>
                      <w:color w:val="auto"/>
                      <w:highlight w:val="none"/>
                      <w:lang w:val="en-US" w:eastAsia="zh-CN"/>
                    </w:rPr>
                    <w:t>废布袋交由厂家回收处置</w:t>
                  </w:r>
                  <w:r>
                    <w:rPr>
                      <w:color w:val="auto"/>
                      <w:highlight w:val="none"/>
                    </w:rPr>
                    <w:t>。</w:t>
                  </w:r>
                </w:p>
              </w:tc>
              <w:tc>
                <w:tcPr>
                  <w:tcW w:w="821" w:type="dxa"/>
                  <w:gridSpan w:val="4"/>
                  <w:tcBorders>
                    <w:tl2br w:val="nil"/>
                    <w:tr2bl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新建</w:t>
                  </w:r>
                </w:p>
              </w:tc>
            </w:tr>
          </w:tbl>
          <w:p>
            <w:pPr>
              <w:pStyle w:val="54"/>
              <w:numPr>
                <w:ilvl w:val="0"/>
                <w:numId w:val="5"/>
              </w:numPr>
              <w:ind w:firstLine="482"/>
              <w:rPr>
                <w:b/>
                <w:bCs/>
                <w:color w:val="auto"/>
              </w:rPr>
            </w:pPr>
            <w:r>
              <w:rPr>
                <w:b/>
                <w:bCs/>
                <w:color w:val="auto"/>
              </w:rPr>
              <w:t>主要设备</w:t>
            </w:r>
          </w:p>
          <w:p>
            <w:pPr>
              <w:pStyle w:val="54"/>
              <w:ind w:firstLine="480"/>
              <w:rPr>
                <w:color w:val="auto"/>
              </w:rPr>
            </w:pPr>
            <w:r>
              <w:rPr>
                <w:color w:val="auto"/>
              </w:rPr>
              <w:t>本项目主要设备详见下表。</w:t>
            </w:r>
          </w:p>
          <w:p>
            <w:pPr>
              <w:pStyle w:val="60"/>
              <w:numPr>
                <w:ilvl w:val="0"/>
                <w:numId w:val="0"/>
              </w:num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表2-2  主要生产设备一览表</w:t>
            </w:r>
          </w:p>
          <w:tbl>
            <w:tblPr>
              <w:tblStyle w:val="32"/>
              <w:tblW w:w="8635"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62"/>
              <w:gridCol w:w="975"/>
              <w:gridCol w:w="2544"/>
              <w:gridCol w:w="2028"/>
              <w:gridCol w:w="1613"/>
              <w:gridCol w:w="7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b/>
                      <w:color w:val="auto"/>
                      <w:sz w:val="21"/>
                      <w:szCs w:val="21"/>
                    </w:rPr>
                  </w:pPr>
                  <w:r>
                    <w:rPr>
                      <w:rFonts w:hint="eastAsia"/>
                      <w:b/>
                      <w:color w:val="auto"/>
                      <w:sz w:val="21"/>
                      <w:szCs w:val="21"/>
                    </w:rPr>
                    <w:t>序号</w:t>
                  </w:r>
                </w:p>
              </w:tc>
              <w:tc>
                <w:tcPr>
                  <w:tcW w:w="3519" w:type="dxa"/>
                  <w:gridSpan w:val="2"/>
                  <w:tcBorders>
                    <w:tl2br w:val="nil"/>
                    <w:tr2bl w:val="nil"/>
                  </w:tcBorders>
                  <w:vAlign w:val="center"/>
                </w:tcPr>
                <w:p>
                  <w:pPr>
                    <w:spacing w:line="240" w:lineRule="auto"/>
                    <w:jc w:val="center"/>
                    <w:rPr>
                      <w:b/>
                      <w:color w:val="auto"/>
                      <w:sz w:val="21"/>
                      <w:szCs w:val="21"/>
                    </w:rPr>
                  </w:pPr>
                  <w:r>
                    <w:rPr>
                      <w:rFonts w:hint="eastAsia"/>
                      <w:b/>
                      <w:color w:val="auto"/>
                      <w:sz w:val="21"/>
                      <w:szCs w:val="21"/>
                    </w:rPr>
                    <w:t>设备名称</w:t>
                  </w:r>
                </w:p>
              </w:tc>
              <w:tc>
                <w:tcPr>
                  <w:tcW w:w="2028" w:type="dxa"/>
                  <w:tcBorders>
                    <w:tl2br w:val="nil"/>
                    <w:tr2bl w:val="nil"/>
                  </w:tcBorders>
                  <w:noWrap/>
                  <w:tcMar>
                    <w:top w:w="15" w:type="dxa"/>
                    <w:left w:w="15" w:type="dxa"/>
                    <w:right w:w="15" w:type="dxa"/>
                  </w:tcMar>
                  <w:vAlign w:val="center"/>
                </w:tcPr>
                <w:p>
                  <w:pPr>
                    <w:spacing w:line="240" w:lineRule="auto"/>
                    <w:jc w:val="center"/>
                    <w:rPr>
                      <w:b/>
                      <w:color w:val="auto"/>
                      <w:sz w:val="21"/>
                      <w:szCs w:val="21"/>
                    </w:rPr>
                  </w:pPr>
                  <w:r>
                    <w:rPr>
                      <w:rFonts w:hint="eastAsia"/>
                      <w:b/>
                      <w:color w:val="auto"/>
                      <w:sz w:val="21"/>
                      <w:szCs w:val="21"/>
                    </w:rPr>
                    <w:t>规格型号</w:t>
                  </w:r>
                </w:p>
              </w:tc>
              <w:tc>
                <w:tcPr>
                  <w:tcW w:w="1613" w:type="dxa"/>
                  <w:tcBorders>
                    <w:tl2br w:val="nil"/>
                    <w:tr2bl w:val="nil"/>
                  </w:tcBorders>
                  <w:noWrap/>
                  <w:tcMar>
                    <w:top w:w="15" w:type="dxa"/>
                    <w:left w:w="15" w:type="dxa"/>
                    <w:right w:w="15" w:type="dxa"/>
                  </w:tcMar>
                  <w:vAlign w:val="center"/>
                </w:tcPr>
                <w:p>
                  <w:pPr>
                    <w:spacing w:line="240" w:lineRule="auto"/>
                    <w:jc w:val="center"/>
                    <w:rPr>
                      <w:b/>
                      <w:color w:val="auto"/>
                      <w:sz w:val="21"/>
                      <w:szCs w:val="21"/>
                    </w:rPr>
                  </w:pPr>
                  <w:r>
                    <w:rPr>
                      <w:rFonts w:hint="eastAsia"/>
                      <w:b/>
                      <w:color w:val="auto"/>
                      <w:sz w:val="21"/>
                      <w:szCs w:val="21"/>
                    </w:rPr>
                    <w:t>数量（套/台）</w:t>
                  </w:r>
                </w:p>
              </w:tc>
              <w:tc>
                <w:tcPr>
                  <w:tcW w:w="713" w:type="dxa"/>
                  <w:tcBorders>
                    <w:tl2br w:val="nil"/>
                    <w:tr2bl w:val="nil"/>
                  </w:tcBorders>
                  <w:vAlign w:val="center"/>
                </w:tcPr>
                <w:p>
                  <w:pPr>
                    <w:spacing w:line="240" w:lineRule="auto"/>
                    <w:jc w:val="center"/>
                    <w:rPr>
                      <w:b/>
                      <w:color w:val="auto"/>
                      <w:sz w:val="21"/>
                      <w:szCs w:val="21"/>
                    </w:rPr>
                  </w:pPr>
                  <w:r>
                    <w:rPr>
                      <w:rFonts w:hint="eastAsia"/>
                      <w:b/>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1</w:t>
                  </w:r>
                </w:p>
              </w:tc>
              <w:tc>
                <w:tcPr>
                  <w:tcW w:w="975" w:type="dxa"/>
                  <w:vMerge w:val="restart"/>
                  <w:tcBorders>
                    <w:tl2br w:val="nil"/>
                    <w:tr2bl w:val="nil"/>
                  </w:tcBorders>
                  <w:vAlign w:val="center"/>
                </w:tcPr>
                <w:p>
                  <w:pPr>
                    <w:adjustRightInd w:val="0"/>
                    <w:snapToGrid w:val="0"/>
                    <w:spacing w:line="240" w:lineRule="auto"/>
                    <w:jc w:val="center"/>
                    <w:rPr>
                      <w:rFonts w:hint="eastAsia"/>
                      <w:b/>
                      <w:color w:val="auto"/>
                      <w:sz w:val="21"/>
                      <w:szCs w:val="21"/>
                    </w:rPr>
                  </w:pPr>
                  <w:r>
                    <w:rPr>
                      <w:rFonts w:hint="eastAsia"/>
                      <w:color w:val="auto"/>
                      <w:sz w:val="21"/>
                      <w:szCs w:val="21"/>
                      <w:lang w:val="en-US" w:eastAsia="zh-CN"/>
                    </w:rPr>
                    <w:t>商品混凝土</w:t>
                  </w:r>
                  <w:r>
                    <w:rPr>
                      <w:rFonts w:hint="eastAsia"/>
                      <w:color w:val="auto"/>
                      <w:sz w:val="21"/>
                      <w:szCs w:val="21"/>
                    </w:rPr>
                    <w:t>搅拌站</w:t>
                  </w:r>
                </w:p>
              </w:tc>
              <w:tc>
                <w:tcPr>
                  <w:tcW w:w="2544"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搅拌机</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1"/>
                      <w:szCs w:val="21"/>
                      <w:highlight w:val="none"/>
                      <w:lang w:val="en-US" w:eastAsia="zh-CN"/>
                    </w:rPr>
                    <w:t>HZS120</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13" w:type="dxa"/>
                  <w:tcBorders>
                    <w:tl2br w:val="nil"/>
                    <w:tr2bl w:val="nil"/>
                  </w:tcBorders>
                  <w:vAlign w:val="center"/>
                </w:tcPr>
                <w:p>
                  <w:pPr>
                    <w:spacing w:line="240" w:lineRule="auto"/>
                    <w:jc w:val="center"/>
                    <w:rPr>
                      <w:rFonts w:hint="eastAsia"/>
                      <w:b/>
                      <w:color w:val="auto"/>
                      <w:sz w:val="21"/>
                      <w:szCs w:val="21"/>
                    </w:rPr>
                  </w:pP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2</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spacing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平皮带运输</w:t>
                  </w:r>
                  <w:r>
                    <w:rPr>
                      <w:rFonts w:ascii="Times New Roman" w:hAnsi="Times New Roman" w:cs="Times New Roman"/>
                      <w:color w:val="000000" w:themeColor="text1"/>
                      <w:sz w:val="21"/>
                      <w:szCs w:val="21"/>
                      <w14:textFill>
                        <w14:solidFill>
                          <w14:schemeClr w14:val="tx1"/>
                        </w14:solidFill>
                      </w14:textFill>
                    </w:rPr>
                    <w:t>机</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3</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spacing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斜皮带运</w:t>
                  </w:r>
                  <w:r>
                    <w:rPr>
                      <w:rFonts w:ascii="Times New Roman" w:hAnsi="Times New Roman" w:cs="Times New Roman"/>
                      <w:color w:val="000000" w:themeColor="text1"/>
                      <w:sz w:val="21"/>
                      <w:szCs w:val="21"/>
                      <w14:textFill>
                        <w14:solidFill>
                          <w14:schemeClr w14:val="tx1"/>
                        </w14:solidFill>
                      </w14:textFill>
                    </w:rPr>
                    <w:t>输机</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4</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spacing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搅</w:t>
                  </w:r>
                  <w:r>
                    <w:rPr>
                      <w:rFonts w:ascii="Times New Roman" w:hAnsi="Times New Roman" w:cs="Times New Roman"/>
                      <w:color w:val="000000" w:themeColor="text1"/>
                      <w:spacing w:val="-1"/>
                      <w:sz w:val="21"/>
                      <w:szCs w:val="21"/>
                      <w14:textFill>
                        <w14:solidFill>
                          <w14:schemeClr w14:val="tx1"/>
                        </w14:solidFill>
                      </w14:textFill>
                    </w:rPr>
                    <w:t>笼</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5</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pStyle w:val="57"/>
                    <w:spacing w:line="240" w:lineRule="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cs="Times New Roman"/>
                      <w:color w:val="000000" w:themeColor="text1"/>
                      <w:spacing w:val="-1"/>
                      <w:sz w:val="21"/>
                      <w:szCs w:val="21"/>
                      <w14:textFill>
                        <w14:solidFill>
                          <w14:schemeClr w14:val="tx1"/>
                        </w14:solidFill>
                      </w14:textFill>
                    </w:rPr>
                    <w:t>程控设备</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6</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spacing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提</w:t>
                  </w:r>
                  <w:r>
                    <w:rPr>
                      <w:rFonts w:ascii="Times New Roman" w:hAnsi="Times New Roman" w:cs="Times New Roman"/>
                      <w:color w:val="000000" w:themeColor="text1"/>
                      <w:spacing w:val="-1"/>
                      <w:sz w:val="21"/>
                      <w:szCs w:val="21"/>
                      <w14:textFill>
                        <w14:solidFill>
                          <w14:schemeClr w14:val="tx1"/>
                        </w14:solidFill>
                      </w14:textFill>
                    </w:rPr>
                    <w:t>升机</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default"/>
                      <w:b w:val="0"/>
                      <w:bCs/>
                      <w:color w:val="auto"/>
                      <w:sz w:val="21"/>
                      <w:szCs w:val="21"/>
                      <w:lang w:val="en-US" w:eastAsia="zh-CN"/>
                    </w:rPr>
                  </w:pPr>
                  <w:r>
                    <w:rPr>
                      <w:rFonts w:hint="eastAsia"/>
                      <w:b w:val="0"/>
                      <w:bCs/>
                      <w:color w:val="auto"/>
                      <w:sz w:val="21"/>
                      <w:szCs w:val="21"/>
                      <w:lang w:val="en-US" w:eastAsia="zh-CN"/>
                    </w:rPr>
                    <w:t>7</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spacing w:line="240" w:lineRule="auto"/>
                    <w:jc w:val="center"/>
                    <w:textAlignment w:val="center"/>
                    <w:rPr>
                      <w:rFonts w:ascii="Times New Roman" w:hAnsi="Times New Roman" w:cs="Times New Roman"/>
                      <w:color w:val="000000" w:themeColor="text1"/>
                      <w:spacing w:val="-2"/>
                      <w:sz w:val="21"/>
                      <w:szCs w:val="21"/>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水泥</w:t>
                  </w:r>
                  <w:r>
                    <w:rPr>
                      <w:rFonts w:hint="eastAsia"/>
                      <w:sz w:val="21"/>
                      <w:szCs w:val="21"/>
                      <w:highlight w:val="none"/>
                      <w:lang w:val="en-US" w:eastAsia="zh-CN"/>
                    </w:rPr>
                    <w:t>卧</w:t>
                  </w:r>
                  <w:r>
                    <w:rPr>
                      <w:rFonts w:ascii="Times New Roman" w:hAnsi="Times New Roman" w:cs="Times New Roman"/>
                      <w:color w:val="000000" w:themeColor="text1"/>
                      <w:spacing w:val="-1"/>
                      <w:sz w:val="21"/>
                      <w:szCs w:val="21"/>
                      <w:highlight w:val="none"/>
                      <w14:textFill>
                        <w14:solidFill>
                          <w14:schemeClr w14:val="tx1"/>
                        </w14:solidFill>
                      </w14:textFill>
                    </w:rPr>
                    <w:t>仓</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100t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default"/>
                      <w:b w:val="0"/>
                      <w:bCs/>
                      <w:color w:val="auto"/>
                      <w:sz w:val="21"/>
                      <w:szCs w:val="21"/>
                      <w:lang w:val="en-US" w:eastAsia="zh-CN"/>
                    </w:rPr>
                  </w:pPr>
                  <w:r>
                    <w:rPr>
                      <w:rFonts w:hint="eastAsia"/>
                      <w:b w:val="0"/>
                      <w:bCs/>
                      <w:color w:val="auto"/>
                      <w:sz w:val="21"/>
                      <w:szCs w:val="21"/>
                      <w:lang w:val="en-US" w:eastAsia="zh-CN"/>
                    </w:rPr>
                    <w:t>8</w:t>
                  </w:r>
                </w:p>
              </w:tc>
              <w:tc>
                <w:tcPr>
                  <w:tcW w:w="975" w:type="dxa"/>
                  <w:vMerge w:val="continue"/>
                  <w:tcBorders>
                    <w:tl2br w:val="nil"/>
                    <w:tr2bl w:val="nil"/>
                  </w:tcBorders>
                  <w:vAlign w:val="center"/>
                </w:tcPr>
                <w:p>
                  <w:pPr>
                    <w:spacing w:line="240" w:lineRule="auto"/>
                    <w:jc w:val="center"/>
                    <w:rPr>
                      <w:rFonts w:hint="eastAsia"/>
                      <w:b/>
                      <w:color w:val="auto"/>
                      <w:sz w:val="21"/>
                      <w:szCs w:val="21"/>
                    </w:rPr>
                  </w:pPr>
                </w:p>
              </w:tc>
              <w:tc>
                <w:tcPr>
                  <w:tcW w:w="2544" w:type="dxa"/>
                  <w:tcBorders>
                    <w:tl2br w:val="nil"/>
                    <w:tr2bl w:val="nil"/>
                  </w:tcBorders>
                  <w:shd w:val="clear" w:color="auto" w:fill="auto"/>
                  <w:vAlign w:val="top"/>
                </w:tcPr>
                <w:p>
                  <w:pPr>
                    <w:spacing w:line="240" w:lineRule="auto"/>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粉煤灰筒仓</w:t>
                  </w:r>
                  <w:r>
                    <w:rPr>
                      <w:rFonts w:ascii="Times New Roman" w:hAnsi="Times New Roman" w:cs="Times New Roman"/>
                      <w:color w:val="000000" w:themeColor="text1"/>
                      <w:sz w:val="21"/>
                      <w:szCs w:val="21"/>
                      <w14:textFill>
                        <w14:solidFill>
                          <w14:schemeClr w14:val="tx1"/>
                        </w14:solidFill>
                      </w14:textFill>
                    </w:rPr>
                    <w:t xml:space="preserve"> </w:t>
                  </w:r>
                </w:p>
              </w:tc>
              <w:tc>
                <w:tcPr>
                  <w:tcW w:w="2028"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30t</w:t>
                  </w:r>
                </w:p>
              </w:tc>
              <w:tc>
                <w:tcPr>
                  <w:tcW w:w="1613" w:type="dxa"/>
                  <w:tcBorders>
                    <w:tl2br w:val="nil"/>
                    <w:tr2bl w:val="nil"/>
                  </w:tcBorders>
                  <w:shd w:val="clear" w:color="auto" w:fill="auto"/>
                  <w:noWrap/>
                  <w:tcMar>
                    <w:top w:w="15" w:type="dxa"/>
                    <w:left w:w="15" w:type="dxa"/>
                    <w:right w:w="15" w:type="dxa"/>
                  </w:tcMar>
                  <w:vAlign w:val="top"/>
                </w:tcPr>
                <w:p>
                  <w:pPr>
                    <w:adjustRightInd w:val="0"/>
                    <w:snapToGrid w:val="0"/>
                    <w:spacing w:line="240" w:lineRule="auto"/>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eastAsia" w:eastAsia="宋体"/>
                      <w:color w:val="auto"/>
                      <w:sz w:val="21"/>
                      <w:szCs w:val="21"/>
                      <w:lang w:eastAsia="zh-CN"/>
                    </w:rPr>
                  </w:pPr>
                  <w:r>
                    <w:rPr>
                      <w:rFonts w:hint="eastAsia"/>
                      <w:color w:val="auto"/>
                      <w:sz w:val="21"/>
                      <w:szCs w:val="21"/>
                      <w:lang w:val="en-US" w:eastAsia="zh-CN"/>
                    </w:rPr>
                    <w:t>9</w:t>
                  </w:r>
                </w:p>
              </w:tc>
              <w:tc>
                <w:tcPr>
                  <w:tcW w:w="975" w:type="dxa"/>
                  <w:vMerge w:val="restart"/>
                  <w:tcBorders>
                    <w:tl2br w:val="nil"/>
                    <w:tr2bl w:val="nil"/>
                  </w:tcBorders>
                  <w:vAlign w:val="center"/>
                </w:tcPr>
                <w:p>
                  <w:pPr>
                    <w:widowControl/>
                    <w:spacing w:line="240" w:lineRule="auto"/>
                    <w:jc w:val="center"/>
                    <w:textAlignment w:val="center"/>
                    <w:rPr>
                      <w:color w:val="auto"/>
                      <w:sz w:val="21"/>
                      <w:szCs w:val="21"/>
                    </w:rPr>
                  </w:pPr>
                  <w:r>
                    <w:rPr>
                      <w:rFonts w:hint="eastAsia"/>
                      <w:color w:val="auto"/>
                      <w:sz w:val="21"/>
                      <w:szCs w:val="21"/>
                      <w:lang w:val="en-US" w:eastAsia="zh-CN"/>
                    </w:rPr>
                    <w:t>水泥稳定碎石</w:t>
                  </w:r>
                  <w:r>
                    <w:rPr>
                      <w:rFonts w:hint="eastAsia"/>
                      <w:color w:val="auto"/>
                      <w:sz w:val="21"/>
                      <w:szCs w:val="21"/>
                    </w:rPr>
                    <w:t>搅拌站</w:t>
                  </w:r>
                </w:p>
              </w:tc>
              <w:tc>
                <w:tcPr>
                  <w:tcW w:w="2544"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水稳拌和机</w:t>
                  </w:r>
                </w:p>
              </w:tc>
              <w:tc>
                <w:tcPr>
                  <w:tcW w:w="2028"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W</w:t>
                  </w:r>
                  <w:r>
                    <w:rPr>
                      <w:rFonts w:hint="eastAsia"/>
                      <w:color w:val="auto"/>
                      <w:sz w:val="21"/>
                      <w:szCs w:val="21"/>
                      <w:lang w:val="en-US" w:eastAsia="zh-CN"/>
                    </w:rPr>
                    <w:t>C</w:t>
                  </w:r>
                  <w:r>
                    <w:rPr>
                      <w:rFonts w:hint="eastAsia"/>
                      <w:color w:val="auto"/>
                      <w:sz w:val="21"/>
                      <w:szCs w:val="21"/>
                    </w:rPr>
                    <w:t>Z</w:t>
                  </w:r>
                  <w:r>
                    <w:rPr>
                      <w:rFonts w:hint="eastAsia"/>
                      <w:color w:val="auto"/>
                      <w:sz w:val="21"/>
                      <w:szCs w:val="21"/>
                      <w:lang w:val="en-US" w:eastAsia="zh-CN"/>
                    </w:rPr>
                    <w:t>6</w:t>
                  </w:r>
                  <w:r>
                    <w:rPr>
                      <w:rFonts w:hint="eastAsia"/>
                      <w:color w:val="auto"/>
                      <w:sz w:val="21"/>
                      <w:szCs w:val="21"/>
                    </w:rPr>
                    <w:t>00</w:t>
                  </w:r>
                </w:p>
              </w:tc>
              <w:tc>
                <w:tcPr>
                  <w:tcW w:w="1613"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10</w:t>
                  </w:r>
                </w:p>
              </w:tc>
              <w:tc>
                <w:tcPr>
                  <w:tcW w:w="975" w:type="dxa"/>
                  <w:vMerge w:val="continue"/>
                  <w:tcBorders>
                    <w:tl2br w:val="nil"/>
                    <w:tr2bl w:val="nil"/>
                  </w:tcBorders>
                  <w:vAlign w:val="center"/>
                </w:tcPr>
                <w:p>
                  <w:pPr>
                    <w:widowControl/>
                    <w:spacing w:line="240" w:lineRule="auto"/>
                    <w:jc w:val="center"/>
                    <w:textAlignment w:val="center"/>
                    <w:rPr>
                      <w:color w:val="auto"/>
                      <w:sz w:val="21"/>
                      <w:szCs w:val="21"/>
                    </w:rPr>
                  </w:pPr>
                </w:p>
              </w:tc>
              <w:tc>
                <w:tcPr>
                  <w:tcW w:w="2544"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水平皮带输送机</w:t>
                  </w:r>
                </w:p>
              </w:tc>
              <w:tc>
                <w:tcPr>
                  <w:tcW w:w="2028"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c>
                <w:tcPr>
                  <w:tcW w:w="1613"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11</w:t>
                  </w:r>
                </w:p>
              </w:tc>
              <w:tc>
                <w:tcPr>
                  <w:tcW w:w="975" w:type="dxa"/>
                  <w:vMerge w:val="continue"/>
                  <w:tcBorders>
                    <w:tl2br w:val="nil"/>
                    <w:tr2bl w:val="nil"/>
                  </w:tcBorders>
                  <w:vAlign w:val="center"/>
                </w:tcPr>
                <w:p>
                  <w:pPr>
                    <w:widowControl/>
                    <w:spacing w:line="240" w:lineRule="auto"/>
                    <w:jc w:val="center"/>
                    <w:textAlignment w:val="center"/>
                    <w:rPr>
                      <w:color w:val="auto"/>
                      <w:sz w:val="21"/>
                      <w:szCs w:val="21"/>
                    </w:rPr>
                  </w:pPr>
                </w:p>
              </w:tc>
              <w:tc>
                <w:tcPr>
                  <w:tcW w:w="2544"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斜皮带输送机</w:t>
                  </w:r>
                </w:p>
              </w:tc>
              <w:tc>
                <w:tcPr>
                  <w:tcW w:w="2028"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c>
                <w:tcPr>
                  <w:tcW w:w="1613"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exact"/>
                <w:jc w:val="center"/>
              </w:trPr>
              <w:tc>
                <w:tcPr>
                  <w:tcW w:w="762"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12</w:t>
                  </w:r>
                </w:p>
              </w:tc>
              <w:tc>
                <w:tcPr>
                  <w:tcW w:w="975" w:type="dxa"/>
                  <w:vMerge w:val="continue"/>
                  <w:tcBorders>
                    <w:tl2br w:val="nil"/>
                    <w:tr2bl w:val="nil"/>
                  </w:tcBorders>
                  <w:vAlign w:val="center"/>
                </w:tcPr>
                <w:p>
                  <w:pPr>
                    <w:widowControl/>
                    <w:spacing w:line="240" w:lineRule="auto"/>
                    <w:jc w:val="center"/>
                    <w:textAlignment w:val="center"/>
                    <w:rPr>
                      <w:color w:val="auto"/>
                      <w:sz w:val="21"/>
                      <w:szCs w:val="21"/>
                    </w:rPr>
                  </w:pPr>
                </w:p>
              </w:tc>
              <w:tc>
                <w:tcPr>
                  <w:tcW w:w="2544"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加压泵</w:t>
                  </w:r>
                </w:p>
              </w:tc>
              <w:tc>
                <w:tcPr>
                  <w:tcW w:w="2028"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w:t>
                  </w:r>
                </w:p>
              </w:tc>
              <w:tc>
                <w:tcPr>
                  <w:tcW w:w="1613"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3" w:hRule="exact"/>
                <w:jc w:val="center"/>
              </w:trPr>
              <w:tc>
                <w:tcPr>
                  <w:tcW w:w="762"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13</w:t>
                  </w:r>
                </w:p>
              </w:tc>
              <w:tc>
                <w:tcPr>
                  <w:tcW w:w="975" w:type="dxa"/>
                  <w:vMerge w:val="continue"/>
                  <w:tcBorders>
                    <w:tl2br w:val="nil"/>
                    <w:tr2bl w:val="nil"/>
                  </w:tcBorders>
                  <w:vAlign w:val="center"/>
                </w:tcPr>
                <w:p>
                  <w:pPr>
                    <w:widowControl/>
                    <w:spacing w:line="240" w:lineRule="auto"/>
                    <w:jc w:val="center"/>
                    <w:textAlignment w:val="center"/>
                    <w:rPr>
                      <w:color w:val="auto"/>
                      <w:sz w:val="21"/>
                      <w:szCs w:val="21"/>
                    </w:rPr>
                  </w:pPr>
                </w:p>
              </w:tc>
              <w:tc>
                <w:tcPr>
                  <w:tcW w:w="2544"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粉料计量及除尘系统</w:t>
                  </w:r>
                </w:p>
              </w:tc>
              <w:tc>
                <w:tcPr>
                  <w:tcW w:w="2028" w:type="dxa"/>
                  <w:tcBorders>
                    <w:tl2br w:val="nil"/>
                    <w:tr2bl w:val="nil"/>
                  </w:tcBorders>
                  <w:noWrap/>
                  <w:tcMar>
                    <w:top w:w="15" w:type="dxa"/>
                    <w:left w:w="15" w:type="dxa"/>
                    <w:right w:w="15" w:type="dxa"/>
                  </w:tcMar>
                  <w:vAlign w:val="center"/>
                </w:tcPr>
                <w:p>
                  <w:pPr>
                    <w:widowControl/>
                    <w:spacing w:line="240" w:lineRule="auto"/>
                    <w:jc w:val="center"/>
                    <w:textAlignment w:val="center"/>
                    <w:rPr>
                      <w:rFonts w:hint="eastAsia" w:eastAsia="宋体"/>
                      <w:color w:val="auto"/>
                      <w:sz w:val="21"/>
                      <w:szCs w:val="21"/>
                      <w:lang w:eastAsia="zh-CN"/>
                    </w:rPr>
                  </w:pPr>
                  <w:r>
                    <w:rPr>
                      <w:rFonts w:hint="eastAsia"/>
                      <w:color w:val="auto"/>
                      <w:sz w:val="21"/>
                      <w:szCs w:val="21"/>
                      <w:lang w:val="en-US" w:eastAsia="zh-CN"/>
                    </w:rPr>
                    <w:t>/</w:t>
                  </w:r>
                </w:p>
              </w:tc>
              <w:tc>
                <w:tcPr>
                  <w:tcW w:w="1613" w:type="dxa"/>
                  <w:tcBorders>
                    <w:tl2br w:val="nil"/>
                    <w:tr2bl w:val="nil"/>
                  </w:tcBorders>
                  <w:noWrap/>
                  <w:tcMar>
                    <w:top w:w="15" w:type="dxa"/>
                    <w:left w:w="15" w:type="dxa"/>
                    <w:right w:w="15" w:type="dxa"/>
                  </w:tcMar>
                  <w:vAlign w:val="center"/>
                </w:tcPr>
                <w:p>
                  <w:pPr>
                    <w:widowControl/>
                    <w:spacing w:line="240" w:lineRule="auto"/>
                    <w:jc w:val="center"/>
                    <w:textAlignment w:val="center"/>
                    <w:rPr>
                      <w:color w:val="auto"/>
                      <w:sz w:val="21"/>
                      <w:szCs w:val="21"/>
                    </w:rPr>
                  </w:pPr>
                  <w:r>
                    <w:rPr>
                      <w:rFonts w:hint="eastAsia"/>
                      <w:color w:val="auto"/>
                      <w:sz w:val="21"/>
                      <w:szCs w:val="21"/>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3" w:hRule="exact"/>
                <w:jc w:val="center"/>
              </w:trPr>
              <w:tc>
                <w:tcPr>
                  <w:tcW w:w="762"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14</w:t>
                  </w:r>
                </w:p>
              </w:tc>
              <w:tc>
                <w:tcPr>
                  <w:tcW w:w="975" w:type="dxa"/>
                  <w:vMerge w:val="continue"/>
                  <w:tcBorders>
                    <w:tl2br w:val="nil"/>
                    <w:tr2bl w:val="nil"/>
                  </w:tcBorders>
                  <w:vAlign w:val="center"/>
                </w:tcPr>
                <w:p>
                  <w:pPr>
                    <w:widowControl/>
                    <w:spacing w:line="240" w:lineRule="auto"/>
                    <w:jc w:val="center"/>
                    <w:textAlignment w:val="center"/>
                    <w:rPr>
                      <w:color w:val="auto"/>
                      <w:sz w:val="21"/>
                      <w:szCs w:val="21"/>
                    </w:rPr>
                  </w:pPr>
                </w:p>
              </w:tc>
              <w:tc>
                <w:tcPr>
                  <w:tcW w:w="2544"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color w:val="auto"/>
                      <w:sz w:val="21"/>
                      <w:szCs w:val="21"/>
                      <w:highlight w:val="none"/>
                    </w:rPr>
                    <w:t>水泥筒仓</w:t>
                  </w:r>
                </w:p>
              </w:tc>
              <w:tc>
                <w:tcPr>
                  <w:tcW w:w="2028"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default"/>
                      <w:color w:val="auto"/>
                      <w:sz w:val="21"/>
                      <w:szCs w:val="21"/>
                      <w:lang w:val="en-US" w:eastAsia="zh-CN"/>
                    </w:rPr>
                  </w:pPr>
                  <w:r>
                    <w:rPr>
                      <w:rFonts w:hint="eastAsia"/>
                      <w:color w:val="auto"/>
                      <w:sz w:val="21"/>
                      <w:szCs w:val="21"/>
                      <w:lang w:val="en-US" w:eastAsia="zh-CN"/>
                    </w:rPr>
                    <w:t>100t</w:t>
                  </w:r>
                </w:p>
              </w:tc>
              <w:tc>
                <w:tcPr>
                  <w:tcW w:w="1613" w:type="dxa"/>
                  <w:tcBorders>
                    <w:tl2br w:val="nil"/>
                    <w:tr2bl w:val="nil"/>
                  </w:tcBorders>
                  <w:shd w:val="clear" w:color="auto" w:fill="auto"/>
                  <w:noWrap/>
                  <w:tcMar>
                    <w:top w:w="15" w:type="dxa"/>
                    <w:left w:w="15" w:type="dxa"/>
                    <w:right w:w="15" w:type="dxa"/>
                  </w:tcMar>
                  <w:vAlign w:val="center"/>
                </w:tcPr>
                <w:p>
                  <w:pPr>
                    <w:widowControl/>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13" w:type="dxa"/>
                  <w:tcBorders>
                    <w:tl2br w:val="nil"/>
                    <w:tr2bl w:val="nil"/>
                  </w:tcBorders>
                  <w:shd w:val="clear" w:color="auto" w:fill="auto"/>
                  <w:vAlign w:val="top"/>
                </w:tcPr>
                <w:p>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个</w:t>
                  </w:r>
                </w:p>
              </w:tc>
            </w:tr>
          </w:tbl>
          <w:p>
            <w:pPr>
              <w:pStyle w:val="54"/>
              <w:numPr>
                <w:ilvl w:val="0"/>
                <w:numId w:val="5"/>
              </w:numPr>
              <w:ind w:firstLine="482"/>
              <w:rPr>
                <w:b/>
                <w:bCs/>
                <w:color w:val="auto"/>
              </w:rPr>
            </w:pPr>
            <w:r>
              <w:rPr>
                <w:rFonts w:hAnsi="宋体" w:cs="宋体"/>
                <w:b/>
                <w:bCs/>
                <w:color w:val="auto"/>
                <w:lang w:bidi="ar"/>
              </w:rPr>
              <w:t>产品方案及生产规模</w:t>
            </w:r>
          </w:p>
          <w:p>
            <w:pPr>
              <w:pStyle w:val="54"/>
              <w:ind w:firstLine="480"/>
              <w:rPr>
                <w:rFonts w:hAnsi="宋体" w:cs="宋体"/>
                <w:color w:val="auto"/>
                <w:lang w:bidi="ar"/>
              </w:rPr>
            </w:pPr>
            <w:r>
              <w:rPr>
                <w:rFonts w:hAnsi="宋体" w:cs="宋体"/>
                <w:color w:val="auto"/>
                <w:lang w:bidi="ar"/>
              </w:rPr>
              <w:t>本项目</w:t>
            </w:r>
            <w:r>
              <w:rPr>
                <w:rFonts w:hint="eastAsia" w:hAnsi="宋体" w:cs="宋体"/>
                <w:color w:val="auto"/>
                <w:lang w:val="en-US" w:eastAsia="zh-CN" w:bidi="ar"/>
              </w:rPr>
              <w:t>扩建工程</w:t>
            </w:r>
            <w:r>
              <w:rPr>
                <w:rFonts w:hint="eastAsia" w:hAnsi="宋体" w:cs="宋体"/>
                <w:color w:val="auto"/>
                <w:lang w:bidi="ar"/>
              </w:rPr>
              <w:t>主要</w:t>
            </w:r>
            <w:r>
              <w:rPr>
                <w:rFonts w:hint="eastAsia" w:hAnsi="宋体" w:cs="宋体"/>
                <w:color w:val="auto"/>
                <w:sz w:val="24"/>
                <w:szCs w:val="24"/>
                <w:lang w:bidi="ar"/>
              </w:rPr>
              <w:t>生产</w:t>
            </w:r>
            <w:r>
              <w:rPr>
                <w:rFonts w:hint="eastAsia"/>
                <w:color w:val="auto"/>
                <w:sz w:val="24"/>
                <w:szCs w:val="24"/>
                <w:lang w:val="en-US" w:eastAsia="zh-CN"/>
              </w:rPr>
              <w:t>商品混凝土和</w:t>
            </w:r>
            <w:r>
              <w:rPr>
                <w:rFonts w:hint="eastAsia" w:hAnsi="宋体" w:cs="宋体"/>
                <w:color w:val="auto"/>
                <w:sz w:val="24"/>
                <w:szCs w:val="24"/>
                <w:lang w:bidi="ar"/>
              </w:rPr>
              <w:t>水泥稳定碎石</w:t>
            </w:r>
            <w:r>
              <w:rPr>
                <w:rFonts w:hint="eastAsia" w:hAnsi="宋体" w:cs="宋体"/>
                <w:color w:val="auto"/>
                <w:lang w:bidi="ar"/>
              </w:rPr>
              <w:t>，本项目建成后，</w:t>
            </w:r>
            <w:r>
              <w:rPr>
                <w:rFonts w:hint="eastAsia" w:hAnsi="宋体" w:cs="宋体"/>
                <w:color w:val="auto"/>
                <w:lang w:val="en-US" w:eastAsia="zh-CN" w:bidi="ar"/>
              </w:rPr>
              <w:t>新增</w:t>
            </w:r>
            <w:r>
              <w:rPr>
                <w:rFonts w:hint="eastAsia" w:hAnsi="宋体" w:cs="宋体"/>
                <w:color w:val="auto"/>
                <w:lang w:bidi="ar"/>
              </w:rPr>
              <w:t>年产</w:t>
            </w:r>
            <w:r>
              <w:rPr>
                <w:rFonts w:hint="eastAsia" w:hAnsi="宋体" w:cs="宋体"/>
                <w:color w:val="auto"/>
                <w:vertAlign w:val="baseline"/>
                <w:lang w:val="en-US" w:eastAsia="zh-CN" w:bidi="ar"/>
              </w:rPr>
              <w:t>商品混凝土1万</w:t>
            </w:r>
            <w:r>
              <w:rPr>
                <w:rFonts w:hint="eastAsia" w:hAnsi="宋体" w:cs="宋体"/>
                <w:color w:val="auto"/>
                <w:lang w:bidi="ar"/>
              </w:rPr>
              <w:t>m</w:t>
            </w:r>
            <w:r>
              <w:rPr>
                <w:rFonts w:hint="eastAsia" w:hAnsi="宋体" w:cs="宋体"/>
                <w:color w:val="auto"/>
                <w:vertAlign w:val="superscript"/>
                <w:lang w:bidi="ar"/>
              </w:rPr>
              <w:t>3</w:t>
            </w:r>
            <w:r>
              <w:rPr>
                <w:rFonts w:hint="eastAsia" w:hAnsi="宋体" w:cs="宋体"/>
                <w:color w:val="auto"/>
                <w:vertAlign w:val="baseline"/>
                <w:lang w:eastAsia="zh-CN" w:bidi="ar"/>
              </w:rPr>
              <w:t>、</w:t>
            </w:r>
            <w:r>
              <w:rPr>
                <w:rFonts w:hint="eastAsia" w:hAnsi="宋体" w:cs="宋体"/>
                <w:color w:val="auto"/>
                <w:lang w:bidi="ar"/>
              </w:rPr>
              <w:t>水泥稳定碎石</w:t>
            </w:r>
            <w:r>
              <w:rPr>
                <w:rFonts w:hint="eastAsia" w:hAnsi="宋体" w:cs="宋体"/>
                <w:color w:val="auto"/>
                <w:lang w:val="en-US" w:eastAsia="zh-CN" w:bidi="ar"/>
              </w:rPr>
              <w:t>3</w:t>
            </w:r>
            <w:r>
              <w:rPr>
                <w:rFonts w:hint="eastAsia" w:hAnsi="宋体" w:cs="宋体"/>
                <w:color w:val="auto"/>
                <w:lang w:bidi="ar"/>
              </w:rPr>
              <w:t>万m</w:t>
            </w:r>
            <w:r>
              <w:rPr>
                <w:rFonts w:hint="eastAsia" w:hAnsi="宋体" w:cs="宋体"/>
                <w:color w:val="auto"/>
                <w:vertAlign w:val="superscript"/>
                <w:lang w:bidi="ar"/>
              </w:rPr>
              <w:t>3</w:t>
            </w:r>
            <w:r>
              <w:rPr>
                <w:rFonts w:hint="eastAsia" w:hAnsi="宋体" w:cs="宋体"/>
                <w:color w:val="auto"/>
                <w:lang w:bidi="ar"/>
              </w:rPr>
              <w:t>。本项目主要产品明细见下表。</w:t>
            </w:r>
          </w:p>
          <w:p>
            <w:pPr>
              <w:ind w:firstLine="482"/>
              <w:jc w:val="center"/>
              <w:rPr>
                <w:rFonts w:hAnsi="宋体" w:cs="宋体"/>
                <w:b/>
                <w:bCs/>
                <w:color w:val="auto"/>
                <w:sz w:val="21"/>
                <w:szCs w:val="21"/>
                <w:lang w:bidi="ar"/>
              </w:rPr>
            </w:pPr>
            <w:r>
              <w:rPr>
                <w:rFonts w:hint="eastAsia" w:hAnsi="宋体" w:cs="宋体"/>
                <w:b/>
                <w:bCs/>
                <w:color w:val="auto"/>
                <w:sz w:val="21"/>
                <w:szCs w:val="21"/>
                <w:lang w:bidi="ar"/>
              </w:rPr>
              <w:t>表2-</w:t>
            </w:r>
            <w:r>
              <w:rPr>
                <w:rFonts w:hint="eastAsia" w:hAnsi="宋体" w:cs="宋体"/>
                <w:b/>
                <w:bCs/>
                <w:color w:val="auto"/>
                <w:sz w:val="21"/>
                <w:szCs w:val="21"/>
                <w:lang w:val="en-US" w:eastAsia="zh-CN" w:bidi="ar"/>
              </w:rPr>
              <w:t>3</w:t>
            </w:r>
            <w:r>
              <w:rPr>
                <w:rFonts w:hint="eastAsia" w:hAnsi="宋体" w:cs="宋体"/>
                <w:b/>
                <w:bCs/>
                <w:color w:val="auto"/>
                <w:sz w:val="21"/>
                <w:szCs w:val="21"/>
                <w:lang w:bidi="ar"/>
              </w:rPr>
              <w:t xml:space="preserve">  本项目主要产品明细</w:t>
            </w:r>
          </w:p>
          <w:tbl>
            <w:tblPr>
              <w:tblStyle w:val="32"/>
              <w:tblW w:w="850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88"/>
              <w:gridCol w:w="1444"/>
              <w:gridCol w:w="723"/>
              <w:gridCol w:w="1062"/>
              <w:gridCol w:w="923"/>
              <w:gridCol w:w="2039"/>
              <w:gridCol w:w="17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588" w:type="dxa"/>
                  <w:vMerge w:val="restart"/>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序号</w:t>
                  </w:r>
                </w:p>
              </w:tc>
              <w:tc>
                <w:tcPr>
                  <w:tcW w:w="1444" w:type="dxa"/>
                  <w:vMerge w:val="restart"/>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产品名称</w:t>
                  </w:r>
                </w:p>
              </w:tc>
              <w:tc>
                <w:tcPr>
                  <w:tcW w:w="723" w:type="dxa"/>
                  <w:vMerge w:val="restart"/>
                  <w:noWrap/>
                  <w:tcMar>
                    <w:top w:w="15" w:type="dxa"/>
                    <w:left w:w="15" w:type="dxa"/>
                    <w:right w:w="15" w:type="dxa"/>
                  </w:tcMar>
                  <w:vAlign w:val="center"/>
                </w:tcPr>
                <w:p>
                  <w:pPr>
                    <w:spacing w:line="240" w:lineRule="auto"/>
                    <w:jc w:val="center"/>
                    <w:rPr>
                      <w:color w:val="auto"/>
                      <w:sz w:val="21"/>
                      <w:szCs w:val="21"/>
                      <w:highlight w:val="none"/>
                    </w:rPr>
                  </w:pPr>
                  <w:r>
                    <w:rPr>
                      <w:rFonts w:hint="eastAsia"/>
                      <w:color w:val="auto"/>
                      <w:sz w:val="21"/>
                      <w:szCs w:val="21"/>
                      <w:highlight w:val="none"/>
                    </w:rPr>
                    <w:t>型号</w:t>
                  </w:r>
                </w:p>
              </w:tc>
              <w:tc>
                <w:tcPr>
                  <w:tcW w:w="1985" w:type="dxa"/>
                  <w:gridSpan w:val="2"/>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生产规模</w:t>
                  </w:r>
                </w:p>
              </w:tc>
              <w:tc>
                <w:tcPr>
                  <w:tcW w:w="3764" w:type="dxa"/>
                  <w:gridSpan w:val="2"/>
                  <w:vMerge w:val="restart"/>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配比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588" w:type="dxa"/>
                  <w:vMerge w:val="continue"/>
                  <w:noWrap/>
                  <w:tcMar>
                    <w:top w:w="15" w:type="dxa"/>
                    <w:left w:w="15" w:type="dxa"/>
                    <w:right w:w="15" w:type="dxa"/>
                  </w:tcMar>
                  <w:vAlign w:val="center"/>
                </w:tcPr>
                <w:p>
                  <w:pPr>
                    <w:spacing w:line="240" w:lineRule="auto"/>
                    <w:jc w:val="center"/>
                    <w:rPr>
                      <w:color w:val="auto"/>
                      <w:sz w:val="21"/>
                      <w:szCs w:val="21"/>
                    </w:rPr>
                  </w:pPr>
                </w:p>
              </w:tc>
              <w:tc>
                <w:tcPr>
                  <w:tcW w:w="1444" w:type="dxa"/>
                  <w:vMerge w:val="continue"/>
                  <w:noWrap/>
                  <w:tcMar>
                    <w:top w:w="15" w:type="dxa"/>
                    <w:left w:w="15" w:type="dxa"/>
                    <w:right w:w="15" w:type="dxa"/>
                  </w:tcMar>
                  <w:vAlign w:val="center"/>
                </w:tcPr>
                <w:p>
                  <w:pPr>
                    <w:spacing w:line="240" w:lineRule="auto"/>
                    <w:jc w:val="center"/>
                    <w:rPr>
                      <w:color w:val="auto"/>
                      <w:sz w:val="21"/>
                      <w:szCs w:val="21"/>
                    </w:rPr>
                  </w:pPr>
                </w:p>
              </w:tc>
              <w:tc>
                <w:tcPr>
                  <w:tcW w:w="723" w:type="dxa"/>
                  <w:vMerge w:val="continue"/>
                  <w:noWrap/>
                  <w:tcMar>
                    <w:top w:w="15" w:type="dxa"/>
                    <w:left w:w="15" w:type="dxa"/>
                    <w:right w:w="15" w:type="dxa"/>
                  </w:tcMar>
                  <w:vAlign w:val="center"/>
                </w:tcPr>
                <w:p>
                  <w:pPr>
                    <w:spacing w:line="240" w:lineRule="auto"/>
                    <w:jc w:val="center"/>
                    <w:rPr>
                      <w:color w:val="auto"/>
                      <w:sz w:val="21"/>
                      <w:szCs w:val="21"/>
                      <w:highlight w:val="none"/>
                    </w:rPr>
                  </w:pPr>
                </w:p>
              </w:tc>
              <w:tc>
                <w:tcPr>
                  <w:tcW w:w="1062" w:type="dxa"/>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lang w:val="en-US" w:eastAsia="zh-CN"/>
                    </w:rPr>
                    <w:t>万</w:t>
                  </w:r>
                  <w:r>
                    <w:rPr>
                      <w:rFonts w:hint="eastAsia"/>
                      <w:color w:val="auto"/>
                      <w:sz w:val="21"/>
                      <w:szCs w:val="21"/>
                    </w:rPr>
                    <w:t>m</w:t>
                  </w:r>
                  <w:r>
                    <w:rPr>
                      <w:rFonts w:hint="eastAsia"/>
                      <w:color w:val="auto"/>
                      <w:sz w:val="21"/>
                      <w:szCs w:val="21"/>
                      <w:vertAlign w:val="superscript"/>
                    </w:rPr>
                    <w:t>3</w:t>
                  </w:r>
                  <w:r>
                    <w:rPr>
                      <w:rFonts w:hint="eastAsia"/>
                      <w:color w:val="auto"/>
                      <w:sz w:val="21"/>
                      <w:szCs w:val="21"/>
                    </w:rPr>
                    <w:t>/a</w:t>
                  </w:r>
                </w:p>
              </w:tc>
              <w:tc>
                <w:tcPr>
                  <w:tcW w:w="923" w:type="dxa"/>
                  <w:vAlign w:val="center"/>
                </w:tcPr>
                <w:p>
                  <w:pPr>
                    <w:spacing w:line="240" w:lineRule="auto"/>
                    <w:jc w:val="center"/>
                    <w:rPr>
                      <w:color w:val="auto"/>
                      <w:sz w:val="21"/>
                      <w:szCs w:val="21"/>
                    </w:rPr>
                  </w:pPr>
                  <w:r>
                    <w:rPr>
                      <w:rFonts w:hint="eastAsia"/>
                      <w:color w:val="auto"/>
                      <w:sz w:val="21"/>
                      <w:szCs w:val="21"/>
                      <w:lang w:val="en-US" w:eastAsia="zh-CN"/>
                    </w:rPr>
                    <w:t>万</w:t>
                  </w:r>
                  <w:r>
                    <w:rPr>
                      <w:rFonts w:hint="eastAsia"/>
                      <w:color w:val="auto"/>
                      <w:sz w:val="21"/>
                      <w:szCs w:val="21"/>
                    </w:rPr>
                    <w:t>t/a</w:t>
                  </w:r>
                </w:p>
              </w:tc>
              <w:tc>
                <w:tcPr>
                  <w:tcW w:w="3764" w:type="dxa"/>
                  <w:gridSpan w:val="2"/>
                  <w:vMerge w:val="continue"/>
                  <w:noWrap/>
                  <w:tcMar>
                    <w:top w:w="15" w:type="dxa"/>
                    <w:left w:w="15" w:type="dxa"/>
                    <w:right w:w="15" w:type="dxa"/>
                  </w:tcMar>
                  <w:vAlign w:val="center"/>
                </w:tcPr>
                <w:p>
                  <w:pPr>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588" w:type="dxa"/>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1</w:t>
                  </w:r>
                </w:p>
              </w:tc>
              <w:tc>
                <w:tcPr>
                  <w:tcW w:w="1444" w:type="dxa"/>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水泥稳定碎石</w:t>
                  </w:r>
                </w:p>
              </w:tc>
              <w:tc>
                <w:tcPr>
                  <w:tcW w:w="723" w:type="dxa"/>
                  <w:noWrap/>
                  <w:tcMar>
                    <w:top w:w="15" w:type="dxa"/>
                    <w:left w:w="15" w:type="dxa"/>
                    <w:right w:w="15" w:type="dxa"/>
                  </w:tcMar>
                  <w:vAlign w:val="center"/>
                </w:tcPr>
                <w:p>
                  <w:pPr>
                    <w:spacing w:line="240" w:lineRule="auto"/>
                    <w:jc w:val="center"/>
                    <w:rPr>
                      <w:color w:val="auto"/>
                      <w:sz w:val="21"/>
                      <w:szCs w:val="21"/>
                      <w:highlight w:val="none"/>
                    </w:rPr>
                  </w:pPr>
                  <w:r>
                    <w:rPr>
                      <w:rFonts w:hint="eastAsia"/>
                      <w:color w:val="auto"/>
                      <w:sz w:val="21"/>
                      <w:szCs w:val="21"/>
                      <w:highlight w:val="none"/>
                    </w:rPr>
                    <w:t>6.1%</w:t>
                  </w:r>
                </w:p>
              </w:tc>
              <w:tc>
                <w:tcPr>
                  <w:tcW w:w="1062" w:type="dxa"/>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lang w:val="en-US" w:eastAsia="zh-CN"/>
                    </w:rPr>
                    <w:t>3</w:t>
                  </w:r>
                </w:p>
              </w:tc>
              <w:tc>
                <w:tcPr>
                  <w:tcW w:w="923"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3.6</w:t>
                  </w:r>
                </w:p>
              </w:tc>
              <w:tc>
                <w:tcPr>
                  <w:tcW w:w="2039" w:type="dxa"/>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水：水泥：砂：石</w:t>
                  </w:r>
                </w:p>
              </w:tc>
              <w:tc>
                <w:tcPr>
                  <w:tcW w:w="1725" w:type="dxa"/>
                  <w:noWrap/>
                  <w:tcMar>
                    <w:top w:w="15" w:type="dxa"/>
                    <w:left w:w="15" w:type="dxa"/>
                    <w:right w:w="15" w:type="dxa"/>
                  </w:tcMar>
                  <w:vAlign w:val="center"/>
                </w:tcPr>
                <w:p>
                  <w:pPr>
                    <w:spacing w:line="240" w:lineRule="auto"/>
                    <w:jc w:val="center"/>
                    <w:rPr>
                      <w:color w:val="auto"/>
                      <w:sz w:val="21"/>
                      <w:szCs w:val="21"/>
                    </w:rPr>
                  </w:pPr>
                  <w:r>
                    <w:rPr>
                      <w:rFonts w:hint="eastAsia"/>
                      <w:color w:val="auto"/>
                      <w:sz w:val="21"/>
                      <w:szCs w:val="21"/>
                    </w:rPr>
                    <w:t>30：5：15：50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588" w:type="dxa"/>
                  <w:noWrap/>
                  <w:tcMar>
                    <w:top w:w="15" w:type="dxa"/>
                    <w:left w:w="15" w:type="dxa"/>
                    <w:right w:w="15" w:type="dxa"/>
                  </w:tcMar>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2</w:t>
                  </w:r>
                </w:p>
              </w:tc>
              <w:tc>
                <w:tcPr>
                  <w:tcW w:w="1444" w:type="dxa"/>
                  <w:noWrap/>
                  <w:tcMar>
                    <w:top w:w="15" w:type="dxa"/>
                    <w:left w:w="15" w:type="dxa"/>
                    <w:right w:w="15" w:type="dxa"/>
                  </w:tcMar>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商品混凝土</w:t>
                  </w:r>
                </w:p>
              </w:tc>
              <w:tc>
                <w:tcPr>
                  <w:tcW w:w="723" w:type="dxa"/>
                  <w:noWrap/>
                  <w:tcMar>
                    <w:top w:w="15" w:type="dxa"/>
                    <w:left w:w="15" w:type="dxa"/>
                    <w:right w:w="15" w:type="dxa"/>
                  </w:tcMar>
                  <w:vAlign w:val="center"/>
                </w:tcPr>
                <w:p>
                  <w:pPr>
                    <w:widowControl/>
                    <w:jc w:val="center"/>
                    <w:textAlignment w:val="center"/>
                    <w:rPr>
                      <w:rFonts w:hint="eastAsia"/>
                      <w:color w:val="auto"/>
                      <w:sz w:val="21"/>
                      <w:szCs w:val="21"/>
                      <w:highlight w:val="none"/>
                    </w:rPr>
                  </w:pPr>
                  <w:r>
                    <w:rPr>
                      <w:rFonts w:hint="default" w:ascii="Times New Roman" w:hAnsi="Times New Roman" w:eastAsia="宋体" w:cs="Times New Roman"/>
                      <w:color w:val="auto"/>
                      <w:sz w:val="21"/>
                      <w:szCs w:val="21"/>
                      <w:highlight w:val="none"/>
                      <w:lang w:val="en-US" w:eastAsia="zh-CN"/>
                    </w:rPr>
                    <w:t>C30</w:t>
                  </w:r>
                </w:p>
              </w:tc>
              <w:tc>
                <w:tcPr>
                  <w:tcW w:w="1062" w:type="dxa"/>
                  <w:noWrap/>
                  <w:tcMar>
                    <w:top w:w="15" w:type="dxa"/>
                    <w:left w:w="15" w:type="dxa"/>
                    <w:right w:w="15" w:type="dxa"/>
                  </w:tcMar>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1</w:t>
                  </w:r>
                </w:p>
              </w:tc>
              <w:tc>
                <w:tcPr>
                  <w:tcW w:w="923" w:type="dxa"/>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1.2</w:t>
                  </w:r>
                </w:p>
              </w:tc>
              <w:tc>
                <w:tcPr>
                  <w:tcW w:w="2039" w:type="dxa"/>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水：水泥：</w:t>
                  </w:r>
                  <w:r>
                    <w:rPr>
                      <w:rFonts w:hint="eastAsia"/>
                      <w:color w:val="auto"/>
                      <w:sz w:val="21"/>
                      <w:szCs w:val="21"/>
                    </w:rPr>
                    <w:t>砂</w:t>
                  </w:r>
                  <w:r>
                    <w:rPr>
                      <w:rFonts w:hint="default" w:ascii="Times New Roman" w:hAnsi="Times New Roman" w:eastAsia="宋体" w:cs="Times New Roman"/>
                      <w:color w:val="auto"/>
                      <w:sz w:val="21"/>
                      <w:szCs w:val="21"/>
                      <w:highlight w:val="none"/>
                      <w:lang w:val="en-US" w:eastAsia="zh-CN"/>
                    </w:rPr>
                    <w:t>子</w:t>
                  </w:r>
                  <w:r>
                    <w:rPr>
                      <w:rFonts w:hint="default" w:ascii="Times New Roman" w:hAnsi="Times New Roman" w:eastAsia="宋体" w:cs="Times New Roman"/>
                      <w:color w:val="auto"/>
                      <w:sz w:val="21"/>
                      <w:szCs w:val="21"/>
                      <w:highlight w:val="none"/>
                    </w:rPr>
                    <w:t>：石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外加剂：粉煤灰：矿粉</w:t>
                  </w:r>
                </w:p>
              </w:tc>
              <w:tc>
                <w:tcPr>
                  <w:tcW w:w="1725" w:type="dxa"/>
                  <w:shd w:val="clear" w:color="auto" w:fill="auto"/>
                  <w:noWrap/>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33：0.17：5.56：5.56</w:t>
                  </w:r>
                </w:p>
              </w:tc>
            </w:tr>
          </w:tbl>
          <w:p>
            <w:pPr>
              <w:pStyle w:val="54"/>
              <w:numPr>
                <w:ilvl w:val="0"/>
                <w:numId w:val="5"/>
              </w:numPr>
              <w:ind w:firstLine="482"/>
              <w:rPr>
                <w:b/>
                <w:bCs/>
                <w:color w:val="auto"/>
              </w:rPr>
            </w:pPr>
            <w:r>
              <w:rPr>
                <w:b/>
                <w:bCs/>
                <w:color w:val="auto"/>
              </w:rPr>
              <w:t>原材料消耗</w:t>
            </w:r>
          </w:p>
          <w:p>
            <w:pPr>
              <w:pStyle w:val="54"/>
              <w:ind w:firstLine="480"/>
              <w:rPr>
                <w:rFonts w:hAnsi="宋体" w:cs="宋体"/>
                <w:color w:val="auto"/>
                <w:lang w:bidi="ar"/>
              </w:rPr>
            </w:pPr>
            <w:r>
              <w:rPr>
                <w:rFonts w:hint="eastAsia" w:hAnsi="宋体" w:cs="宋体"/>
                <w:color w:val="auto"/>
                <w:lang w:bidi="ar"/>
              </w:rPr>
              <w:t>本项目原料主要为水泥、沙子、碎石</w:t>
            </w:r>
            <w:r>
              <w:rPr>
                <w:rFonts w:hint="eastAsia" w:hAnsi="宋体" w:cs="宋体"/>
                <w:color w:val="auto"/>
                <w:lang w:eastAsia="zh-CN" w:bidi="ar"/>
              </w:rPr>
              <w:t>、</w:t>
            </w:r>
            <w:r>
              <w:rPr>
                <w:rFonts w:hint="eastAsia" w:hAnsi="宋体" w:cs="宋体"/>
                <w:color w:val="auto"/>
                <w:lang w:val="en-US" w:eastAsia="zh-CN" w:bidi="ar"/>
              </w:rPr>
              <w:t>粉煤灰、外加剂</w:t>
            </w:r>
            <w:r>
              <w:rPr>
                <w:rFonts w:hint="eastAsia" w:hAnsi="宋体" w:cs="宋体"/>
                <w:color w:val="auto"/>
                <w:lang w:bidi="ar"/>
              </w:rPr>
              <w:t>等，均为外购，消耗量详见表2-</w:t>
            </w:r>
            <w:r>
              <w:rPr>
                <w:rFonts w:hint="eastAsia" w:hAnsi="宋体" w:cs="宋体"/>
                <w:color w:val="auto"/>
                <w:lang w:val="en-US" w:eastAsia="zh-CN" w:bidi="ar"/>
              </w:rPr>
              <w:t>4</w:t>
            </w:r>
            <w:r>
              <w:rPr>
                <w:rFonts w:hint="eastAsia" w:hAnsi="宋体" w:cs="宋体"/>
                <w:color w:val="auto"/>
                <w:lang w:bidi="ar"/>
              </w:rPr>
              <w:t>。</w:t>
            </w:r>
          </w:p>
          <w:p>
            <w:pPr>
              <w:ind w:firstLine="482"/>
              <w:jc w:val="center"/>
              <w:rPr>
                <w:rFonts w:hAnsi="宋体" w:cs="宋体"/>
                <w:b/>
                <w:bCs/>
                <w:color w:val="auto"/>
                <w:sz w:val="21"/>
                <w:szCs w:val="21"/>
                <w:lang w:bidi="ar"/>
              </w:rPr>
            </w:pPr>
            <w:r>
              <w:rPr>
                <w:rFonts w:hint="eastAsia" w:hAnsi="宋体" w:cs="宋体"/>
                <w:b/>
                <w:bCs/>
                <w:color w:val="auto"/>
                <w:sz w:val="21"/>
                <w:szCs w:val="21"/>
                <w:lang w:bidi="ar"/>
              </w:rPr>
              <w:t>表2-</w:t>
            </w:r>
            <w:r>
              <w:rPr>
                <w:rFonts w:hint="eastAsia" w:hAnsi="宋体" w:cs="宋体"/>
                <w:b/>
                <w:bCs/>
                <w:color w:val="auto"/>
                <w:sz w:val="21"/>
                <w:szCs w:val="21"/>
                <w:lang w:val="en-US" w:eastAsia="zh-CN" w:bidi="ar"/>
              </w:rPr>
              <w:t>4</w:t>
            </w:r>
            <w:r>
              <w:rPr>
                <w:rFonts w:hint="eastAsia" w:hAnsi="宋体" w:cs="宋体"/>
                <w:b/>
                <w:bCs/>
                <w:color w:val="auto"/>
                <w:sz w:val="21"/>
                <w:szCs w:val="21"/>
                <w:lang w:bidi="ar"/>
              </w:rPr>
              <w:t xml:space="preserve">  原辅材料消耗量一览表</w:t>
            </w:r>
          </w:p>
          <w:tbl>
            <w:tblPr>
              <w:tblStyle w:val="32"/>
              <w:tblW w:w="863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741"/>
              <w:gridCol w:w="1639"/>
              <w:gridCol w:w="1566"/>
              <w:gridCol w:w="1375"/>
              <w:gridCol w:w="1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序号</w:t>
                  </w:r>
                </w:p>
              </w:tc>
              <w:tc>
                <w:tcPr>
                  <w:tcW w:w="1741"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原辅材料名称</w:t>
                  </w:r>
                </w:p>
              </w:tc>
              <w:tc>
                <w:tcPr>
                  <w:tcW w:w="1639"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年用量（t</w:t>
                  </w:r>
                  <w:r>
                    <w:rPr>
                      <w:rFonts w:hAnsi="宋体" w:cs="宋体"/>
                      <w:color w:val="auto"/>
                      <w:sz w:val="21"/>
                      <w:szCs w:val="21"/>
                    </w:rPr>
                    <w:t>/a</w:t>
                  </w:r>
                  <w:r>
                    <w:rPr>
                      <w:rFonts w:hint="eastAsia" w:hAnsi="宋体" w:cs="宋体"/>
                      <w:color w:val="auto"/>
                      <w:sz w:val="21"/>
                      <w:szCs w:val="21"/>
                    </w:rPr>
                    <w:t>）</w:t>
                  </w:r>
                </w:p>
              </w:tc>
              <w:tc>
                <w:tcPr>
                  <w:tcW w:w="1566"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储存位置</w:t>
                  </w:r>
                </w:p>
              </w:tc>
              <w:tc>
                <w:tcPr>
                  <w:tcW w:w="1375"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储存方式</w:t>
                  </w:r>
                </w:p>
              </w:tc>
              <w:tc>
                <w:tcPr>
                  <w:tcW w:w="1472"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635" w:type="dxa"/>
                  <w:gridSpan w:val="6"/>
                  <w:vAlign w:val="center"/>
                </w:tcPr>
                <w:p>
                  <w:pPr>
                    <w:widowControl/>
                    <w:jc w:val="center"/>
                    <w:textAlignment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商品混凝土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1</w:t>
                  </w:r>
                </w:p>
              </w:tc>
              <w:tc>
                <w:tcPr>
                  <w:tcW w:w="1741" w:type="dxa"/>
                  <w:shd w:val="clear" w:color="auto" w:fill="auto"/>
                  <w:vAlign w:val="center"/>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沙子</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lang w:val="en-US" w:eastAsia="zh-CN"/>
                    </w:rPr>
                    <w:t>000</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料仓</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固体</w:t>
                  </w:r>
                </w:p>
              </w:tc>
              <w:tc>
                <w:tcPr>
                  <w:tcW w:w="1472"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2</w:t>
                  </w:r>
                </w:p>
              </w:tc>
              <w:tc>
                <w:tcPr>
                  <w:tcW w:w="1741" w:type="dxa"/>
                  <w:shd w:val="clear" w:color="auto" w:fill="auto"/>
                  <w:vAlign w:val="center"/>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石头</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3500</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料仓</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固体</w:t>
                  </w:r>
                </w:p>
              </w:tc>
              <w:tc>
                <w:tcPr>
                  <w:tcW w:w="1472"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42"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3</w:t>
                  </w:r>
                </w:p>
              </w:tc>
              <w:tc>
                <w:tcPr>
                  <w:tcW w:w="1741" w:type="dxa"/>
                  <w:shd w:val="clear" w:color="auto" w:fill="auto"/>
                  <w:vAlign w:val="center"/>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水泥</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1620</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料仓</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粉状</w:t>
                  </w:r>
                </w:p>
              </w:tc>
              <w:tc>
                <w:tcPr>
                  <w:tcW w:w="1472" w:type="dxa"/>
                  <w:vAlign w:val="center"/>
                </w:tcPr>
                <w:p>
                  <w:pPr>
                    <w:widowControl/>
                    <w:jc w:val="center"/>
                    <w:textAlignment w:val="center"/>
                    <w:rPr>
                      <w:rFonts w:hAnsi="宋体" w:cs="宋体"/>
                      <w:color w:val="auto"/>
                      <w:sz w:val="21"/>
                      <w:szCs w:val="21"/>
                      <w:u w:val="none"/>
                    </w:rPr>
                  </w:pPr>
                  <w:r>
                    <w:rPr>
                      <w:rFonts w:hint="default" w:ascii="Times New Roman" w:hAnsi="Times New Roman" w:eastAsia="宋体" w:cs="Times New Roman"/>
                      <w:color w:val="auto"/>
                      <w:sz w:val="21"/>
                      <w:szCs w:val="21"/>
                      <w:highlight w:val="none"/>
                      <w:u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4</w:t>
                  </w:r>
                </w:p>
              </w:tc>
              <w:tc>
                <w:tcPr>
                  <w:tcW w:w="1741" w:type="dxa"/>
                  <w:shd w:val="clear" w:color="auto" w:fill="auto"/>
                  <w:vAlign w:val="center"/>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外加剂（</w:t>
                  </w:r>
                  <w:r>
                    <w:rPr>
                      <w:rFonts w:hint="default" w:ascii="Times New Roman" w:hAnsi="Times New Roman" w:eastAsia="宋体" w:cs="Times New Roman"/>
                      <w:color w:val="auto"/>
                      <w:sz w:val="21"/>
                      <w:szCs w:val="21"/>
                      <w:highlight w:val="none"/>
                      <w:u w:val="none"/>
                      <w:lang w:val="en-US" w:eastAsia="zh-CN"/>
                    </w:rPr>
                    <w:t>减水剂、</w:t>
                  </w:r>
                  <w:r>
                    <w:rPr>
                      <w:rFonts w:hint="default" w:ascii="Times New Roman" w:hAnsi="Times New Roman" w:eastAsia="宋体" w:cs="Times New Roman"/>
                      <w:color w:val="auto"/>
                      <w:sz w:val="21"/>
                      <w:szCs w:val="21"/>
                      <w:highlight w:val="none"/>
                      <w:u w:val="none"/>
                    </w:rPr>
                    <w:t>缓凝剂</w:t>
                  </w:r>
                  <w:r>
                    <w:rPr>
                      <w:rFonts w:hint="default" w:ascii="Times New Roman" w:hAnsi="Times New Roman" w:eastAsia="宋体" w:cs="Times New Roman"/>
                      <w:color w:val="auto"/>
                      <w:sz w:val="21"/>
                      <w:szCs w:val="21"/>
                      <w:highlight w:val="none"/>
                      <w:u w:val="none"/>
                      <w:lang w:eastAsia="zh-CN"/>
                    </w:rPr>
                    <w:t>）</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21.165</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储罐</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液体</w:t>
                  </w:r>
                </w:p>
              </w:tc>
              <w:tc>
                <w:tcPr>
                  <w:tcW w:w="1472"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5</w:t>
                  </w:r>
                </w:p>
              </w:tc>
              <w:tc>
                <w:tcPr>
                  <w:tcW w:w="1741" w:type="dxa"/>
                  <w:shd w:val="clear" w:color="auto" w:fill="auto"/>
                  <w:vAlign w:val="center"/>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粉煤灰</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680</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料仓</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粉状</w:t>
                  </w:r>
                </w:p>
              </w:tc>
              <w:tc>
                <w:tcPr>
                  <w:tcW w:w="1472"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6</w:t>
                  </w:r>
                </w:p>
              </w:tc>
              <w:tc>
                <w:tcPr>
                  <w:tcW w:w="1741" w:type="dxa"/>
                  <w:shd w:val="clear" w:color="auto" w:fill="auto"/>
                  <w:vAlign w:val="center"/>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矿粉</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680</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料仓</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粉状</w:t>
                  </w:r>
                </w:p>
              </w:tc>
              <w:tc>
                <w:tcPr>
                  <w:tcW w:w="1472"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842" w:type="dxa"/>
                  <w:vAlign w:val="center"/>
                </w:tcPr>
                <w:p>
                  <w:pPr>
                    <w:widowControl/>
                    <w:jc w:val="center"/>
                    <w:textAlignment w:val="center"/>
                    <w:rPr>
                      <w:rFonts w:hint="default" w:hAnsi="宋体" w:cs="宋体"/>
                      <w:color w:val="auto"/>
                      <w:sz w:val="21"/>
                      <w:szCs w:val="21"/>
                      <w:lang w:val="en-US" w:eastAsia="zh-CN"/>
                    </w:rPr>
                  </w:pPr>
                  <w:r>
                    <w:rPr>
                      <w:rFonts w:hint="eastAsia" w:hAnsi="宋体" w:cs="宋体"/>
                      <w:color w:val="auto"/>
                      <w:sz w:val="21"/>
                      <w:szCs w:val="21"/>
                      <w:lang w:val="en-US" w:eastAsia="zh-CN"/>
                    </w:rPr>
                    <w:t>7</w:t>
                  </w:r>
                </w:p>
              </w:tc>
              <w:tc>
                <w:tcPr>
                  <w:tcW w:w="1741"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水</w:t>
                  </w:r>
                </w:p>
              </w:tc>
              <w:tc>
                <w:tcPr>
                  <w:tcW w:w="1639"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lang w:val="en-US" w:eastAsia="zh-CN"/>
                    </w:rPr>
                    <w:t>1500</w:t>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储水箱</w:t>
                  </w:r>
                </w:p>
              </w:tc>
              <w:tc>
                <w:tcPr>
                  <w:tcW w:w="1375"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液体</w:t>
                  </w:r>
                </w:p>
              </w:tc>
              <w:tc>
                <w:tcPr>
                  <w:tcW w:w="1472" w:type="dxa"/>
                  <w:shd w:val="clear" w:color="auto" w:fill="auto"/>
                  <w:vAlign w:val="center"/>
                </w:tcPr>
                <w:p>
                  <w:pPr>
                    <w:widowControl/>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83" w:type="dxa"/>
                  <w:gridSpan w:val="2"/>
                  <w:vAlign w:val="center"/>
                </w:tcPr>
                <w:p>
                  <w:pPr>
                    <w:widowControl/>
                    <w:jc w:val="center"/>
                    <w:textAlignment w:val="center"/>
                    <w:rPr>
                      <w:rFonts w:hAnsi="宋体" w:cs="宋体"/>
                      <w:color w:val="auto"/>
                      <w:sz w:val="21"/>
                      <w:szCs w:val="21"/>
                    </w:rPr>
                  </w:pPr>
                  <w:r>
                    <w:rPr>
                      <w:rFonts w:hint="eastAsia" w:hAnsi="宋体" w:cs="宋体"/>
                      <w:color w:val="auto"/>
                      <w:sz w:val="21"/>
                      <w:szCs w:val="21"/>
                    </w:rPr>
                    <w:t>合计</w:t>
                  </w:r>
                </w:p>
              </w:tc>
              <w:tc>
                <w:tcPr>
                  <w:tcW w:w="1639" w:type="dxa"/>
                  <w:vAlign w:val="center"/>
                </w:tcPr>
                <w:p>
                  <w:pPr>
                    <w:widowControl/>
                    <w:jc w:val="center"/>
                    <w:textAlignment w:val="center"/>
                    <w:rPr>
                      <w:rFonts w:hAnsi="宋体" w:cs="宋体"/>
                      <w:color w:val="auto"/>
                      <w:sz w:val="21"/>
                      <w:szCs w:val="21"/>
                      <w:highlight w:val="yellow"/>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sum(C3:C9)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12001.165</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566"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375"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w:t>
                  </w:r>
                </w:p>
              </w:tc>
              <w:tc>
                <w:tcPr>
                  <w:tcW w:w="1472" w:type="dxa"/>
                  <w:vAlign w:val="center"/>
                </w:tcPr>
                <w:p>
                  <w:pPr>
                    <w:widowControl/>
                    <w:jc w:val="center"/>
                    <w:textAlignment w:val="center"/>
                    <w:rPr>
                      <w:rFonts w:hAnsi="宋体" w:cs="宋体"/>
                      <w:color w:val="auto"/>
                      <w:sz w:val="21"/>
                      <w:szCs w:val="21"/>
                    </w:rPr>
                  </w:pPr>
                  <w:r>
                    <w:rPr>
                      <w:rFonts w:hint="eastAsia" w:hAnsi="宋体" w:cs="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635" w:type="dxa"/>
                  <w:gridSpan w:val="6"/>
                  <w:vAlign w:val="center"/>
                </w:tcPr>
                <w:p>
                  <w:pPr>
                    <w:widowControl/>
                    <w:jc w:val="center"/>
                    <w:textAlignment w:val="center"/>
                    <w:rPr>
                      <w:rFonts w:hint="default"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水泥稳定碎石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tcBorders>
                    <w:righ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1</w:t>
                  </w:r>
                </w:p>
              </w:tc>
              <w:tc>
                <w:tcPr>
                  <w:tcW w:w="1741" w:type="dxa"/>
                  <w:tcBorders>
                    <w:lef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碎石（19-31.5）</w:t>
                  </w:r>
                </w:p>
              </w:tc>
              <w:tc>
                <w:tcPr>
                  <w:tcW w:w="163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124.542</w:t>
                  </w:r>
                </w:p>
              </w:tc>
              <w:tc>
                <w:tcPr>
                  <w:tcW w:w="1566" w:type="dxa"/>
                  <w:shd w:val="clear" w:color="auto" w:fill="auto"/>
                  <w:vAlign w:val="center"/>
                </w:tcPr>
                <w:p>
                  <w:pPr>
                    <w:widowControl/>
                    <w:jc w:val="center"/>
                    <w:textAlignment w:val="center"/>
                    <w:rPr>
                      <w:rFonts w:hint="eastAsia" w:ascii="Times New Roman"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料仓</w:t>
                  </w:r>
                </w:p>
              </w:tc>
              <w:tc>
                <w:tcPr>
                  <w:tcW w:w="1375" w:type="dxa"/>
                  <w:shd w:val="clear" w:color="auto" w:fill="auto"/>
                  <w:vAlign w:val="center"/>
                </w:tcPr>
                <w:p>
                  <w:pPr>
                    <w:widowControl/>
                    <w:jc w:val="center"/>
                    <w:textAlignment w:val="center"/>
                    <w:rPr>
                      <w:rFonts w:hint="eastAsia" w:ascii="Times New Roman"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固体</w:t>
                  </w:r>
                </w:p>
              </w:tc>
              <w:tc>
                <w:tcPr>
                  <w:tcW w:w="1472" w:type="dxa"/>
                  <w:shd w:val="clear" w:color="auto" w:fill="auto"/>
                  <w:vAlign w:val="center"/>
                </w:tcPr>
                <w:p>
                  <w:pPr>
                    <w:widowControl/>
                    <w:jc w:val="center"/>
                    <w:textAlignment w:val="center"/>
                    <w:rPr>
                      <w:rFonts w:hint="eastAsia" w:ascii="Times New Roman"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tcBorders>
                    <w:righ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2</w:t>
                  </w:r>
                </w:p>
              </w:tc>
              <w:tc>
                <w:tcPr>
                  <w:tcW w:w="1741" w:type="dxa"/>
                  <w:tcBorders>
                    <w:left w:val="single" w:color="000000" w:sz="4" w:space="0"/>
                  </w:tcBorders>
                  <w:shd w:val="clear" w:color="auto" w:fill="auto"/>
                  <w:vAlign w:val="center"/>
                </w:tcPr>
                <w:p>
                  <w:pPr>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碎石（9.5-19）</w:t>
                  </w:r>
                </w:p>
              </w:tc>
              <w:tc>
                <w:tcPr>
                  <w:tcW w:w="163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11620</w:t>
                  </w:r>
                </w:p>
              </w:tc>
              <w:tc>
                <w:tcPr>
                  <w:tcW w:w="1566" w:type="dxa"/>
                  <w:shd w:val="clear" w:color="auto" w:fill="auto"/>
                  <w:vAlign w:val="center"/>
                </w:tcPr>
                <w:p>
                  <w:pPr>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料仓</w:t>
                  </w:r>
                </w:p>
              </w:tc>
              <w:tc>
                <w:tcPr>
                  <w:tcW w:w="1375" w:type="dxa"/>
                  <w:shd w:val="clear" w:color="auto" w:fill="auto"/>
                  <w:vAlign w:val="center"/>
                </w:tcPr>
                <w:p>
                  <w:pPr>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固体</w:t>
                  </w:r>
                </w:p>
              </w:tc>
              <w:tc>
                <w:tcPr>
                  <w:tcW w:w="1472"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tcBorders>
                    <w:righ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4</w:t>
                  </w:r>
                </w:p>
              </w:tc>
              <w:tc>
                <w:tcPr>
                  <w:tcW w:w="1741" w:type="dxa"/>
                  <w:tcBorders>
                    <w:lef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碎石（4.75-9.5）</w:t>
                  </w:r>
                </w:p>
              </w:tc>
              <w:tc>
                <w:tcPr>
                  <w:tcW w:w="163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6260</w:t>
                  </w:r>
                </w:p>
              </w:tc>
              <w:tc>
                <w:tcPr>
                  <w:tcW w:w="1566"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料仓</w:t>
                  </w:r>
                </w:p>
              </w:tc>
              <w:tc>
                <w:tcPr>
                  <w:tcW w:w="1375"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固体</w:t>
                  </w:r>
                </w:p>
              </w:tc>
              <w:tc>
                <w:tcPr>
                  <w:tcW w:w="1472"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tcBorders>
                    <w:righ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5</w:t>
                  </w:r>
                </w:p>
              </w:tc>
              <w:tc>
                <w:tcPr>
                  <w:tcW w:w="1741" w:type="dxa"/>
                  <w:tcBorders>
                    <w:lef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沙子、石屑（0-4.75）</w:t>
                  </w:r>
                </w:p>
              </w:tc>
              <w:tc>
                <w:tcPr>
                  <w:tcW w:w="163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5400</w:t>
                  </w:r>
                </w:p>
              </w:tc>
              <w:tc>
                <w:tcPr>
                  <w:tcW w:w="1566"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料仓</w:t>
                  </w:r>
                </w:p>
              </w:tc>
              <w:tc>
                <w:tcPr>
                  <w:tcW w:w="1375"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颗粒</w:t>
                  </w:r>
                </w:p>
              </w:tc>
              <w:tc>
                <w:tcPr>
                  <w:tcW w:w="1472"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2" w:type="dxa"/>
                  <w:tcBorders>
                    <w:righ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6</w:t>
                  </w:r>
                </w:p>
              </w:tc>
              <w:tc>
                <w:tcPr>
                  <w:tcW w:w="1741" w:type="dxa"/>
                  <w:tcBorders>
                    <w:lef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水泥</w:t>
                  </w:r>
                </w:p>
              </w:tc>
              <w:tc>
                <w:tcPr>
                  <w:tcW w:w="163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1800</w:t>
                  </w:r>
                </w:p>
              </w:tc>
              <w:tc>
                <w:tcPr>
                  <w:tcW w:w="1566"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水泥筒仓</w:t>
                  </w:r>
                </w:p>
              </w:tc>
              <w:tc>
                <w:tcPr>
                  <w:tcW w:w="1375"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粉状</w:t>
                  </w:r>
                </w:p>
              </w:tc>
              <w:tc>
                <w:tcPr>
                  <w:tcW w:w="1472"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42" w:type="dxa"/>
                  <w:tcBorders>
                    <w:righ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7</w:t>
                  </w:r>
                </w:p>
              </w:tc>
              <w:tc>
                <w:tcPr>
                  <w:tcW w:w="1741" w:type="dxa"/>
                  <w:tcBorders>
                    <w:left w:val="single" w:color="000000" w:sz="4" w:space="0"/>
                  </w:tcBorders>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水</w:t>
                  </w:r>
                </w:p>
              </w:tc>
              <w:tc>
                <w:tcPr>
                  <w:tcW w:w="1639"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10800</w:t>
                  </w:r>
                </w:p>
              </w:tc>
              <w:tc>
                <w:tcPr>
                  <w:tcW w:w="1566"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储水箱</w:t>
                  </w:r>
                </w:p>
              </w:tc>
              <w:tc>
                <w:tcPr>
                  <w:tcW w:w="1375"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hAnsi="宋体" w:cs="宋体"/>
                      <w:color w:val="auto"/>
                      <w:sz w:val="21"/>
                      <w:szCs w:val="21"/>
                    </w:rPr>
                    <w:t>液体</w:t>
                  </w:r>
                </w:p>
              </w:tc>
              <w:tc>
                <w:tcPr>
                  <w:tcW w:w="1472" w:type="dxa"/>
                  <w:shd w:val="clear" w:color="auto" w:fill="auto"/>
                  <w:vAlign w:val="center"/>
                </w:tcPr>
                <w:p>
                  <w:pPr>
                    <w:widowControl/>
                    <w:jc w:val="center"/>
                    <w:textAlignment w:val="center"/>
                    <w:rPr>
                      <w:rFonts w:hint="eastAsia" w:ascii="Times New Roman" w:hAnsi="宋体" w:eastAsia="宋体" w:cs="宋体"/>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83" w:type="dxa"/>
                  <w:gridSpan w:val="2"/>
                  <w:vAlign w:val="center"/>
                </w:tcPr>
                <w:p>
                  <w:pPr>
                    <w:widowControl/>
                    <w:jc w:val="center"/>
                    <w:textAlignment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合计</w:t>
                  </w:r>
                </w:p>
              </w:tc>
              <w:tc>
                <w:tcPr>
                  <w:tcW w:w="1639" w:type="dxa"/>
                  <w:vAlign w:val="center"/>
                </w:tcPr>
                <w:p>
                  <w:pPr>
                    <w:widowControl/>
                    <w:jc w:val="center"/>
                    <w:textAlignment w:val="center"/>
                    <w:rPr>
                      <w:rFonts w:hAnsi="宋体" w:cs="宋体"/>
                      <w:color w:val="auto"/>
                      <w:sz w:val="21"/>
                      <w:szCs w:val="21"/>
                    </w:rPr>
                  </w:pPr>
                  <w:r>
                    <w:rPr>
                      <w:rFonts w:hint="eastAsia" w:hAnsi="宋体" w:cs="宋体"/>
                      <w:color w:val="auto"/>
                      <w:sz w:val="21"/>
                      <w:szCs w:val="21"/>
                      <w:lang w:val="en-US" w:eastAsia="zh-CN"/>
                    </w:rPr>
                    <w:t>3</w:t>
                  </w:r>
                  <w:r>
                    <w:rPr>
                      <w:rFonts w:hint="eastAsia" w:hAnsi="宋体" w:cs="宋体"/>
                      <w:color w:val="auto"/>
                      <w:sz w:val="21"/>
                      <w:szCs w:val="21"/>
                    </w:rPr>
                    <w:t>6004.542</w:t>
                  </w:r>
                </w:p>
              </w:tc>
              <w:tc>
                <w:tcPr>
                  <w:tcW w:w="1566" w:type="dxa"/>
                  <w:vAlign w:val="center"/>
                </w:tcPr>
                <w:p>
                  <w:pPr>
                    <w:widowControl/>
                    <w:jc w:val="center"/>
                    <w:textAlignment w:val="center"/>
                    <w:rPr>
                      <w:rFonts w:hint="eastAsia" w:hAnsi="宋体" w:cs="宋体"/>
                      <w:color w:val="auto"/>
                      <w:sz w:val="21"/>
                      <w:szCs w:val="21"/>
                    </w:rPr>
                  </w:pPr>
                </w:p>
              </w:tc>
              <w:tc>
                <w:tcPr>
                  <w:tcW w:w="1375" w:type="dxa"/>
                  <w:vAlign w:val="center"/>
                </w:tcPr>
                <w:p>
                  <w:pPr>
                    <w:widowControl/>
                    <w:jc w:val="center"/>
                    <w:textAlignment w:val="center"/>
                    <w:rPr>
                      <w:rFonts w:hint="eastAsia" w:hAnsi="宋体" w:cs="宋体"/>
                      <w:color w:val="auto"/>
                      <w:sz w:val="21"/>
                      <w:szCs w:val="21"/>
                    </w:rPr>
                  </w:pPr>
                </w:p>
              </w:tc>
              <w:tc>
                <w:tcPr>
                  <w:tcW w:w="1472" w:type="dxa"/>
                  <w:vAlign w:val="center"/>
                </w:tcPr>
                <w:p>
                  <w:pPr>
                    <w:widowControl/>
                    <w:jc w:val="center"/>
                    <w:textAlignment w:val="center"/>
                    <w:rPr>
                      <w:rFonts w:hint="eastAsia" w:hAnsi="宋体" w:cs="宋体"/>
                      <w:color w:val="auto"/>
                      <w:sz w:val="21"/>
                      <w:szCs w:val="21"/>
                    </w:rPr>
                  </w:pPr>
                </w:p>
              </w:tc>
            </w:tr>
          </w:tbl>
          <w:p>
            <w:pPr>
              <w:pStyle w:val="54"/>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本项目主要原材料的理化性质见下表：</w:t>
            </w:r>
          </w:p>
          <w:p>
            <w:pPr>
              <w:jc w:val="center"/>
              <w:rPr>
                <w:rFonts w:hint="default" w:ascii="Times New Roman" w:hAnsi="Times New Roman" w:eastAsia="宋体" w:cs="Times New Roman"/>
                <w:b/>
                <w:bCs/>
                <w:color w:val="auto"/>
                <w:sz w:val="21"/>
                <w:szCs w:val="21"/>
                <w:highlight w:val="none"/>
                <w:lang w:bidi="ar"/>
              </w:rPr>
            </w:pPr>
            <w:r>
              <w:rPr>
                <w:rFonts w:hint="default" w:ascii="Times New Roman" w:hAnsi="Times New Roman" w:eastAsia="宋体" w:cs="Times New Roman"/>
                <w:b/>
                <w:bCs/>
                <w:color w:val="auto"/>
                <w:sz w:val="21"/>
                <w:szCs w:val="21"/>
                <w:highlight w:val="none"/>
                <w:lang w:bidi="ar"/>
              </w:rPr>
              <w:t>表2-</w:t>
            </w:r>
            <w:r>
              <w:rPr>
                <w:rFonts w:hint="eastAsia" w:cs="Times New Roman"/>
                <w:b/>
                <w:bCs/>
                <w:color w:val="auto"/>
                <w:sz w:val="21"/>
                <w:szCs w:val="21"/>
                <w:highlight w:val="none"/>
                <w:lang w:val="en-US" w:eastAsia="zh-CN" w:bidi="ar"/>
              </w:rPr>
              <w:t>5</w:t>
            </w:r>
            <w:r>
              <w:rPr>
                <w:rFonts w:hint="default" w:ascii="Times New Roman" w:hAnsi="Times New Roman" w:eastAsia="宋体" w:cs="Times New Roman"/>
                <w:b/>
                <w:bCs/>
                <w:color w:val="auto"/>
                <w:sz w:val="21"/>
                <w:szCs w:val="21"/>
                <w:highlight w:val="none"/>
                <w:lang w:bidi="ar"/>
              </w:rPr>
              <w:t xml:space="preserve">  原材料理化性质</w:t>
            </w:r>
          </w:p>
          <w:tbl>
            <w:tblPr>
              <w:tblStyle w:val="32"/>
              <w:tblW w:w="863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2" w:type="dxa"/>
                  <w:tcBorders>
                    <w:tl2br w:val="nil"/>
                    <w:tr2bl w:val="nil"/>
                  </w:tcBorders>
                  <w:vAlign w:val="center"/>
                </w:tcPr>
                <w:p>
                  <w:pPr>
                    <w:pStyle w:val="1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7863" w:type="dxa"/>
                  <w:tcBorders>
                    <w:tl2br w:val="nil"/>
                    <w:tr2bl w:val="nil"/>
                  </w:tcBorders>
                  <w:vAlign w:val="center"/>
                </w:tcPr>
                <w:p>
                  <w:pPr>
                    <w:pStyle w:val="1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2" w:type="dxa"/>
                  <w:tcBorders>
                    <w:tl2br w:val="nil"/>
                    <w:tr2bl w:val="nil"/>
                  </w:tcBorders>
                  <w:vAlign w:val="center"/>
                </w:tcPr>
                <w:p>
                  <w:pPr>
                    <w:pStyle w:val="10"/>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沙子</w:t>
                  </w:r>
                </w:p>
              </w:tc>
              <w:tc>
                <w:tcPr>
                  <w:tcW w:w="7863" w:type="dxa"/>
                  <w:tcBorders>
                    <w:tl2br w:val="nil"/>
                    <w:tr2bl w:val="nil"/>
                  </w:tcBorders>
                  <w:vAlign w:val="center"/>
                </w:tcPr>
                <w:p>
                  <w:pPr>
                    <w:pStyle w:val="10"/>
                    <w:keepNext w:val="0"/>
                    <w:keepLines w:val="0"/>
                    <w:pageBreakBefore w:val="0"/>
                    <w:widowControl w:val="0"/>
                    <w:kinsoku/>
                    <w:wordWrap/>
                    <w:overflowPunct/>
                    <w:topLinePunct w:val="0"/>
                    <w:bidi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沙子</w:t>
                  </w:r>
                  <w:r>
                    <w:rPr>
                      <w:rFonts w:hint="default" w:ascii="Times New Roman" w:hAnsi="Times New Roman" w:eastAsia="宋体" w:cs="Times New Roman"/>
                      <w:color w:val="auto"/>
                      <w:sz w:val="21"/>
                      <w:szCs w:val="21"/>
                      <w:highlight w:val="none"/>
                    </w:rPr>
                    <w:t>主要由矿物和微小的岩石碎片组成，这些岩石碎片通常是通过侵蚀和风化过程形成的。砂子的成分因地而异，取决于当地的岩石类型和条件。在内陆地区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如沙漠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和非热带海岸</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如沙滩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最常见的成分是硅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二氧化硅Si02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。长石砂岩是一种含有高量长石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硅酸铝</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的沙子或</w:t>
                  </w:r>
                  <w:r>
                    <w:rPr>
                      <w:rFonts w:hint="eastAsia" w:cs="Times New Roman"/>
                      <w:color w:val="auto"/>
                      <w:sz w:val="21"/>
                      <w:szCs w:val="21"/>
                      <w:highlight w:val="none"/>
                      <w:lang w:eastAsia="zh-CN"/>
                    </w:rPr>
                    <w:t>砂岩</w:t>
                  </w:r>
                  <w:r>
                    <w:rPr>
                      <w:rFonts w:hint="default" w:ascii="Times New Roman" w:hAnsi="Times New Roman" w:eastAsia="宋体" w:cs="Times New Roman"/>
                      <w:color w:val="auto"/>
                      <w:sz w:val="21"/>
                      <w:szCs w:val="21"/>
                      <w:highlight w:val="none"/>
                    </w:rPr>
                    <w:t>，通常是由附近的花岗岩经过风化和侵蚀形成的。珊瑚礁中的细质白色沙子主要是地上珊瑚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石灰石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它们可以通过鹦鹉鱼的消化系统。一些地方的沙子中可能包含磁铁矿、粘土、绿泥石、海绿石或石育。富含磁铁矿的沙子呈深黑色，含有绿泥石和海绿石的沙子一般呈绿色。砂子的主要化学成分是二氧化硅，这是一种稳定的化合物，不易与其他物质发生反应。然而，砂子中也可能含有其他化学物质，如氨离子。例如，海砂中氨离子的浓成分是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二氧化硅可能导致钢筋的锈蚀程度增加。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2" w:type="dxa"/>
                  <w:tcBorders>
                    <w:tl2br w:val="nil"/>
                    <w:tr2bl w:val="nil"/>
                  </w:tcBorders>
                  <w:vAlign w:val="center"/>
                </w:tcPr>
                <w:p>
                  <w:pPr>
                    <w:pStyle w:val="10"/>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w:t>
                  </w:r>
                </w:p>
              </w:tc>
              <w:tc>
                <w:tcPr>
                  <w:tcW w:w="7863" w:type="dxa"/>
                  <w:tcBorders>
                    <w:tl2br w:val="nil"/>
                    <w:tr2bl w:val="nil"/>
                  </w:tcBorders>
                  <w:vAlign w:val="center"/>
                </w:tcPr>
                <w:p>
                  <w:pPr>
                    <w:pStyle w:val="10"/>
                    <w:keepNext w:val="0"/>
                    <w:keepLines w:val="0"/>
                    <w:pageBreakBefore w:val="0"/>
                    <w:widowControl w:val="0"/>
                    <w:kinsoku/>
                    <w:wordWrap/>
                    <w:overflowPunct/>
                    <w:topLinePunct w:val="0"/>
                    <w:bidi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品种是以水泥的性能划分的。常用的水泥都是硅酸盐系列水泥，主要是通过调整硅酸盐水泥熟料，合理掺入不同品种、不同数量的混合材料而划分的。硅酸盐水泥熟料中主要矿物有硅酸三钙、硅酸二钙、铝酸三钙和铁铝酸四钙四种。水泥的性质主要由熟料的矿物组成和矿物结构、混合材料的质量和数量、石膏掺量、粉磨细度等</w:t>
                  </w:r>
                  <w:r>
                    <w:rPr>
                      <w:rFonts w:hint="eastAsia" w:cs="Times New Roman"/>
                      <w:color w:val="auto"/>
                      <w:sz w:val="21"/>
                      <w:szCs w:val="21"/>
                      <w:highlight w:val="none"/>
                      <w:lang w:eastAsia="zh-CN"/>
                    </w:rPr>
                    <w:t>决定</w:t>
                  </w:r>
                  <w:r>
                    <w:rPr>
                      <w:rFonts w:hint="default" w:ascii="Times New Roman" w:hAnsi="Times New Roman" w:eastAsia="宋体" w:cs="Times New Roman"/>
                      <w:color w:val="auto"/>
                      <w:sz w:val="21"/>
                      <w:szCs w:val="21"/>
                      <w:highlight w:val="none"/>
                    </w:rPr>
                    <w:t>。所以不同生产厂和不同生产方式的水泥，其性质是不同的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2"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
                    </w:rPr>
                    <w:t>减水剂</w:t>
                  </w:r>
                </w:p>
              </w:tc>
              <w:tc>
                <w:tcPr>
                  <w:tcW w:w="7863"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使用减水剂为泵送聚羧酸减水剂，是一种高性能减水剂，是水泥混凝土运用中的一种水泥分散剂，可大幅度提高混凝土的早期、后期强度，有利于混凝土的耐久性，广泛应用于公路、桥梁、大坝、隧道、高层建筑等工程。本产品为淡黄色透明溶液，无毒，无臭不燃，绿色环保，不易燃，不易爆，可以安全使用火车和汽车运输。减水剂主要由聚羧酸母液、葡萄糖酸钠、消泡剂、白糖等</w:t>
                  </w:r>
                  <w:r>
                    <w:rPr>
                      <w:rFonts w:hint="eastAsia" w:cs="Times New Roman"/>
                      <w:color w:val="auto"/>
                      <w:sz w:val="21"/>
                      <w:szCs w:val="21"/>
                      <w:highlight w:val="none"/>
                      <w:lang w:eastAsia="zh-CN"/>
                    </w:rPr>
                    <w:t>配制</w:t>
                  </w:r>
                  <w:r>
                    <w:rPr>
                      <w:rFonts w:hint="default" w:ascii="Times New Roman" w:hAnsi="Times New Roman" w:eastAsia="宋体" w:cs="Times New Roman"/>
                      <w:color w:val="auto"/>
                      <w:sz w:val="21"/>
                      <w:szCs w:val="21"/>
                      <w:highlight w:val="none"/>
                    </w:rPr>
                    <w:t>而成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主要成分为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 92%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葡萄糖酸钠 1.5%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甲基烯丙基聚氧乙烯醚 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2"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u w:val="none"/>
                    </w:rPr>
                    <w:t>缓凝剂：</w:t>
                  </w:r>
                </w:p>
              </w:tc>
              <w:tc>
                <w:tcPr>
                  <w:tcW w:w="7863"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混凝土调凝剂的一种，延缓混凝土初凝和终凝时间而不影响混凝土后期强度。可单独使用，也可和减水剂等一起复配使用，具有一定的减水作用。常用的主要有木质素类、糖类、磷酸盐、酒石、葡萄糖酸盐、柠檬酸及其盐类、纤维素及其衍生物等。</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作用为延缓水泥凝固，延长</w:t>
                  </w:r>
                  <w:r>
                    <w:rPr>
                      <w:rFonts w:hint="default" w:ascii="Times New Roman" w:hAnsi="Times New Roman" w:eastAsia="宋体" w:cs="Times New Roman"/>
                      <w:color w:val="auto"/>
                      <w:sz w:val="21"/>
                      <w:szCs w:val="21"/>
                      <w:highlight w:val="none"/>
                      <w:u w:val="none"/>
                    </w:rPr>
                    <w:fldChar w:fldCharType="begin"/>
                  </w:r>
                  <w:r>
                    <w:rPr>
                      <w:rFonts w:hint="default" w:ascii="Times New Roman" w:hAnsi="Times New Roman" w:eastAsia="宋体" w:cs="Times New Roman"/>
                      <w:color w:val="auto"/>
                      <w:sz w:val="21"/>
                      <w:szCs w:val="21"/>
                      <w:highlight w:val="none"/>
                      <w:u w:val="none"/>
                    </w:rPr>
                    <w:instrText xml:space="preserve"> HYPERLINK "https://baike.so.com/doc/9544852-9889443.html" \t "https://baike.so.com/doc/_blank" </w:instrText>
                  </w:r>
                  <w:r>
                    <w:rPr>
                      <w:rFonts w:hint="default" w:ascii="Times New Roman" w:hAnsi="Times New Roman" w:eastAsia="宋体" w:cs="Times New Roman"/>
                      <w:color w:val="auto"/>
                      <w:sz w:val="21"/>
                      <w:szCs w:val="21"/>
                      <w:highlight w:val="none"/>
                      <w:u w:val="none"/>
                    </w:rPr>
                    <w:fldChar w:fldCharType="separate"/>
                  </w:r>
                  <w:r>
                    <w:rPr>
                      <w:rFonts w:hint="default" w:ascii="Times New Roman" w:hAnsi="Times New Roman" w:eastAsia="宋体" w:cs="Times New Roman"/>
                      <w:color w:val="auto"/>
                      <w:sz w:val="21"/>
                      <w:szCs w:val="21"/>
                      <w:highlight w:val="none"/>
                      <w:u w:val="none"/>
                    </w:rPr>
                    <w:t>凝固时间</w:t>
                  </w:r>
                  <w:r>
                    <w:rPr>
                      <w:rFonts w:hint="default" w:ascii="Times New Roman" w:hAnsi="Times New Roman" w:eastAsia="宋体" w:cs="Times New Roman"/>
                      <w:color w:val="auto"/>
                      <w:sz w:val="21"/>
                      <w:szCs w:val="21"/>
                      <w:highlight w:val="none"/>
                      <w:u w:val="none"/>
                    </w:rPr>
                    <w:fldChar w:fldCharType="end"/>
                  </w:r>
                  <w:r>
                    <w:rPr>
                      <w:rFonts w:hint="default" w:ascii="Times New Roman" w:hAnsi="Times New Roman" w:eastAsia="宋体" w:cs="Times New Roman"/>
                      <w:color w:val="auto"/>
                      <w:sz w:val="21"/>
                      <w:szCs w:val="21"/>
                      <w:highlight w:val="none"/>
                      <w:u w:val="none"/>
                    </w:rPr>
                    <w:t>，一般不影响混凝土质量，同减水剂一起使用时可提高减水率，超掺后可出现混凝土长时间不凝固现象，从而破坏混凝土质量。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72"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矿粉</w:t>
                  </w:r>
                </w:p>
              </w:tc>
              <w:tc>
                <w:tcPr>
                  <w:tcW w:w="7863"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主要成分为CaO、SiO₂、Al₂O₃，与水泥相似，但比例不同。含有少量MgO、Fe₂O₃等。 其活性源于玻璃体结构中储存的化学能。微细颗粒的填充作用，使混凝土结构更密实。在水泥水化产物氢氧化钙的碱性激发和硫酸盐激发下，玻璃体解离，发生二次水化反应，生成更多的C-S-H凝胶等水化产物。 1. 增强后期强度：二次水化持续进行，显著提升混凝土28天后的强度和耐久性。 2. 改善微观结构：生成的凝胶更致密，能细化孔隙，降低渗透性。</w:t>
                  </w:r>
                </w:p>
              </w:tc>
            </w:tr>
          </w:tbl>
          <w:p>
            <w:pPr>
              <w:pStyle w:val="6"/>
              <w:snapToGrid w:val="0"/>
              <w:spacing w:line="360" w:lineRule="auto"/>
              <w:ind w:firstLine="480"/>
              <w:rPr>
                <w:color w:val="auto"/>
              </w:rPr>
            </w:pPr>
            <w:r>
              <w:rPr>
                <w:rFonts w:ascii="Calibri" w:hAnsi="Calibri"/>
                <w:color w:val="auto"/>
              </w:rPr>
              <w:t>本</w:t>
            </w:r>
            <w:r>
              <w:rPr>
                <w:rFonts w:hint="eastAsia" w:ascii="Calibri" w:hAnsi="Calibri"/>
                <w:color w:val="auto"/>
              </w:rPr>
              <w:t>项目原辅材为碎石、沙子、水泥、水，产品为</w:t>
            </w:r>
            <w:r>
              <w:rPr>
                <w:rFonts w:hint="eastAsia" w:ascii="Calibri" w:hAnsi="Calibri"/>
                <w:color w:val="auto"/>
                <w:lang w:val="en-US" w:eastAsia="zh-CN"/>
              </w:rPr>
              <w:t>商品混凝土、</w:t>
            </w:r>
            <w:r>
              <w:rPr>
                <w:rFonts w:hint="eastAsia" w:ascii="Calibri" w:hAnsi="Calibri"/>
                <w:color w:val="auto"/>
              </w:rPr>
              <w:t>水泥稳定碎石，生产过程中少量物料以颗粒物无组织排放，除尘器收尘、沉淀池沉渣、碎石混合物等回用于生产，进入产品，根据</w:t>
            </w:r>
            <w:r>
              <w:rPr>
                <w:color w:val="auto"/>
              </w:rPr>
              <w:t>原辅料用量、产品产量核算项目生产过程物料平衡情况见下表：</w:t>
            </w:r>
          </w:p>
          <w:p>
            <w:pPr>
              <w:jc w:val="center"/>
              <w:rPr>
                <w:rFonts w:hAnsi="宋体" w:cs="宋体"/>
                <w:b/>
                <w:bCs/>
                <w:color w:val="auto"/>
                <w:sz w:val="21"/>
                <w:szCs w:val="21"/>
                <w:lang w:bidi="ar"/>
              </w:rPr>
            </w:pPr>
            <w:r>
              <w:rPr>
                <w:rFonts w:hint="eastAsia" w:hAnsi="宋体" w:cs="宋体"/>
                <w:b/>
                <w:bCs/>
                <w:color w:val="auto"/>
                <w:sz w:val="21"/>
                <w:szCs w:val="21"/>
                <w:lang w:bidi="ar"/>
              </w:rPr>
              <w:t>表2-</w:t>
            </w:r>
            <w:r>
              <w:rPr>
                <w:rFonts w:hint="eastAsia" w:hAnsi="宋体" w:cs="宋体"/>
                <w:b/>
                <w:bCs/>
                <w:color w:val="auto"/>
                <w:sz w:val="21"/>
                <w:szCs w:val="21"/>
                <w:lang w:val="en-US" w:eastAsia="zh-CN" w:bidi="ar"/>
              </w:rPr>
              <w:t>6</w:t>
            </w:r>
            <w:r>
              <w:rPr>
                <w:rFonts w:hint="eastAsia" w:hAnsi="宋体" w:cs="宋体"/>
                <w:b/>
                <w:bCs/>
                <w:color w:val="auto"/>
                <w:sz w:val="21"/>
                <w:szCs w:val="21"/>
                <w:lang w:bidi="ar"/>
              </w:rPr>
              <w:t xml:space="preserve">  生产过程物料平衡表</w:t>
            </w:r>
          </w:p>
          <w:tbl>
            <w:tblPr>
              <w:tblStyle w:val="32"/>
              <w:tblW w:w="86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243"/>
              <w:gridCol w:w="2341"/>
              <w:gridCol w:w="2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63" w:type="dxa"/>
                  <w:vAlign w:val="center"/>
                </w:tcPr>
                <w:p>
                  <w:pPr>
                    <w:pStyle w:val="19"/>
                    <w:rPr>
                      <w:color w:val="auto"/>
                    </w:rPr>
                  </w:pPr>
                  <w:r>
                    <w:rPr>
                      <w:color w:val="auto"/>
                    </w:rPr>
                    <w:t>类别</w:t>
                  </w:r>
                </w:p>
              </w:tc>
              <w:tc>
                <w:tcPr>
                  <w:tcW w:w="2243" w:type="dxa"/>
                  <w:vAlign w:val="center"/>
                </w:tcPr>
                <w:p>
                  <w:pPr>
                    <w:pStyle w:val="19"/>
                    <w:rPr>
                      <w:color w:val="auto"/>
                    </w:rPr>
                  </w:pPr>
                  <w:r>
                    <w:rPr>
                      <w:color w:val="auto"/>
                    </w:rPr>
                    <w:t>输入数量（t/a）</w:t>
                  </w:r>
                </w:p>
              </w:tc>
              <w:tc>
                <w:tcPr>
                  <w:tcW w:w="2341" w:type="dxa"/>
                  <w:vAlign w:val="center"/>
                </w:tcPr>
                <w:p>
                  <w:pPr>
                    <w:pStyle w:val="19"/>
                    <w:rPr>
                      <w:color w:val="auto"/>
                    </w:rPr>
                  </w:pPr>
                  <w:r>
                    <w:rPr>
                      <w:color w:val="auto"/>
                    </w:rPr>
                    <w:t>类别</w:t>
                  </w:r>
                </w:p>
              </w:tc>
              <w:tc>
                <w:tcPr>
                  <w:tcW w:w="2084" w:type="dxa"/>
                  <w:vAlign w:val="center"/>
                </w:tcPr>
                <w:p>
                  <w:pPr>
                    <w:pStyle w:val="19"/>
                    <w:rPr>
                      <w:color w:val="auto"/>
                    </w:rPr>
                  </w:pPr>
                  <w:r>
                    <w:rPr>
                      <w:color w:val="auto"/>
                    </w:rPr>
                    <w:t>输出数量（t/a）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631" w:type="dxa"/>
                  <w:gridSpan w:val="4"/>
                  <w:vAlign w:val="center"/>
                </w:tcPr>
                <w:p>
                  <w:pPr>
                    <w:pStyle w:val="19"/>
                    <w:rPr>
                      <w:rFonts w:hint="default" w:eastAsia="宋体"/>
                      <w:color w:val="auto"/>
                      <w:lang w:val="en-US" w:eastAsia="zh-CN"/>
                    </w:rPr>
                  </w:pPr>
                  <w:r>
                    <w:rPr>
                      <w:rFonts w:hint="eastAsia"/>
                      <w:color w:val="auto"/>
                      <w:lang w:val="en-US" w:eastAsia="zh-CN"/>
                    </w:rPr>
                    <w:t>水泥稳定碎石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963" w:type="dxa"/>
                  <w:vAlign w:val="center"/>
                </w:tcPr>
                <w:p>
                  <w:pPr>
                    <w:pStyle w:val="19"/>
                    <w:rPr>
                      <w:color w:val="auto"/>
                    </w:rPr>
                  </w:pPr>
                  <w:r>
                    <w:rPr>
                      <w:rFonts w:hint="eastAsia"/>
                      <w:color w:val="auto"/>
                    </w:rPr>
                    <w:t>碎石（19-31.5）</w:t>
                  </w:r>
                </w:p>
              </w:tc>
              <w:tc>
                <w:tcPr>
                  <w:tcW w:w="224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12</w:t>
                  </w:r>
                  <w:r>
                    <w:rPr>
                      <w:rFonts w:hint="eastAsia"/>
                      <w:color w:val="auto"/>
                      <w:sz w:val="21"/>
                      <w:szCs w:val="21"/>
                      <w:highlight w:val="none"/>
                      <w:lang w:val="en-US" w:eastAsia="zh-CN"/>
                    </w:rPr>
                    <w:t>4.542</w:t>
                  </w:r>
                </w:p>
              </w:tc>
              <w:tc>
                <w:tcPr>
                  <w:tcW w:w="2341" w:type="dxa"/>
                  <w:vAlign w:val="center"/>
                </w:tcPr>
                <w:p>
                  <w:pPr>
                    <w:pStyle w:val="19"/>
                    <w:rPr>
                      <w:color w:val="auto"/>
                    </w:rPr>
                  </w:pPr>
                  <w:r>
                    <w:rPr>
                      <w:rFonts w:hint="eastAsia"/>
                      <w:color w:val="auto"/>
                    </w:rPr>
                    <w:t>水泥稳定碎石</w:t>
                  </w:r>
                </w:p>
              </w:tc>
              <w:tc>
                <w:tcPr>
                  <w:tcW w:w="2084" w:type="dxa"/>
                  <w:vAlign w:val="center"/>
                </w:tcPr>
                <w:p>
                  <w:pPr>
                    <w:pStyle w:val="19"/>
                    <w:rPr>
                      <w:color w:val="auto"/>
                    </w:rPr>
                  </w:pPr>
                  <w:r>
                    <w:rPr>
                      <w:rFonts w:hint="eastAsia"/>
                      <w:color w:val="auto"/>
                      <w:lang w:val="en-US" w:eastAsia="zh-CN"/>
                    </w:rPr>
                    <w:t>36</w:t>
                  </w:r>
                  <w:r>
                    <w:rPr>
                      <w:color w:val="auto"/>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63" w:type="dxa"/>
                  <w:vAlign w:val="center"/>
                </w:tcPr>
                <w:p>
                  <w:pPr>
                    <w:pStyle w:val="19"/>
                    <w:rPr>
                      <w:color w:val="auto"/>
                    </w:rPr>
                  </w:pPr>
                  <w:r>
                    <w:rPr>
                      <w:rFonts w:hint="eastAsia"/>
                      <w:color w:val="auto"/>
                    </w:rPr>
                    <w:t>碎石（9.5-19）</w:t>
                  </w:r>
                </w:p>
              </w:tc>
              <w:tc>
                <w:tcPr>
                  <w:tcW w:w="224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11620</w:t>
                  </w:r>
                </w:p>
              </w:tc>
              <w:tc>
                <w:tcPr>
                  <w:tcW w:w="2341" w:type="dxa"/>
                  <w:shd w:val="clear" w:color="auto" w:fill="auto"/>
                  <w:vAlign w:val="center"/>
                </w:tcPr>
                <w:p>
                  <w:pPr>
                    <w:pStyle w:val="19"/>
                    <w:rPr>
                      <w:color w:val="auto"/>
                    </w:rPr>
                  </w:pPr>
                  <w:r>
                    <w:rPr>
                      <w:rFonts w:hint="eastAsia"/>
                      <w:color w:val="auto"/>
                    </w:rPr>
                    <w:t>粉尘排放量</w:t>
                  </w:r>
                </w:p>
              </w:tc>
              <w:tc>
                <w:tcPr>
                  <w:tcW w:w="2084" w:type="dxa"/>
                  <w:shd w:val="clear" w:color="auto" w:fill="auto"/>
                  <w:vAlign w:val="center"/>
                </w:tcPr>
                <w:p>
                  <w:pPr>
                    <w:pStyle w:val="19"/>
                    <w:rPr>
                      <w:rFonts w:hint="default" w:eastAsia="宋体"/>
                      <w:color w:val="auto"/>
                      <w:highlight w:val="none"/>
                      <w:lang w:val="en-US" w:eastAsia="zh-CN"/>
                    </w:rPr>
                  </w:pPr>
                  <w:r>
                    <w:rPr>
                      <w:rFonts w:hint="eastAsia"/>
                      <w:color w:val="auto"/>
                      <w:highlight w:val="none"/>
                      <w:lang w:val="en-US" w:eastAsia="zh-CN"/>
                    </w:rPr>
                    <w:t>4.542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963" w:type="dxa"/>
                  <w:vAlign w:val="center"/>
                </w:tcPr>
                <w:p>
                  <w:pPr>
                    <w:pStyle w:val="19"/>
                    <w:rPr>
                      <w:color w:val="auto"/>
                    </w:rPr>
                  </w:pPr>
                  <w:r>
                    <w:rPr>
                      <w:rFonts w:hint="eastAsia"/>
                      <w:color w:val="auto"/>
                    </w:rPr>
                    <w:t>碎石（4.75-9.5）</w:t>
                  </w:r>
                </w:p>
              </w:tc>
              <w:tc>
                <w:tcPr>
                  <w:tcW w:w="224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6260</w:t>
                  </w:r>
                </w:p>
              </w:tc>
              <w:tc>
                <w:tcPr>
                  <w:tcW w:w="2341"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963" w:type="dxa"/>
                  <w:vAlign w:val="center"/>
                </w:tcPr>
                <w:p>
                  <w:pPr>
                    <w:pStyle w:val="19"/>
                    <w:rPr>
                      <w:color w:val="auto"/>
                    </w:rPr>
                  </w:pPr>
                  <w:r>
                    <w:rPr>
                      <w:rFonts w:hint="eastAsia"/>
                      <w:color w:val="auto"/>
                    </w:rPr>
                    <w:t>沙子（0-4.75）</w:t>
                  </w:r>
                </w:p>
              </w:tc>
              <w:tc>
                <w:tcPr>
                  <w:tcW w:w="224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5400</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963" w:type="dxa"/>
                  <w:vAlign w:val="center"/>
                </w:tcPr>
                <w:p>
                  <w:pPr>
                    <w:adjustRightInd w:val="0"/>
                    <w:jc w:val="center"/>
                    <w:rPr>
                      <w:color w:val="auto"/>
                      <w:sz w:val="21"/>
                      <w:szCs w:val="21"/>
                    </w:rPr>
                  </w:pPr>
                  <w:r>
                    <w:rPr>
                      <w:rFonts w:hint="eastAsia"/>
                      <w:color w:val="auto"/>
                      <w:sz w:val="21"/>
                      <w:szCs w:val="21"/>
                    </w:rPr>
                    <w:t>水泥</w:t>
                  </w:r>
                </w:p>
              </w:tc>
              <w:tc>
                <w:tcPr>
                  <w:tcW w:w="224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1800</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963" w:type="dxa"/>
                  <w:vAlign w:val="center"/>
                </w:tcPr>
                <w:p>
                  <w:pPr>
                    <w:adjustRightInd w:val="0"/>
                    <w:jc w:val="center"/>
                    <w:rPr>
                      <w:color w:val="auto"/>
                      <w:sz w:val="21"/>
                      <w:szCs w:val="21"/>
                    </w:rPr>
                  </w:pPr>
                  <w:r>
                    <w:rPr>
                      <w:rFonts w:hint="eastAsia"/>
                      <w:color w:val="auto"/>
                      <w:sz w:val="21"/>
                      <w:szCs w:val="21"/>
                    </w:rPr>
                    <w:t>水</w:t>
                  </w:r>
                </w:p>
              </w:tc>
              <w:tc>
                <w:tcPr>
                  <w:tcW w:w="224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10800</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vAlign w:val="center"/>
                </w:tcPr>
                <w:p>
                  <w:pPr>
                    <w:pStyle w:val="19"/>
                    <w:rPr>
                      <w:color w:val="auto"/>
                    </w:rPr>
                  </w:pPr>
                  <w:r>
                    <w:rPr>
                      <w:color w:val="auto"/>
                    </w:rPr>
                    <w:t>合计</w:t>
                  </w:r>
                </w:p>
              </w:tc>
              <w:tc>
                <w:tcPr>
                  <w:tcW w:w="2243" w:type="dxa"/>
                  <w:vAlign w:val="center"/>
                </w:tcPr>
                <w:p>
                  <w:pPr>
                    <w:widowControl/>
                    <w:jc w:val="center"/>
                    <w:textAlignment w:val="center"/>
                    <w:rPr>
                      <w:rFonts w:hint="default" w:eastAsia="宋体"/>
                      <w:color w:val="auto"/>
                      <w:sz w:val="21"/>
                      <w:szCs w:val="21"/>
                      <w:lang w:val="en-US" w:eastAsia="zh-CN"/>
                    </w:rPr>
                  </w:pPr>
                  <w:r>
                    <w:rPr>
                      <w:b/>
                      <w:bCs/>
                      <w:color w:val="auto"/>
                      <w:sz w:val="21"/>
                      <w:szCs w:val="21"/>
                    </w:rPr>
                    <w:fldChar w:fldCharType="begin"/>
                  </w:r>
                  <w:r>
                    <w:rPr>
                      <w:b/>
                      <w:bCs/>
                      <w:color w:val="auto"/>
                      <w:sz w:val="21"/>
                      <w:szCs w:val="21"/>
                    </w:rPr>
                    <w:instrText xml:space="preserve"> = sum(B3:B8) \* MERGEFORMAT </w:instrText>
                  </w:r>
                  <w:r>
                    <w:rPr>
                      <w:b/>
                      <w:bCs/>
                      <w:color w:val="auto"/>
                      <w:sz w:val="21"/>
                      <w:szCs w:val="21"/>
                    </w:rPr>
                    <w:fldChar w:fldCharType="separate"/>
                  </w:r>
                  <w:r>
                    <w:rPr>
                      <w:b/>
                      <w:bCs/>
                      <w:color w:val="auto"/>
                      <w:sz w:val="21"/>
                      <w:szCs w:val="21"/>
                    </w:rPr>
                    <w:t>3600</w:t>
                  </w:r>
                  <w:r>
                    <w:rPr>
                      <w:rFonts w:hint="eastAsia"/>
                      <w:b/>
                      <w:bCs/>
                      <w:color w:val="auto"/>
                      <w:sz w:val="21"/>
                      <w:szCs w:val="21"/>
                      <w:lang w:val="en-US" w:eastAsia="zh-CN"/>
                    </w:rPr>
                    <w:t>4</w:t>
                  </w:r>
                  <w:r>
                    <w:rPr>
                      <w:b/>
                      <w:bCs/>
                      <w:color w:val="auto"/>
                      <w:sz w:val="21"/>
                      <w:szCs w:val="21"/>
                    </w:rPr>
                    <w:fldChar w:fldCharType="end"/>
                  </w:r>
                  <w:r>
                    <w:rPr>
                      <w:rFonts w:hint="eastAsia"/>
                      <w:b/>
                      <w:bCs/>
                      <w:color w:val="auto"/>
                      <w:sz w:val="21"/>
                      <w:szCs w:val="21"/>
                      <w:lang w:val="en-US" w:eastAsia="zh-CN"/>
                    </w:rPr>
                    <w:t>.542</w:t>
                  </w:r>
                </w:p>
              </w:tc>
              <w:tc>
                <w:tcPr>
                  <w:tcW w:w="2341" w:type="dxa"/>
                  <w:vAlign w:val="center"/>
                </w:tcPr>
                <w:p>
                  <w:pPr>
                    <w:pStyle w:val="19"/>
                    <w:rPr>
                      <w:color w:val="auto"/>
                      <w:highlight w:val="none"/>
                    </w:rPr>
                  </w:pPr>
                  <w:r>
                    <w:rPr>
                      <w:color w:val="auto"/>
                      <w:highlight w:val="none"/>
                    </w:rPr>
                    <w:t>合计</w:t>
                  </w:r>
                </w:p>
              </w:tc>
              <w:tc>
                <w:tcPr>
                  <w:tcW w:w="2084" w:type="dxa"/>
                  <w:vAlign w:val="center"/>
                </w:tcPr>
                <w:p>
                  <w:pPr>
                    <w:pStyle w:val="19"/>
                    <w:rPr>
                      <w:b/>
                      <w:bCs/>
                      <w:color w:val="auto"/>
                      <w:highlight w:val="none"/>
                    </w:rPr>
                  </w:pPr>
                  <w:r>
                    <w:rPr>
                      <w:b/>
                      <w:bCs/>
                      <w:color w:val="auto"/>
                      <w:highlight w:val="none"/>
                    </w:rPr>
                    <w:fldChar w:fldCharType="begin"/>
                  </w:r>
                  <w:r>
                    <w:rPr>
                      <w:b/>
                      <w:bCs/>
                      <w:color w:val="auto"/>
                      <w:highlight w:val="none"/>
                    </w:rPr>
                    <w:instrText xml:space="preserve"> = sum(D3:D8) \* MERGEFORMAT </w:instrText>
                  </w:r>
                  <w:r>
                    <w:rPr>
                      <w:b/>
                      <w:bCs/>
                      <w:color w:val="auto"/>
                      <w:highlight w:val="none"/>
                    </w:rPr>
                    <w:fldChar w:fldCharType="separate"/>
                  </w:r>
                  <w:r>
                    <w:rPr>
                      <w:b/>
                      <w:bCs/>
                      <w:color w:val="auto"/>
                      <w:highlight w:val="none"/>
                    </w:rPr>
                    <w:t>36004.542</w:t>
                  </w:r>
                  <w:r>
                    <w:rPr>
                      <w:b/>
                      <w:bCs/>
                      <w:color w:val="auto"/>
                      <w:highlight w:val="none"/>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8631" w:type="dxa"/>
                  <w:gridSpan w:val="4"/>
                  <w:vAlign w:val="center"/>
                </w:tcPr>
                <w:p>
                  <w:pPr>
                    <w:pStyle w:val="19"/>
                    <w:rPr>
                      <w:rFonts w:hint="default" w:eastAsia="宋体"/>
                      <w:color w:val="auto"/>
                      <w:lang w:val="en-US" w:eastAsia="zh-CN"/>
                    </w:rPr>
                  </w:pPr>
                  <w:r>
                    <w:rPr>
                      <w:rFonts w:hint="eastAsia"/>
                      <w:color w:val="auto"/>
                      <w:lang w:val="en-US" w:eastAsia="zh-CN"/>
                    </w:rPr>
                    <w:t>商品混凝土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沙子</w:t>
                  </w:r>
                </w:p>
              </w:tc>
              <w:tc>
                <w:tcPr>
                  <w:tcW w:w="2243" w:type="dxa"/>
                  <w:shd w:val="clear" w:color="auto" w:fill="auto"/>
                  <w:vAlign w:val="top"/>
                </w:tcPr>
                <w:p>
                  <w:pPr>
                    <w:pStyle w:val="107"/>
                    <w:spacing w:before="0" w:beforeLines="0" w:after="0" w:afterLines="0" w:line="240" w:lineRule="auto"/>
                    <w:ind w:firstLine="0" w:firstLineChars="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lang w:val="en-US" w:eastAsia="zh-CN"/>
                    </w:rPr>
                    <w:t>000</w:t>
                  </w:r>
                </w:p>
              </w:tc>
              <w:tc>
                <w:tcPr>
                  <w:tcW w:w="2341"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lang w:eastAsia="zh-CN"/>
                    </w:rPr>
                    <w:t>混凝土</w:t>
                  </w:r>
                </w:p>
              </w:tc>
              <w:tc>
                <w:tcPr>
                  <w:tcW w:w="2084"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highlight w:val="none"/>
                      <w:u w:val="none"/>
                      <w:lang w:val="en-US" w:eastAsia="zh-CN"/>
                    </w:rPr>
                    <w:t>12000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石头</w:t>
                  </w:r>
                </w:p>
              </w:tc>
              <w:tc>
                <w:tcPr>
                  <w:tcW w:w="224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3500</w:t>
                  </w:r>
                </w:p>
              </w:tc>
              <w:tc>
                <w:tcPr>
                  <w:tcW w:w="2341"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粉尘（排放量）</w:t>
                  </w:r>
                </w:p>
              </w:tc>
              <w:tc>
                <w:tcPr>
                  <w:tcW w:w="2084"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highlight w:val="none"/>
                      <w:u w:val="none"/>
                      <w:lang w:val="en-US" w:eastAsia="zh-CN"/>
                    </w:rPr>
                    <w:t>1.615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96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水泥</w:t>
                  </w:r>
                </w:p>
              </w:tc>
              <w:tc>
                <w:tcPr>
                  <w:tcW w:w="224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1620</w:t>
                  </w:r>
                </w:p>
              </w:tc>
              <w:tc>
                <w:tcPr>
                  <w:tcW w:w="2341"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center"/>
                </w:tcPr>
                <w:p>
                  <w:pPr>
                    <w:pStyle w:val="19"/>
                    <w:adjustRightIn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96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
                    </w:rPr>
                    <w:t>缓凝剂</w:t>
                  </w:r>
                </w:p>
              </w:tc>
              <w:tc>
                <w:tcPr>
                  <w:tcW w:w="224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u w:val="none"/>
                      <w:lang w:val="en-US" w:eastAsia="zh-CN" w:bidi="ar-SA"/>
                    </w:rPr>
                    <w:t>6.165</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
                    </w:rPr>
                    <w:t>减水剂</w:t>
                  </w:r>
                </w:p>
              </w:tc>
              <w:tc>
                <w:tcPr>
                  <w:tcW w:w="224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15</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96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粉煤灰</w:t>
                  </w:r>
                </w:p>
              </w:tc>
              <w:tc>
                <w:tcPr>
                  <w:tcW w:w="224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680</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矿粉</w:t>
                  </w:r>
                </w:p>
              </w:tc>
              <w:tc>
                <w:tcPr>
                  <w:tcW w:w="2243" w:type="dxa"/>
                  <w:shd w:val="clear" w:color="auto" w:fill="auto"/>
                  <w:vAlign w:val="top"/>
                </w:tcPr>
                <w:p>
                  <w:pPr>
                    <w:pStyle w:val="107"/>
                    <w:spacing w:before="0" w:beforeLines="0" w:after="0" w:afterLines="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680</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c>
                <w:tcPr>
                  <w:tcW w:w="2084" w:type="dxa"/>
                  <w:shd w:val="clear" w:color="auto" w:fill="auto"/>
                  <w:vAlign w:val="top"/>
                </w:tcPr>
                <w:p>
                  <w:pPr>
                    <w:pStyle w:val="19"/>
                    <w:adjustRightIn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shd w:val="clear" w:color="auto" w:fill="auto"/>
                  <w:vAlign w:val="center"/>
                </w:tcPr>
                <w:p>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w:t>
                  </w:r>
                </w:p>
              </w:tc>
              <w:tc>
                <w:tcPr>
                  <w:tcW w:w="2243" w:type="dxa"/>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1500</w:t>
                  </w:r>
                </w:p>
              </w:tc>
              <w:tc>
                <w:tcPr>
                  <w:tcW w:w="2341" w:type="dxa"/>
                  <w:shd w:val="clear" w:color="auto" w:fill="auto"/>
                  <w:vAlign w:val="top"/>
                </w:tcPr>
                <w:p>
                  <w:pPr>
                    <w:pStyle w:val="19"/>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rPr>
                    <w:t>-</w:t>
                  </w:r>
                </w:p>
              </w:tc>
              <w:tc>
                <w:tcPr>
                  <w:tcW w:w="2084" w:type="dxa"/>
                  <w:shd w:val="clear" w:color="auto" w:fill="auto"/>
                  <w:vAlign w:val="top"/>
                </w:tcPr>
                <w:p>
                  <w:pPr>
                    <w:pStyle w:val="19"/>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963"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rPr>
                    <w:t>合计</w:t>
                  </w:r>
                </w:p>
              </w:tc>
              <w:tc>
                <w:tcPr>
                  <w:tcW w:w="2243" w:type="dxa"/>
                  <w:shd w:val="clear" w:color="auto" w:fill="auto"/>
                  <w:vAlign w:val="center"/>
                </w:tcPr>
                <w:p>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fldChar w:fldCharType="begin"/>
                  </w:r>
                  <w:r>
                    <w:rPr>
                      <w:rFonts w:hint="eastAsia" w:ascii="Times New Roman" w:hAnsi="Times New Roman" w:eastAsia="宋体" w:cs="Times New Roman"/>
                      <w:b/>
                      <w:bCs/>
                      <w:color w:val="auto"/>
                      <w:kern w:val="2"/>
                      <w:sz w:val="21"/>
                      <w:szCs w:val="21"/>
                      <w:highlight w:val="none"/>
                      <w:lang w:val="en-US" w:eastAsia="zh-CN" w:bidi="ar-SA"/>
                    </w:rPr>
                    <w:instrText xml:space="preserve"> = sum(B11:B18) \* MERGEFORMAT </w:instrText>
                  </w:r>
                  <w:r>
                    <w:rPr>
                      <w:rFonts w:hint="eastAsia" w:ascii="Times New Roman" w:hAnsi="Times New Roman" w:eastAsia="宋体" w:cs="Times New Roman"/>
                      <w:b/>
                      <w:bCs/>
                      <w:color w:val="auto"/>
                      <w:kern w:val="2"/>
                      <w:sz w:val="21"/>
                      <w:szCs w:val="21"/>
                      <w:highlight w:val="none"/>
                      <w:lang w:val="en-US" w:eastAsia="zh-CN" w:bidi="ar-SA"/>
                    </w:rPr>
                    <w:fldChar w:fldCharType="separate"/>
                  </w:r>
                  <w:r>
                    <w:rPr>
                      <w:rFonts w:hint="eastAsia" w:ascii="Times New Roman" w:hAnsi="Times New Roman" w:eastAsia="宋体" w:cs="Times New Roman"/>
                      <w:b/>
                      <w:bCs/>
                      <w:color w:val="auto"/>
                      <w:kern w:val="2"/>
                      <w:sz w:val="21"/>
                      <w:szCs w:val="21"/>
                      <w:highlight w:val="none"/>
                      <w:lang w:val="en-US" w:eastAsia="zh-CN" w:bidi="ar-SA"/>
                    </w:rPr>
                    <w:t>1200</w:t>
                  </w:r>
                  <w:r>
                    <w:rPr>
                      <w:rFonts w:hint="eastAsia" w:cs="Times New Roman"/>
                      <w:b/>
                      <w:bCs/>
                      <w:color w:val="auto"/>
                      <w:kern w:val="2"/>
                      <w:sz w:val="21"/>
                      <w:szCs w:val="21"/>
                      <w:highlight w:val="none"/>
                      <w:lang w:val="en-US" w:eastAsia="zh-CN" w:bidi="ar-SA"/>
                    </w:rPr>
                    <w:t>1</w:t>
                  </w:r>
                  <w:r>
                    <w:rPr>
                      <w:rFonts w:hint="eastAsia" w:ascii="Times New Roman" w:hAnsi="Times New Roman" w:eastAsia="宋体" w:cs="Times New Roman"/>
                      <w:b/>
                      <w:bCs/>
                      <w:color w:val="auto"/>
                      <w:kern w:val="2"/>
                      <w:sz w:val="21"/>
                      <w:szCs w:val="21"/>
                      <w:highlight w:val="none"/>
                      <w:lang w:val="en-US" w:eastAsia="zh-CN" w:bidi="ar-SA"/>
                    </w:rPr>
                    <w:t>.165</w:t>
                  </w:r>
                  <w:r>
                    <w:rPr>
                      <w:rFonts w:hint="eastAsia" w:ascii="Times New Roman" w:hAnsi="Times New Roman" w:eastAsia="宋体" w:cs="Times New Roman"/>
                      <w:b/>
                      <w:bCs/>
                      <w:color w:val="auto"/>
                      <w:kern w:val="2"/>
                      <w:sz w:val="21"/>
                      <w:szCs w:val="21"/>
                      <w:highlight w:val="none"/>
                      <w:lang w:val="en-US" w:eastAsia="zh-CN" w:bidi="ar-SA"/>
                    </w:rPr>
                    <w:fldChar w:fldCharType="end"/>
                  </w:r>
                </w:p>
              </w:tc>
              <w:tc>
                <w:tcPr>
                  <w:tcW w:w="2341" w:type="dxa"/>
                  <w:shd w:val="clear" w:color="auto" w:fill="auto"/>
                  <w:vAlign w:val="center"/>
                </w:tcPr>
                <w:p>
                  <w:pPr>
                    <w:pStyle w:val="19"/>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highlight w:val="none"/>
                    </w:rPr>
                    <w:t>合计</w:t>
                  </w:r>
                </w:p>
              </w:tc>
              <w:tc>
                <w:tcPr>
                  <w:tcW w:w="2084" w:type="dxa"/>
                  <w:shd w:val="clear" w:color="auto" w:fill="auto"/>
                  <w:vAlign w:val="center"/>
                </w:tcPr>
                <w:p>
                  <w:pPr>
                    <w:pStyle w:val="19"/>
                    <w:adjustRightInd w:val="0"/>
                    <w:jc w:val="center"/>
                    <w:rPr>
                      <w:rFonts w:hint="eastAsia" w:ascii="Times New Roman" w:hAnsi="Times New Roman" w:eastAsia="宋体" w:cs="Times New Roman"/>
                      <w:b/>
                      <w:bCs/>
                      <w:color w:val="auto"/>
                      <w:kern w:val="2"/>
                      <w:sz w:val="21"/>
                      <w:szCs w:val="21"/>
                      <w:highlight w:val="yellow"/>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fldChar w:fldCharType="begin"/>
                  </w:r>
                  <w:r>
                    <w:rPr>
                      <w:rFonts w:hint="eastAsia" w:ascii="Times New Roman" w:hAnsi="Times New Roman" w:eastAsia="宋体" w:cs="Times New Roman"/>
                      <w:b/>
                      <w:bCs/>
                      <w:color w:val="auto"/>
                      <w:kern w:val="2"/>
                      <w:sz w:val="21"/>
                      <w:szCs w:val="21"/>
                      <w:highlight w:val="none"/>
                      <w:lang w:val="en-US" w:eastAsia="zh-CN" w:bidi="ar-SA"/>
                    </w:rPr>
                    <w:instrText xml:space="preserve"> = sum(D11:D18) \* MERGEFORMAT </w:instrText>
                  </w:r>
                  <w:r>
                    <w:rPr>
                      <w:rFonts w:hint="eastAsia" w:ascii="Times New Roman" w:hAnsi="Times New Roman" w:eastAsia="宋体" w:cs="Times New Roman"/>
                      <w:b/>
                      <w:bCs/>
                      <w:color w:val="auto"/>
                      <w:kern w:val="2"/>
                      <w:sz w:val="21"/>
                      <w:szCs w:val="21"/>
                      <w:highlight w:val="none"/>
                      <w:lang w:val="en-US" w:eastAsia="zh-CN" w:bidi="ar-SA"/>
                    </w:rPr>
                    <w:fldChar w:fldCharType="separate"/>
                  </w:r>
                  <w:r>
                    <w:rPr>
                      <w:rFonts w:hint="eastAsia" w:ascii="Times New Roman" w:hAnsi="Times New Roman" w:eastAsia="宋体" w:cs="Times New Roman"/>
                      <w:b/>
                      <w:bCs/>
                      <w:color w:val="auto"/>
                      <w:kern w:val="2"/>
                      <w:sz w:val="21"/>
                      <w:szCs w:val="21"/>
                      <w:highlight w:val="none"/>
                      <w:lang w:val="en-US" w:eastAsia="zh-CN" w:bidi="ar-SA"/>
                    </w:rPr>
                    <w:t>12001.615</w:t>
                  </w:r>
                  <w:r>
                    <w:rPr>
                      <w:rFonts w:hint="eastAsia" w:ascii="Times New Roman" w:hAnsi="Times New Roman" w:eastAsia="宋体" w:cs="Times New Roman"/>
                      <w:b/>
                      <w:bCs/>
                      <w:color w:val="auto"/>
                      <w:kern w:val="2"/>
                      <w:sz w:val="21"/>
                      <w:szCs w:val="21"/>
                      <w:highlight w:val="none"/>
                      <w:lang w:val="en-US" w:eastAsia="zh-CN" w:bidi="ar-SA"/>
                    </w:rPr>
                    <w:fldChar w:fldCharType="end"/>
                  </w:r>
                </w:p>
              </w:tc>
            </w:tr>
          </w:tbl>
          <w:p>
            <w:pPr>
              <w:pStyle w:val="54"/>
              <w:numPr>
                <w:ilvl w:val="0"/>
                <w:numId w:val="5"/>
              </w:numPr>
              <w:ind w:firstLine="482"/>
              <w:rPr>
                <w:b/>
                <w:bCs/>
                <w:color w:val="auto"/>
              </w:rPr>
            </w:pPr>
            <w:r>
              <w:rPr>
                <w:b/>
                <w:bCs/>
                <w:color w:val="auto"/>
              </w:rPr>
              <w:t>公用工程</w:t>
            </w:r>
          </w:p>
          <w:p>
            <w:pPr>
              <w:snapToGrid w:val="0"/>
              <w:spacing w:line="360" w:lineRule="auto"/>
              <w:ind w:firstLine="480" w:firstLineChars="200"/>
              <w:rPr>
                <w:rFonts w:hAnsi="宋体" w:cs="宋体"/>
                <w:color w:val="auto"/>
                <w:lang w:bidi="ar"/>
              </w:rPr>
            </w:pPr>
            <w:r>
              <w:rPr>
                <w:rFonts w:hint="eastAsia" w:hAnsi="宋体" w:cs="宋体"/>
                <w:color w:val="auto"/>
                <w:lang w:bidi="ar"/>
              </w:rPr>
              <w:t>（1）给水</w:t>
            </w:r>
          </w:p>
          <w:p>
            <w:pPr>
              <w:adjustRightInd w:val="0"/>
              <w:snapToGrid w:val="0"/>
              <w:spacing w:line="360" w:lineRule="auto"/>
              <w:ind w:firstLine="480" w:firstLineChars="200"/>
              <w:rPr>
                <w:rFonts w:hint="default" w:ascii="Times New Roman" w:hAnsi="Times New Roman" w:eastAsia="宋体" w:cs="Times New Roman"/>
                <w:color w:val="auto"/>
                <w:highlight w:val="none"/>
                <w:lang w:bidi="ar"/>
              </w:rPr>
            </w:pPr>
            <w:r>
              <w:rPr>
                <w:kern w:val="0"/>
                <w:sz w:val="24"/>
                <w:highlight w:val="none"/>
              </w:rPr>
              <w:t>本项目用水由</w:t>
            </w:r>
            <w:r>
              <w:rPr>
                <w:rFonts w:hint="eastAsia"/>
                <w:kern w:val="0"/>
                <w:sz w:val="24"/>
                <w:highlight w:val="none"/>
                <w:lang w:val="en-US" w:eastAsia="zh-CN"/>
              </w:rPr>
              <w:t>供水管网</w:t>
            </w:r>
            <w:r>
              <w:rPr>
                <w:kern w:val="0"/>
                <w:sz w:val="24"/>
                <w:highlight w:val="none"/>
              </w:rPr>
              <w:t>提供</w:t>
            </w:r>
            <w:r>
              <w:rPr>
                <w:rFonts w:hint="eastAsia"/>
                <w:kern w:val="0"/>
                <w:sz w:val="24"/>
                <w:highlight w:val="none"/>
                <w:lang w:eastAsia="zh-CN"/>
              </w:rPr>
              <w:t>，</w:t>
            </w:r>
            <w:r>
              <w:rPr>
                <w:rFonts w:hint="eastAsia"/>
                <w:sz w:val="24"/>
              </w:rPr>
              <w:t>本项目新增用水主要为</w:t>
            </w:r>
            <w:r>
              <w:rPr>
                <w:rFonts w:hint="eastAsia"/>
                <w:sz w:val="24"/>
                <w:lang w:val="en-US" w:eastAsia="zh-CN"/>
              </w:rPr>
              <w:t>生产用水。</w:t>
            </w:r>
            <w:r>
              <w:rPr>
                <w:rFonts w:hint="eastAsia" w:hAnsi="宋体" w:cs="宋体"/>
                <w:color w:val="auto"/>
                <w:highlight w:val="none"/>
                <w:lang w:bidi="ar"/>
              </w:rPr>
              <w:t>本项目生产用水主要为水稳料用水、</w:t>
            </w:r>
            <w:r>
              <w:rPr>
                <w:rFonts w:hint="default" w:ascii="Times New Roman" w:hAnsi="Times New Roman" w:eastAsia="宋体" w:cs="Times New Roman"/>
                <w:color w:val="auto"/>
                <w:highlight w:val="none"/>
                <w:lang w:eastAsia="zh-CN" w:bidi="ar"/>
              </w:rPr>
              <w:t>混凝土搅拌</w:t>
            </w:r>
            <w:r>
              <w:rPr>
                <w:rFonts w:hint="default" w:ascii="Times New Roman" w:hAnsi="Times New Roman" w:eastAsia="宋体" w:cs="Times New Roman"/>
                <w:color w:val="auto"/>
                <w:highlight w:val="none"/>
                <w:lang w:bidi="ar"/>
              </w:rPr>
              <w:t>料用水</w:t>
            </w:r>
            <w:r>
              <w:rPr>
                <w:rFonts w:hint="eastAsia" w:ascii="Times New Roman" w:hAnsi="Times New Roman" w:eastAsia="宋体" w:cs="Times New Roman"/>
                <w:color w:val="auto"/>
                <w:highlight w:val="none"/>
                <w:lang w:eastAsia="zh-CN" w:bidi="ar"/>
              </w:rPr>
              <w:t>、</w:t>
            </w:r>
            <w:r>
              <w:rPr>
                <w:rFonts w:hint="eastAsia" w:hAnsi="宋体" w:cs="宋体"/>
                <w:color w:val="auto"/>
                <w:highlight w:val="none"/>
                <w:lang w:bidi="ar"/>
              </w:rPr>
              <w:t>拌合设备清洗用水、运输车辆冲洗用水、道路及地面洒水抑尘用水。</w:t>
            </w:r>
          </w:p>
          <w:p>
            <w:pPr>
              <w:spacing w:line="360" w:lineRule="auto"/>
              <w:ind w:firstLine="480" w:firstLineChars="200"/>
              <w:rPr>
                <w:rFonts w:hint="eastAsia" w:ascii="Times New Roman" w:hAnsi="Times New Roman" w:eastAsia="宋体" w:cs="Times New Roman"/>
                <w:color w:val="auto"/>
                <w:highlight w:val="none"/>
                <w:lang w:eastAsia="zh-CN" w:bidi="ar"/>
              </w:rPr>
            </w:pPr>
            <w:r>
              <w:rPr>
                <w:rFonts w:hint="default" w:ascii="Times New Roman" w:hAnsi="Times New Roman" w:eastAsia="宋体" w:cs="Times New Roman"/>
                <w:color w:val="auto"/>
                <w:highlight w:val="none"/>
                <w:lang w:bidi="ar"/>
              </w:rPr>
              <w:t>①</w:t>
            </w:r>
            <w:r>
              <w:rPr>
                <w:rFonts w:hint="default" w:ascii="Times New Roman" w:hAnsi="Times New Roman" w:eastAsia="宋体" w:cs="Times New Roman"/>
                <w:color w:val="auto"/>
                <w:highlight w:val="none"/>
                <w:lang w:eastAsia="zh-CN" w:bidi="ar"/>
              </w:rPr>
              <w:t>混凝土搅拌</w:t>
            </w:r>
            <w:r>
              <w:rPr>
                <w:rFonts w:hint="default" w:ascii="Times New Roman" w:hAnsi="Times New Roman" w:eastAsia="宋体" w:cs="Times New Roman"/>
                <w:color w:val="auto"/>
                <w:highlight w:val="none"/>
                <w:lang w:bidi="ar"/>
              </w:rPr>
              <w:t>料用水</w:t>
            </w:r>
            <w:r>
              <w:rPr>
                <w:rFonts w:hint="eastAsia" w:cs="Times New Roman"/>
                <w:color w:val="auto"/>
                <w:highlight w:val="none"/>
                <w:lang w:eastAsia="zh-CN" w:bidi="ar"/>
              </w:rPr>
              <w:t>、</w:t>
            </w:r>
            <w:r>
              <w:rPr>
                <w:rFonts w:hint="eastAsia" w:hAnsi="宋体" w:cs="宋体"/>
                <w:color w:val="auto"/>
                <w:lang w:bidi="ar"/>
              </w:rPr>
              <w:t>水稳料用水</w:t>
            </w:r>
          </w:p>
          <w:p>
            <w:pPr>
              <w:spacing w:line="360" w:lineRule="auto"/>
              <w:ind w:firstLine="480" w:firstLineChars="200"/>
              <w:rPr>
                <w:rFonts w:hint="default" w:ascii="Times New Roman" w:hAnsi="Times New Roman" w:eastAsia="宋体" w:cs="Times New Roman"/>
                <w:color w:val="auto"/>
                <w:highlight w:val="none"/>
                <w:u w:val="none"/>
                <w:lang w:bidi="ar"/>
              </w:rPr>
            </w:pPr>
            <w:r>
              <w:rPr>
                <w:rFonts w:hint="default" w:ascii="Times New Roman" w:hAnsi="Times New Roman" w:eastAsia="宋体" w:cs="Times New Roman"/>
                <w:color w:val="auto"/>
                <w:highlight w:val="none"/>
                <w:u w:val="none"/>
                <w:lang w:bidi="ar"/>
              </w:rPr>
              <w:t>本项目生产</w:t>
            </w:r>
            <w:r>
              <w:rPr>
                <w:rFonts w:hint="default" w:ascii="Times New Roman" w:hAnsi="Times New Roman" w:eastAsia="宋体" w:cs="Times New Roman"/>
                <w:color w:val="auto"/>
                <w:highlight w:val="none"/>
                <w:u w:val="none"/>
                <w:lang w:eastAsia="zh-CN" w:bidi="ar"/>
              </w:rPr>
              <w:t>混凝土</w:t>
            </w:r>
            <w:r>
              <w:rPr>
                <w:rFonts w:hint="default" w:ascii="Times New Roman" w:hAnsi="Times New Roman" w:eastAsia="宋体" w:cs="Times New Roman"/>
                <w:color w:val="auto"/>
                <w:highlight w:val="none"/>
                <w:u w:val="none"/>
                <w:lang w:bidi="ar"/>
              </w:rPr>
              <w:t>过程中需添加水。根据企业提供数据，</w:t>
            </w:r>
            <w:r>
              <w:rPr>
                <w:rFonts w:hint="default" w:ascii="Times New Roman" w:hAnsi="Times New Roman" w:eastAsia="宋体" w:cs="Times New Roman"/>
                <w:color w:val="auto"/>
                <w:highlight w:val="none"/>
                <w:u w:val="none"/>
                <w:lang w:val="en-US" w:eastAsia="zh-CN" w:bidi="ar"/>
              </w:rPr>
              <w:t>每立方混凝土需配0.15m</w:t>
            </w:r>
            <w:r>
              <w:rPr>
                <w:rFonts w:hint="default" w:ascii="Times New Roman" w:hAnsi="Times New Roman" w:eastAsia="宋体" w:cs="Times New Roman"/>
                <w:color w:val="auto"/>
                <w:highlight w:val="none"/>
                <w:u w:val="none"/>
                <w:vertAlign w:val="superscript"/>
                <w:lang w:val="en-US" w:eastAsia="zh-CN" w:bidi="ar"/>
              </w:rPr>
              <w:t>3</w:t>
            </w:r>
            <w:r>
              <w:rPr>
                <w:rFonts w:hint="default" w:ascii="Times New Roman" w:hAnsi="Times New Roman" w:eastAsia="宋体" w:cs="Times New Roman"/>
                <w:color w:val="auto"/>
                <w:highlight w:val="none"/>
                <w:u w:val="none"/>
                <w:lang w:val="en-US" w:eastAsia="zh-CN" w:bidi="ar"/>
              </w:rPr>
              <w:t>的水，</w:t>
            </w:r>
            <w:r>
              <w:rPr>
                <w:rFonts w:hint="default" w:ascii="Times New Roman" w:hAnsi="Times New Roman" w:eastAsia="宋体" w:cs="Times New Roman"/>
                <w:color w:val="auto"/>
                <w:highlight w:val="none"/>
                <w:u w:val="none"/>
                <w:lang w:bidi="ar"/>
              </w:rPr>
              <w:t>年生产</w:t>
            </w:r>
            <w:r>
              <w:rPr>
                <w:rFonts w:hint="default" w:ascii="Times New Roman" w:hAnsi="Times New Roman" w:eastAsia="宋体" w:cs="Times New Roman"/>
                <w:color w:val="auto"/>
                <w:highlight w:val="none"/>
                <w:u w:val="none"/>
                <w:lang w:eastAsia="zh-CN" w:bidi="ar"/>
              </w:rPr>
              <w:t>混凝土</w:t>
            </w:r>
            <w:r>
              <w:rPr>
                <w:rFonts w:hint="default" w:ascii="Times New Roman" w:hAnsi="Times New Roman" w:eastAsia="宋体" w:cs="Times New Roman"/>
                <w:color w:val="auto"/>
                <w:highlight w:val="none"/>
                <w:u w:val="none"/>
                <w:lang w:val="en-US" w:eastAsia="zh-CN" w:bidi="ar"/>
              </w:rPr>
              <w:t>1</w:t>
            </w:r>
            <w:r>
              <w:rPr>
                <w:rFonts w:hint="eastAsia" w:cs="Times New Roman"/>
                <w:color w:val="auto"/>
                <w:highlight w:val="none"/>
                <w:u w:val="none"/>
                <w:lang w:val="en-US" w:eastAsia="zh-CN" w:bidi="ar"/>
              </w:rPr>
              <w:t>2</w:t>
            </w:r>
            <w:r>
              <w:rPr>
                <w:rFonts w:hint="default" w:ascii="Times New Roman" w:hAnsi="Times New Roman" w:eastAsia="宋体" w:cs="Times New Roman"/>
                <w:color w:val="auto"/>
                <w:highlight w:val="none"/>
                <w:u w:val="none"/>
                <w:lang w:val="en-US" w:eastAsia="zh-CN" w:bidi="ar"/>
              </w:rPr>
              <w:t>000</w:t>
            </w:r>
            <w:r>
              <w:rPr>
                <w:rFonts w:hint="default" w:ascii="Times New Roman" w:hAnsi="Times New Roman" w:eastAsia="宋体" w:cs="Times New Roman"/>
                <w:color w:val="auto"/>
                <w:highlight w:val="none"/>
                <w:u w:val="none"/>
                <w:lang w:bidi="ar"/>
              </w:rPr>
              <w:t>t，约为</w:t>
            </w:r>
            <w:r>
              <w:rPr>
                <w:rFonts w:hint="default" w:ascii="Times New Roman" w:hAnsi="Times New Roman" w:eastAsia="宋体" w:cs="Times New Roman"/>
                <w:color w:val="auto"/>
                <w:highlight w:val="none"/>
                <w:u w:val="none"/>
                <w:lang w:val="en-US" w:eastAsia="zh-CN" w:bidi="ar"/>
              </w:rPr>
              <w:t>1</w:t>
            </w:r>
            <w:r>
              <w:rPr>
                <w:rFonts w:hint="default" w:ascii="Times New Roman" w:hAnsi="Times New Roman" w:eastAsia="宋体" w:cs="Times New Roman"/>
                <w:color w:val="auto"/>
                <w:highlight w:val="none"/>
                <w:u w:val="none"/>
                <w:lang w:bidi="ar"/>
              </w:rPr>
              <w:t>万m</w:t>
            </w:r>
            <w:r>
              <w:rPr>
                <w:rFonts w:hint="default" w:ascii="Times New Roman" w:hAnsi="Times New Roman" w:eastAsia="宋体" w:cs="Times New Roman"/>
                <w:color w:val="auto"/>
                <w:highlight w:val="none"/>
                <w:u w:val="none"/>
                <w:vertAlign w:val="superscript"/>
                <w:lang w:bidi="ar"/>
              </w:rPr>
              <w:t>3</w:t>
            </w:r>
            <w:r>
              <w:rPr>
                <w:rFonts w:hint="default" w:ascii="Times New Roman" w:hAnsi="Times New Roman" w:eastAsia="宋体" w:cs="Times New Roman"/>
                <w:color w:val="auto"/>
                <w:highlight w:val="none"/>
                <w:u w:val="none"/>
                <w:lang w:bidi="ar"/>
              </w:rPr>
              <w:t>，</w:t>
            </w:r>
            <w:r>
              <w:rPr>
                <w:rFonts w:hint="eastAsia" w:hAnsi="宋体" w:cs="宋体"/>
                <w:color w:val="auto"/>
                <w:highlight w:val="none"/>
                <w:u w:val="none"/>
                <w:lang w:bidi="ar"/>
              </w:rPr>
              <w:t>则用水量</w:t>
            </w:r>
            <w:r>
              <w:rPr>
                <w:rFonts w:hAnsi="宋体" w:cs="宋体"/>
                <w:color w:val="auto"/>
                <w:highlight w:val="none"/>
                <w:u w:val="none"/>
                <w:lang w:bidi="ar"/>
              </w:rPr>
              <w:t>15</w:t>
            </w:r>
            <w:r>
              <w:rPr>
                <w:rFonts w:hint="eastAsia" w:hAnsi="宋体" w:cs="宋体"/>
                <w:color w:val="auto"/>
                <w:highlight w:val="none"/>
                <w:u w:val="none"/>
                <w:lang w:val="en-US" w:eastAsia="zh-CN" w:bidi="ar"/>
              </w:rPr>
              <w:t>0</w:t>
            </w:r>
            <w:r>
              <w:rPr>
                <w:rFonts w:hAnsi="宋体" w:cs="宋体"/>
                <w:color w:val="auto"/>
                <w:highlight w:val="none"/>
                <w:u w:val="none"/>
                <w:lang w:bidi="ar"/>
              </w:rPr>
              <w:t>0</w:t>
            </w:r>
            <w:r>
              <w:rPr>
                <w:rFonts w:hint="eastAsia" w:hAnsi="宋体" w:cs="宋体"/>
                <w:color w:val="auto"/>
                <w:highlight w:val="none"/>
                <w:u w:val="none"/>
                <w:lang w:bidi="ar"/>
              </w:rPr>
              <w:t>m</w:t>
            </w:r>
            <w:r>
              <w:rPr>
                <w:rFonts w:hint="eastAsia" w:hAnsi="宋体" w:cs="宋体"/>
                <w:color w:val="auto"/>
                <w:highlight w:val="none"/>
                <w:u w:val="none"/>
                <w:vertAlign w:val="superscript"/>
                <w:lang w:bidi="ar"/>
              </w:rPr>
              <w:t>3</w:t>
            </w:r>
            <w:r>
              <w:rPr>
                <w:rFonts w:hint="eastAsia" w:hAnsi="宋体" w:cs="宋体"/>
                <w:color w:val="auto"/>
                <w:highlight w:val="none"/>
                <w:u w:val="none"/>
                <w:lang w:bidi="ar"/>
              </w:rPr>
              <w:t>/a。本项目生产水泥稳定碎石过程中需添加水。根据企业提供设计资料，年生产水泥稳定碎石</w:t>
            </w:r>
            <w:r>
              <w:rPr>
                <w:rFonts w:hint="eastAsia" w:hAnsi="宋体" w:cs="宋体"/>
                <w:color w:val="auto"/>
                <w:highlight w:val="none"/>
                <w:u w:val="none"/>
                <w:lang w:val="en-US" w:eastAsia="zh-CN" w:bidi="ar"/>
              </w:rPr>
              <w:t>36000</w:t>
            </w:r>
            <w:r>
              <w:rPr>
                <w:rFonts w:hint="eastAsia" w:hAnsi="宋体" w:cs="宋体"/>
                <w:color w:val="auto"/>
                <w:highlight w:val="none"/>
                <w:u w:val="none"/>
                <w:lang w:bidi="ar"/>
              </w:rPr>
              <w:t>t，约为</w:t>
            </w:r>
            <w:r>
              <w:rPr>
                <w:rFonts w:hint="eastAsia" w:hAnsi="宋体" w:cs="宋体"/>
                <w:color w:val="auto"/>
                <w:highlight w:val="none"/>
                <w:u w:val="none"/>
                <w:lang w:val="en-US" w:eastAsia="zh-CN" w:bidi="ar"/>
              </w:rPr>
              <w:t>30</w:t>
            </w:r>
            <w:r>
              <w:rPr>
                <w:rFonts w:hint="eastAsia" w:hAnsi="宋体" w:cs="宋体"/>
                <w:color w:val="auto"/>
                <w:highlight w:val="none"/>
                <w:u w:val="none"/>
                <w:lang w:bidi="ar"/>
              </w:rPr>
              <w:t>000m</w:t>
            </w:r>
            <w:r>
              <w:rPr>
                <w:rFonts w:hint="eastAsia" w:hAnsi="宋体" w:cs="宋体"/>
                <w:color w:val="auto"/>
                <w:highlight w:val="none"/>
                <w:u w:val="none"/>
                <w:vertAlign w:val="superscript"/>
                <w:lang w:bidi="ar"/>
              </w:rPr>
              <w:t>3</w:t>
            </w:r>
            <w:r>
              <w:rPr>
                <w:rFonts w:hint="eastAsia" w:hAnsi="宋体" w:cs="宋体"/>
                <w:color w:val="auto"/>
                <w:highlight w:val="none"/>
                <w:u w:val="none"/>
                <w:lang w:bidi="ar"/>
              </w:rPr>
              <w:t>，则用水量</w:t>
            </w:r>
            <w:r>
              <w:rPr>
                <w:rFonts w:hAnsi="宋体" w:cs="宋体"/>
                <w:color w:val="auto"/>
                <w:highlight w:val="none"/>
                <w:u w:val="none"/>
                <w:lang w:bidi="ar"/>
              </w:rPr>
              <w:t>1</w:t>
            </w:r>
            <w:r>
              <w:rPr>
                <w:rFonts w:hint="eastAsia" w:hAnsi="宋体" w:cs="宋体"/>
                <w:color w:val="auto"/>
                <w:highlight w:val="none"/>
                <w:u w:val="none"/>
                <w:lang w:val="en-US" w:eastAsia="zh-CN" w:bidi="ar"/>
              </w:rPr>
              <w:t>080</w:t>
            </w:r>
            <w:r>
              <w:rPr>
                <w:rFonts w:hint="eastAsia" w:hAnsi="宋体" w:cs="宋体"/>
                <w:color w:val="auto"/>
                <w:u w:val="none"/>
                <w:lang w:val="en-US" w:eastAsia="zh-CN" w:bidi="ar"/>
              </w:rPr>
              <w:t>0</w:t>
            </w:r>
            <w:r>
              <w:rPr>
                <w:rFonts w:hint="eastAsia" w:hAnsi="宋体" w:cs="宋体"/>
                <w:color w:val="auto"/>
                <w:u w:val="none"/>
                <w:lang w:bidi="ar"/>
              </w:rPr>
              <w:t>m</w:t>
            </w:r>
            <w:r>
              <w:rPr>
                <w:rFonts w:hint="eastAsia" w:hAnsi="宋体" w:cs="宋体"/>
                <w:color w:val="auto"/>
                <w:highlight w:val="none"/>
                <w:u w:val="none"/>
                <w:vertAlign w:val="superscript"/>
                <w:lang w:bidi="ar"/>
              </w:rPr>
              <w:t>3</w:t>
            </w:r>
            <w:r>
              <w:rPr>
                <w:rFonts w:hint="eastAsia" w:hAnsi="宋体" w:cs="宋体"/>
                <w:color w:val="auto"/>
                <w:highlight w:val="none"/>
                <w:u w:val="none"/>
                <w:lang w:bidi="ar"/>
              </w:rPr>
              <w:t>/a。</w:t>
            </w:r>
            <w:r>
              <w:rPr>
                <w:rFonts w:hint="default" w:ascii="Times New Roman" w:hAnsi="Times New Roman" w:eastAsia="宋体" w:cs="Times New Roman"/>
                <w:color w:val="auto"/>
                <w:highlight w:val="none"/>
                <w:u w:val="none"/>
                <w:lang w:bidi="ar"/>
              </w:rPr>
              <w:t>用水量</w:t>
            </w:r>
            <w:r>
              <w:rPr>
                <w:rFonts w:hint="eastAsia" w:cs="Times New Roman"/>
                <w:color w:val="auto"/>
                <w:highlight w:val="none"/>
                <w:u w:val="none"/>
                <w:lang w:val="en-US" w:eastAsia="zh-CN" w:bidi="ar"/>
              </w:rPr>
              <w:t>共计12300</w:t>
            </w:r>
            <w:r>
              <w:rPr>
                <w:rFonts w:hint="default" w:ascii="Times New Roman" w:hAnsi="Times New Roman" w:eastAsia="宋体" w:cs="Times New Roman"/>
                <w:color w:val="auto"/>
                <w:highlight w:val="none"/>
                <w:u w:val="none"/>
                <w:lang w:bidi="ar"/>
              </w:rPr>
              <w:t>m</w:t>
            </w:r>
            <w:r>
              <w:rPr>
                <w:rFonts w:hint="default" w:ascii="Times New Roman" w:hAnsi="Times New Roman" w:eastAsia="宋体" w:cs="Times New Roman"/>
                <w:color w:val="auto"/>
                <w:highlight w:val="none"/>
                <w:u w:val="none"/>
                <w:vertAlign w:val="superscript"/>
                <w:lang w:bidi="ar"/>
              </w:rPr>
              <w:t>3</w:t>
            </w:r>
            <w:r>
              <w:rPr>
                <w:rFonts w:hint="default" w:ascii="Times New Roman" w:hAnsi="Times New Roman" w:eastAsia="宋体" w:cs="Times New Roman"/>
                <w:color w:val="auto"/>
                <w:highlight w:val="none"/>
                <w:u w:val="none"/>
                <w:lang w:bidi="ar"/>
              </w:rPr>
              <w:t>/a。</w:t>
            </w:r>
          </w:p>
          <w:p>
            <w:pPr>
              <w:spacing w:line="360" w:lineRule="auto"/>
              <w:ind w:firstLine="480" w:firstLineChars="20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②搅拌设备冲洗用水</w:t>
            </w:r>
          </w:p>
          <w:p>
            <w:pPr>
              <w:spacing w:line="360" w:lineRule="auto"/>
              <w:ind w:firstLine="480" w:firstLineChars="20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拌合设备每日冲洗一次，冲洗用水为2m</w:t>
            </w:r>
            <w:r>
              <w:rPr>
                <w:rFonts w:hint="default" w:ascii="Times New Roman" w:hAnsi="Times New Roman" w:eastAsia="宋体" w:cs="Times New Roman"/>
                <w:color w:val="auto"/>
                <w:highlight w:val="none"/>
                <w:vertAlign w:val="superscript"/>
                <w:lang w:bidi="ar"/>
              </w:rPr>
              <w:t>3</w:t>
            </w:r>
            <w:r>
              <w:rPr>
                <w:rFonts w:hint="default" w:ascii="Times New Roman" w:hAnsi="Times New Roman" w:eastAsia="宋体" w:cs="Times New Roman"/>
                <w:color w:val="auto"/>
                <w:highlight w:val="none"/>
                <w:lang w:bidi="ar"/>
              </w:rPr>
              <w:t>/d，年用水量</w:t>
            </w:r>
            <w:r>
              <w:rPr>
                <w:rFonts w:hint="eastAsia" w:cs="Times New Roman"/>
                <w:color w:val="auto"/>
                <w:highlight w:val="none"/>
                <w:lang w:val="en-US" w:eastAsia="zh-CN" w:bidi="ar"/>
              </w:rPr>
              <w:t>300</w:t>
            </w:r>
            <w:r>
              <w:rPr>
                <w:rFonts w:hint="default" w:ascii="Times New Roman" w:hAnsi="Times New Roman" w:eastAsia="宋体" w:cs="Times New Roman"/>
                <w:color w:val="auto"/>
                <w:highlight w:val="none"/>
                <w:lang w:bidi="ar"/>
              </w:rPr>
              <w:t>m</w:t>
            </w:r>
            <w:r>
              <w:rPr>
                <w:rFonts w:hint="default" w:ascii="Times New Roman" w:hAnsi="Times New Roman" w:eastAsia="宋体" w:cs="Times New Roman"/>
                <w:color w:val="auto"/>
                <w:highlight w:val="none"/>
                <w:vertAlign w:val="superscript"/>
                <w:lang w:bidi="ar"/>
              </w:rPr>
              <w:t>3</w:t>
            </w:r>
            <w:r>
              <w:rPr>
                <w:rFonts w:hint="default" w:ascii="Times New Roman" w:hAnsi="Times New Roman" w:eastAsia="宋体" w:cs="Times New Roman"/>
                <w:color w:val="auto"/>
                <w:highlight w:val="none"/>
                <w:lang w:bidi="ar"/>
              </w:rPr>
              <w:t>/a，设备冲洗废水进入沉淀池收集，扣除损耗部分（约10%），收集的冲洗废水全部回用于拌和环节用水。</w:t>
            </w:r>
          </w:p>
          <w:p>
            <w:pPr>
              <w:spacing w:line="360" w:lineRule="auto"/>
              <w:ind w:firstLine="480" w:firstLineChars="20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fldChar w:fldCharType="begin"/>
            </w:r>
            <w:r>
              <w:rPr>
                <w:rFonts w:hint="default" w:ascii="Times New Roman" w:hAnsi="Times New Roman" w:eastAsia="宋体" w:cs="Times New Roman"/>
                <w:color w:val="auto"/>
                <w:highlight w:val="none"/>
                <w:lang w:bidi="ar"/>
              </w:rPr>
              <w:instrText xml:space="preserve"> = 3 \* GB3 \* MERGEFORMAT </w:instrText>
            </w:r>
            <w:r>
              <w:rPr>
                <w:rFonts w:hint="default" w:ascii="Times New Roman" w:hAnsi="Times New Roman" w:eastAsia="宋体" w:cs="Times New Roman"/>
                <w:color w:val="auto"/>
                <w:highlight w:val="none"/>
                <w:lang w:bidi="ar"/>
              </w:rPr>
              <w:fldChar w:fldCharType="separate"/>
            </w:r>
            <w:r>
              <w:t>③</w:t>
            </w:r>
            <w:r>
              <w:rPr>
                <w:rFonts w:hint="default" w:ascii="Times New Roman" w:hAnsi="Times New Roman" w:eastAsia="宋体" w:cs="Times New Roman"/>
                <w:color w:val="auto"/>
                <w:highlight w:val="none"/>
                <w:lang w:bidi="ar"/>
              </w:rPr>
              <w:fldChar w:fldCharType="end"/>
            </w:r>
            <w:r>
              <w:rPr>
                <w:rFonts w:hint="default" w:ascii="Times New Roman" w:hAnsi="Times New Roman" w:eastAsia="宋体" w:cs="Times New Roman"/>
                <w:color w:val="auto"/>
                <w:highlight w:val="none"/>
                <w:lang w:bidi="ar"/>
              </w:rPr>
              <w:t>运输车辆冲洗用水</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运输车辆连续运输不需要对其进行冲洗，在更换运输品种、停止运输或大的交班时需要对运输车辆进行冲洗。</w:t>
            </w:r>
            <w:r>
              <w:rPr>
                <w:rFonts w:hint="eastAsia" w:cs="Times New Roman"/>
                <w:color w:val="auto"/>
                <w:highlight w:val="none"/>
                <w:lang w:eastAsia="zh-CN"/>
              </w:rPr>
              <w:t>根据</w:t>
            </w:r>
            <w:r>
              <w:rPr>
                <w:rFonts w:hint="default" w:ascii="Times New Roman" w:hAnsi="Times New Roman" w:eastAsia="宋体" w:cs="Times New Roman"/>
                <w:color w:val="auto"/>
                <w:highlight w:val="none"/>
              </w:rPr>
              <w:t>相同企业生产管理规定的资料可知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本项目每天需要冲洗的车辆约为</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次，冲洗水量大致为0.5m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/次，每天冲洗水量约</w:t>
            </w:r>
            <w:r>
              <w:rPr>
                <w:rFonts w:hint="eastAsia" w:cs="Times New Roman"/>
                <w:color w:val="auto"/>
                <w:highlight w:val="none"/>
                <w:lang w:val="en-US" w:eastAsia="zh-CN"/>
              </w:rPr>
              <w:t>2.5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，年用水量为</w:t>
            </w:r>
            <w:r>
              <w:rPr>
                <w:rFonts w:hint="eastAsia" w:cs="Times New Roman"/>
                <w:color w:val="auto"/>
                <w:highlight w:val="none"/>
                <w:lang w:val="en-US" w:eastAsia="zh-CN"/>
              </w:rPr>
              <w:t>375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。洗车废水经沉淀后循环利用于车辆冲洗。</w:t>
            </w:r>
          </w:p>
          <w:p>
            <w:pPr>
              <w:pStyle w:val="42"/>
              <w:rPr>
                <w:color w:val="auto"/>
                <w:highlight w:val="none"/>
              </w:rPr>
            </w:pPr>
            <w:r>
              <w:rPr>
                <w:rFonts w:hint="eastAsia"/>
                <w:color w:val="auto"/>
                <w:highlight w:val="none"/>
              </w:rPr>
              <w:fldChar w:fldCharType="begin"/>
            </w:r>
            <w:r>
              <w:rPr>
                <w:rFonts w:hint="eastAsia"/>
                <w:color w:val="auto"/>
                <w:highlight w:val="none"/>
              </w:rPr>
              <w:instrText xml:space="preserve"> = 4 \* GB3 \* MERGEFORMAT </w:instrText>
            </w:r>
            <w:r>
              <w:rPr>
                <w:rFonts w:hint="eastAsia"/>
                <w:color w:val="auto"/>
                <w:highlight w:val="none"/>
              </w:rPr>
              <w:fldChar w:fldCharType="separate"/>
            </w:r>
            <w:r>
              <w:rPr>
                <w:color w:val="auto"/>
                <w:highlight w:val="none"/>
              </w:rPr>
              <w:t>④</w:t>
            </w:r>
            <w:r>
              <w:rPr>
                <w:rFonts w:hint="eastAsia"/>
                <w:color w:val="auto"/>
                <w:highlight w:val="none"/>
              </w:rPr>
              <w:fldChar w:fldCharType="end"/>
            </w:r>
            <w:r>
              <w:rPr>
                <w:rFonts w:hint="eastAsia"/>
                <w:color w:val="auto"/>
                <w:highlight w:val="none"/>
              </w:rPr>
              <w:t>料斗喷淋用水</w:t>
            </w:r>
          </w:p>
          <w:p>
            <w:pPr>
              <w:pStyle w:val="42"/>
              <w:rPr>
                <w:color w:val="auto"/>
                <w:highlight w:val="none"/>
              </w:rPr>
            </w:pPr>
            <w:r>
              <w:rPr>
                <w:rFonts w:hint="eastAsia"/>
                <w:color w:val="auto"/>
                <w:highlight w:val="none"/>
              </w:rPr>
              <w:t>本项目物料通过料斗输送时，采用喷淋降尘的方式抑尘，</w:t>
            </w:r>
            <w:r>
              <w:rPr>
                <w:rFonts w:hint="eastAsia" w:hAnsi="宋体" w:cs="宋体"/>
                <w:color w:val="auto"/>
                <w:highlight w:val="none"/>
                <w:lang w:bidi="ar"/>
              </w:rPr>
              <w:t>类比同类项目，</w:t>
            </w:r>
            <w:r>
              <w:rPr>
                <w:rFonts w:hint="eastAsia"/>
                <w:color w:val="auto"/>
                <w:highlight w:val="none"/>
              </w:rPr>
              <w:t>每日料斗降尘用水约1t/d，本项目年生产</w:t>
            </w:r>
            <w:r>
              <w:rPr>
                <w:rFonts w:hint="eastAsia"/>
                <w:color w:val="auto"/>
                <w:highlight w:val="none"/>
                <w:lang w:val="en-US" w:eastAsia="zh-CN"/>
              </w:rPr>
              <w:t>150</w:t>
            </w:r>
            <w:r>
              <w:rPr>
                <w:rFonts w:hint="eastAsia"/>
                <w:color w:val="auto"/>
                <w:highlight w:val="none"/>
              </w:rPr>
              <w:t>天，即年耗水量为</w:t>
            </w:r>
            <w:r>
              <w:rPr>
                <w:rFonts w:hint="eastAsia"/>
                <w:color w:val="auto"/>
                <w:highlight w:val="none"/>
                <w:lang w:val="en-US" w:eastAsia="zh-CN"/>
              </w:rPr>
              <w:t>150</w:t>
            </w:r>
            <w:r>
              <w:rPr>
                <w:rFonts w:hint="eastAsia"/>
                <w:color w:val="auto"/>
                <w:highlight w:val="none"/>
              </w:rPr>
              <w:t>t/a。此部分用水通过空气蒸发损耗。</w:t>
            </w:r>
          </w:p>
          <w:p>
            <w:pPr>
              <w:spacing w:line="360" w:lineRule="auto"/>
              <w:ind w:firstLine="480" w:firstLineChars="200"/>
              <w:rPr>
                <w:rFonts w:hint="default" w:ascii="Times New Roman" w:hAnsi="Times New Roman" w:eastAsia="宋体" w:cs="Times New Roman"/>
                <w:color w:val="auto"/>
                <w:highlight w:val="none"/>
                <w:u w:val="none"/>
                <w:lang w:bidi="ar"/>
              </w:rPr>
            </w:pPr>
            <w:r>
              <w:rPr>
                <w:rFonts w:hint="eastAsia" w:hAnsi="宋体" w:cs="宋体"/>
                <w:color w:val="auto"/>
                <w:highlight w:val="none"/>
                <w:u w:val="none"/>
                <w:lang w:bidi="ar"/>
              </w:rPr>
              <w:fldChar w:fldCharType="begin"/>
            </w:r>
            <w:r>
              <w:rPr>
                <w:rFonts w:hint="eastAsia" w:hAnsi="宋体" w:cs="宋体"/>
                <w:color w:val="auto"/>
                <w:highlight w:val="none"/>
                <w:u w:val="none"/>
                <w:lang w:bidi="ar"/>
              </w:rPr>
              <w:instrText xml:space="preserve"> = 5 \* GB3 \* MERGEFORMAT </w:instrText>
            </w:r>
            <w:r>
              <w:rPr>
                <w:rFonts w:hint="eastAsia" w:hAnsi="宋体" w:cs="宋体"/>
                <w:color w:val="auto"/>
                <w:highlight w:val="none"/>
                <w:u w:val="none"/>
                <w:lang w:bidi="ar"/>
              </w:rPr>
              <w:fldChar w:fldCharType="separate"/>
            </w:r>
            <w:r>
              <w:rPr>
                <w:color w:val="auto"/>
                <w:highlight w:val="none"/>
              </w:rPr>
              <w:t>⑤</w:t>
            </w:r>
            <w:r>
              <w:rPr>
                <w:rFonts w:hint="eastAsia" w:hAnsi="宋体" w:cs="宋体"/>
                <w:color w:val="auto"/>
                <w:highlight w:val="none"/>
                <w:u w:val="none"/>
                <w:lang w:bidi="ar"/>
              </w:rPr>
              <w:fldChar w:fldCharType="end"/>
            </w:r>
            <w:r>
              <w:rPr>
                <w:rFonts w:hint="default" w:ascii="Times New Roman" w:hAnsi="Times New Roman" w:eastAsia="宋体" w:cs="Times New Roman"/>
                <w:color w:val="auto"/>
                <w:highlight w:val="none"/>
                <w:u w:val="none"/>
                <w:lang w:bidi="ar"/>
              </w:rPr>
              <w:t>道路及地面洒水抑尘用水</w:t>
            </w:r>
          </w:p>
          <w:p>
            <w:pPr>
              <w:spacing w:line="360" w:lineRule="auto"/>
              <w:ind w:firstLine="480" w:firstLineChars="200"/>
              <w:rPr>
                <w:rFonts w:hAnsi="宋体" w:cs="宋体"/>
                <w:color w:val="auto"/>
                <w:highlight w:val="none"/>
                <w:u w:val="none"/>
              </w:rPr>
            </w:pPr>
            <w:r>
              <w:rPr>
                <w:rFonts w:hint="default" w:ascii="Times New Roman" w:hAnsi="Times New Roman" w:eastAsia="宋体" w:cs="Times New Roman"/>
                <w:color w:val="auto"/>
                <w:highlight w:val="none"/>
                <w:u w:val="none"/>
              </w:rPr>
              <w:t>道路及地面洒水抑尘用水系统按1.5L/m</w:t>
            </w:r>
            <w:r>
              <w:rPr>
                <w:rFonts w:hint="default" w:ascii="Times New Roman" w:hAnsi="Times New Roman" w:eastAsia="宋体" w:cs="Times New Roman"/>
                <w:color w:val="auto"/>
                <w:highlight w:val="none"/>
                <w:u w:val="none"/>
                <w:vertAlign w:val="superscript"/>
              </w:rPr>
              <w:t>2</w:t>
            </w:r>
            <w:r>
              <w:rPr>
                <w:rFonts w:hint="default" w:ascii="Times New Roman" w:hAnsi="Times New Roman" w:eastAsia="宋体" w:cs="Times New Roman"/>
                <w:color w:val="auto"/>
                <w:highlight w:val="none"/>
                <w:u w:val="none"/>
              </w:rPr>
              <w:t>·d，道路及地面硬化面积约</w:t>
            </w:r>
            <w:r>
              <w:rPr>
                <w:rFonts w:hint="eastAsia" w:cs="Times New Roman"/>
                <w:color w:val="auto"/>
                <w:highlight w:val="none"/>
                <w:u w:val="none"/>
                <w:lang w:val="en-US" w:eastAsia="zh-CN"/>
              </w:rPr>
              <w:t>5</w:t>
            </w:r>
            <w:r>
              <w:rPr>
                <w:rFonts w:hint="default" w:ascii="Times New Roman" w:hAnsi="Times New Roman" w:eastAsia="宋体" w:cs="Times New Roman"/>
                <w:color w:val="auto"/>
                <w:highlight w:val="none"/>
                <w:u w:val="none"/>
              </w:rPr>
              <w:t>00m</w:t>
            </w:r>
            <w:r>
              <w:rPr>
                <w:rFonts w:hint="default" w:ascii="Times New Roman" w:hAnsi="Times New Roman" w:eastAsia="宋体" w:cs="Times New Roman"/>
                <w:color w:val="auto"/>
                <w:highlight w:val="none"/>
                <w:u w:val="none"/>
                <w:vertAlign w:val="superscript"/>
              </w:rPr>
              <w:t>2</w:t>
            </w:r>
            <w:r>
              <w:rPr>
                <w:rFonts w:hint="default" w:ascii="Times New Roman" w:hAnsi="Times New Roman" w:eastAsia="宋体" w:cs="Times New Roman"/>
                <w:color w:val="auto"/>
                <w:highlight w:val="none"/>
                <w:u w:val="none"/>
              </w:rPr>
              <w:t>，则用水量为</w:t>
            </w:r>
            <w:r>
              <w:rPr>
                <w:rFonts w:hint="eastAsia" w:cs="Times New Roman"/>
                <w:color w:val="auto"/>
                <w:highlight w:val="none"/>
                <w:u w:val="none"/>
                <w:lang w:val="en-US" w:eastAsia="zh-CN"/>
              </w:rPr>
              <w:t>0.75</w:t>
            </w:r>
            <w:r>
              <w:rPr>
                <w:rFonts w:hint="default" w:ascii="Times New Roman" w:hAnsi="Times New Roman" w:eastAsia="宋体" w:cs="Times New Roman"/>
                <w:color w:val="auto"/>
                <w:highlight w:val="none"/>
                <w:u w:val="none"/>
              </w:rPr>
              <w:t>m</w:t>
            </w:r>
            <w:r>
              <w:rPr>
                <w:rFonts w:hint="default" w:ascii="Times New Roman" w:hAnsi="Times New Roman" w:eastAsia="宋体" w:cs="Times New Roman"/>
                <w:color w:val="auto"/>
                <w:highlight w:val="none"/>
                <w:u w:val="none"/>
                <w:vertAlign w:val="superscript"/>
              </w:rPr>
              <w:t>3</w:t>
            </w:r>
            <w:r>
              <w:rPr>
                <w:rFonts w:hint="default" w:ascii="Times New Roman" w:hAnsi="Times New Roman" w:eastAsia="宋体" w:cs="Times New Roman"/>
                <w:color w:val="auto"/>
                <w:highlight w:val="none"/>
                <w:u w:val="none"/>
              </w:rPr>
              <w:t>/d（</w:t>
            </w:r>
            <w:r>
              <w:rPr>
                <w:rFonts w:hint="eastAsia" w:cs="Times New Roman"/>
                <w:color w:val="auto"/>
                <w:highlight w:val="none"/>
                <w:u w:val="none"/>
                <w:lang w:val="en-US" w:eastAsia="zh-CN"/>
              </w:rPr>
              <w:t>112.5</w:t>
            </w:r>
            <w:r>
              <w:rPr>
                <w:rFonts w:hint="default" w:ascii="Times New Roman" w:hAnsi="Times New Roman" w:eastAsia="宋体" w:cs="Times New Roman"/>
                <w:color w:val="auto"/>
                <w:highlight w:val="none"/>
                <w:u w:val="none"/>
              </w:rPr>
              <w:t>m</w:t>
            </w:r>
            <w:r>
              <w:rPr>
                <w:rFonts w:hint="default" w:ascii="Times New Roman" w:hAnsi="Times New Roman" w:eastAsia="宋体" w:cs="Times New Roman"/>
                <w:color w:val="auto"/>
                <w:highlight w:val="none"/>
                <w:u w:val="none"/>
                <w:vertAlign w:val="superscript"/>
              </w:rPr>
              <w:t>3</w:t>
            </w:r>
            <w:r>
              <w:rPr>
                <w:rFonts w:hint="default" w:ascii="Times New Roman" w:hAnsi="Times New Roman" w:eastAsia="宋体" w:cs="Times New Roman"/>
                <w:color w:val="auto"/>
                <w:highlight w:val="none"/>
                <w:u w:val="none"/>
              </w:rPr>
              <w:t>/a）。</w:t>
            </w:r>
          </w:p>
          <w:p>
            <w:pPr>
              <w:snapToGrid w:val="0"/>
              <w:spacing w:line="360" w:lineRule="auto"/>
              <w:ind w:firstLine="480" w:firstLineChars="200"/>
              <w:rPr>
                <w:rFonts w:hAnsi="宋体" w:cs="宋体"/>
                <w:color w:val="auto"/>
              </w:rPr>
            </w:pPr>
            <w:r>
              <w:rPr>
                <w:rFonts w:hint="eastAsia" w:hAnsi="宋体" w:cs="宋体"/>
                <w:bCs/>
                <w:color w:val="auto"/>
              </w:rPr>
              <w:t>（2）排水</w:t>
            </w:r>
          </w:p>
          <w:p>
            <w:pPr>
              <w:snapToGrid w:val="0"/>
              <w:spacing w:line="360" w:lineRule="auto"/>
              <w:ind w:firstLine="480" w:firstLineChars="200"/>
              <w:rPr>
                <w:rFonts w:hAnsi="宋体" w:cs="宋体"/>
                <w:color w:val="auto"/>
              </w:rPr>
            </w:pPr>
            <w:r>
              <w:rPr>
                <w:rFonts w:hint="eastAsia" w:hAnsi="宋体" w:cs="宋体"/>
                <w:color w:val="auto"/>
              </w:rPr>
              <w:t>本项目卸料过程中喷淋用水、道路洒水降尘用水自然蒸发；</w:t>
            </w:r>
            <w:r>
              <w:rPr>
                <w:rFonts w:hint="default" w:ascii="Times New Roman" w:hAnsi="Times New Roman" w:eastAsia="宋体" w:cs="Times New Roman"/>
                <w:color w:val="auto"/>
                <w:highlight w:val="none"/>
                <w:lang w:eastAsia="zh-CN"/>
              </w:rPr>
              <w:t>混凝土</w:t>
            </w:r>
            <w:r>
              <w:rPr>
                <w:rFonts w:hint="default" w:ascii="Times New Roman" w:hAnsi="Times New Roman" w:eastAsia="宋体" w:cs="Times New Roman"/>
                <w:color w:val="auto"/>
                <w:highlight w:val="none"/>
              </w:rPr>
              <w:t>生产工程中原料混合搅拌用水</w:t>
            </w:r>
            <w:r>
              <w:rPr>
                <w:rFonts w:hint="eastAsia" w:cs="Times New Roman"/>
                <w:color w:val="auto"/>
                <w:highlight w:val="none"/>
                <w:lang w:eastAsia="zh-CN"/>
              </w:rPr>
              <w:t>、</w:t>
            </w:r>
            <w:r>
              <w:rPr>
                <w:rFonts w:hint="eastAsia" w:hAnsi="宋体" w:cs="宋体"/>
                <w:color w:val="auto"/>
              </w:rPr>
              <w:t>水稳料生产用水</w:t>
            </w:r>
            <w:r>
              <w:rPr>
                <w:rFonts w:hint="default" w:ascii="Times New Roman" w:hAnsi="Times New Roman" w:eastAsia="宋体" w:cs="Times New Roman"/>
                <w:color w:val="auto"/>
                <w:highlight w:val="none"/>
              </w:rPr>
              <w:t>全部进入产品</w:t>
            </w:r>
            <w:r>
              <w:rPr>
                <w:rFonts w:hint="eastAsia" w:hAnsi="宋体" w:cs="宋体"/>
                <w:color w:val="auto"/>
              </w:rPr>
              <w:t>；故本项目生产废水主要为搅拌设备冲洗废水和运输车辆冲洗用水。</w:t>
            </w:r>
          </w:p>
          <w:p>
            <w:pPr>
              <w:snapToGrid w:val="0"/>
              <w:spacing w:line="360" w:lineRule="auto"/>
              <w:ind w:firstLine="480" w:firstLineChars="200"/>
              <w:rPr>
                <w:color w:val="auto"/>
                <w:highlight w:val="none"/>
              </w:rPr>
            </w:pPr>
            <w:r>
              <w:rPr>
                <w:rFonts w:hint="eastAsia" w:hAnsi="宋体" w:cs="宋体"/>
                <w:color w:val="auto"/>
                <w:highlight w:val="none"/>
              </w:rPr>
              <w:t>搅拌设备冲洗废水和运输车辆冲洗用水，产生量按用水量的80%计，则搅拌设备冲洗废水量为1.6m</w:t>
            </w:r>
            <w:r>
              <w:rPr>
                <w:rFonts w:hint="eastAsia" w:hAnsi="宋体" w:cs="宋体"/>
                <w:color w:val="auto"/>
                <w:highlight w:val="none"/>
                <w:vertAlign w:val="superscript"/>
              </w:rPr>
              <w:t>3</w:t>
            </w:r>
            <w:r>
              <w:rPr>
                <w:rFonts w:hint="eastAsia" w:hAnsi="宋体" w:cs="宋体"/>
                <w:color w:val="auto"/>
                <w:highlight w:val="none"/>
              </w:rPr>
              <w:t>/d，</w:t>
            </w:r>
            <w:r>
              <w:rPr>
                <w:rFonts w:hint="eastAsia" w:hAnsi="宋体" w:cs="宋体"/>
                <w:color w:val="auto"/>
                <w:highlight w:val="none"/>
                <w:lang w:val="en-US" w:eastAsia="zh-CN"/>
              </w:rPr>
              <w:t>240</w:t>
            </w:r>
            <w:r>
              <w:rPr>
                <w:rFonts w:hint="eastAsia" w:hAnsi="宋体" w:cs="宋体"/>
                <w:color w:val="auto"/>
                <w:highlight w:val="none"/>
              </w:rPr>
              <w:t>m</w:t>
            </w:r>
            <w:r>
              <w:rPr>
                <w:rFonts w:hint="eastAsia" w:hAnsi="宋体" w:cs="宋体"/>
                <w:color w:val="auto"/>
                <w:highlight w:val="none"/>
                <w:vertAlign w:val="superscript"/>
              </w:rPr>
              <w:t>3</w:t>
            </w:r>
            <w:r>
              <w:rPr>
                <w:rFonts w:hint="eastAsia" w:hAnsi="宋体" w:cs="宋体"/>
                <w:color w:val="auto"/>
                <w:highlight w:val="none"/>
              </w:rPr>
              <w:t>/a；运输车辆冲洗废水量为</w:t>
            </w:r>
            <w:r>
              <w:rPr>
                <w:rFonts w:hint="eastAsia" w:hAnsi="宋体" w:cs="宋体"/>
                <w:color w:val="auto"/>
                <w:highlight w:val="none"/>
                <w:lang w:val="en-US" w:eastAsia="zh-CN"/>
              </w:rPr>
              <w:t>1.25</w:t>
            </w:r>
            <w:r>
              <w:rPr>
                <w:rFonts w:hint="eastAsia" w:hAnsi="宋体" w:cs="宋体"/>
                <w:color w:val="auto"/>
                <w:highlight w:val="none"/>
              </w:rPr>
              <w:t>m</w:t>
            </w:r>
            <w:r>
              <w:rPr>
                <w:rFonts w:hint="eastAsia" w:hAnsi="宋体" w:cs="宋体"/>
                <w:color w:val="auto"/>
                <w:highlight w:val="none"/>
                <w:vertAlign w:val="superscript"/>
              </w:rPr>
              <w:t>3</w:t>
            </w:r>
            <w:r>
              <w:rPr>
                <w:rFonts w:hint="eastAsia" w:hAnsi="宋体" w:cs="宋体"/>
                <w:color w:val="auto"/>
                <w:highlight w:val="none"/>
              </w:rPr>
              <w:t>/d，</w:t>
            </w:r>
            <w:r>
              <w:rPr>
                <w:rFonts w:hint="eastAsia" w:hAnsi="宋体" w:cs="宋体"/>
                <w:color w:val="auto"/>
                <w:highlight w:val="none"/>
                <w:lang w:val="en-US" w:eastAsia="zh-CN"/>
              </w:rPr>
              <w:t>300</w:t>
            </w:r>
            <w:r>
              <w:rPr>
                <w:rFonts w:hint="eastAsia" w:hAnsi="宋体" w:cs="宋体"/>
                <w:color w:val="auto"/>
                <w:highlight w:val="none"/>
              </w:rPr>
              <w:t>m</w:t>
            </w:r>
            <w:r>
              <w:rPr>
                <w:rFonts w:hint="eastAsia" w:hAnsi="宋体" w:cs="宋体"/>
                <w:color w:val="auto"/>
                <w:highlight w:val="none"/>
                <w:vertAlign w:val="superscript"/>
              </w:rPr>
              <w:t>3</w:t>
            </w:r>
            <w:r>
              <w:rPr>
                <w:rFonts w:hint="eastAsia" w:hAnsi="宋体" w:cs="宋体"/>
                <w:color w:val="auto"/>
                <w:highlight w:val="none"/>
              </w:rPr>
              <w:t>/a</w:t>
            </w:r>
            <w:r>
              <w:rPr>
                <w:rFonts w:hint="eastAsia" w:hAnsi="宋体" w:cs="宋体"/>
                <w:color w:val="auto"/>
                <w:highlight w:val="none"/>
                <w:lang w:eastAsia="zh-CN"/>
              </w:rPr>
              <w:t>，</w:t>
            </w:r>
            <w:r>
              <w:rPr>
                <w:rFonts w:hint="eastAsia" w:hAnsi="宋体" w:cs="宋体"/>
                <w:color w:val="auto"/>
                <w:highlight w:val="none"/>
              </w:rPr>
              <w:t>搅拌设备冲洗废水和运输车辆冲洗废水经</w:t>
            </w:r>
            <w:r>
              <w:rPr>
                <w:rFonts w:hint="eastAsia" w:hAnsi="宋体" w:cs="宋体"/>
                <w:color w:val="auto"/>
                <w:highlight w:val="none"/>
                <w:lang w:val="en-US" w:eastAsia="zh-CN"/>
              </w:rPr>
              <w:t>厂内现有三级</w:t>
            </w:r>
            <w:r>
              <w:rPr>
                <w:rFonts w:hint="eastAsia" w:hAnsi="宋体" w:cs="宋体"/>
                <w:color w:val="auto"/>
                <w:highlight w:val="none"/>
              </w:rPr>
              <w:t>沉淀池处理后回用于拌和生产。</w:t>
            </w:r>
          </w:p>
          <w:p>
            <w:pPr>
              <w:ind w:firstLine="482"/>
              <w:jc w:val="center"/>
              <w:rPr>
                <w:rFonts w:hAnsi="宋体" w:cs="宋体"/>
                <w:b/>
                <w:bCs/>
                <w:color w:val="auto"/>
                <w:sz w:val="21"/>
                <w:szCs w:val="21"/>
                <w:highlight w:val="none"/>
                <w:lang w:bidi="ar"/>
              </w:rPr>
            </w:pPr>
            <w:r>
              <w:rPr>
                <w:rFonts w:hint="eastAsia" w:hAnsi="宋体" w:cs="宋体"/>
                <w:b/>
                <w:bCs/>
                <w:color w:val="auto"/>
                <w:sz w:val="21"/>
                <w:szCs w:val="21"/>
                <w:highlight w:val="none"/>
                <w:lang w:bidi="ar"/>
              </w:rPr>
              <w:t>表2-</w:t>
            </w:r>
            <w:r>
              <w:rPr>
                <w:rFonts w:hint="eastAsia" w:hAnsi="宋体" w:cs="宋体"/>
                <w:b/>
                <w:bCs/>
                <w:color w:val="auto"/>
                <w:sz w:val="21"/>
                <w:szCs w:val="21"/>
                <w:highlight w:val="none"/>
                <w:lang w:val="en-US" w:eastAsia="zh-CN" w:bidi="ar"/>
              </w:rPr>
              <w:t>7</w:t>
            </w:r>
            <w:r>
              <w:rPr>
                <w:rFonts w:hint="eastAsia" w:hAnsi="宋体" w:cs="宋体"/>
                <w:b/>
                <w:bCs/>
                <w:color w:val="auto"/>
                <w:sz w:val="21"/>
                <w:szCs w:val="21"/>
                <w:highlight w:val="none"/>
                <w:lang w:bidi="ar"/>
              </w:rPr>
              <w:t xml:space="preserve">  本项目排水情况一览表</w:t>
            </w:r>
          </w:p>
          <w:tbl>
            <w:tblPr>
              <w:tblStyle w:val="32"/>
              <w:tblW w:w="863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709"/>
              <w:gridCol w:w="1028"/>
              <w:gridCol w:w="1035"/>
              <w:gridCol w:w="842"/>
              <w:gridCol w:w="1391"/>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2225" w:type="dxa"/>
                  <w:gridSpan w:val="2"/>
                  <w:vMerge w:val="restart"/>
                  <w:tcBorders>
                    <w:bottom w:val="single" w:color="auto" w:sz="4" w:space="0"/>
                  </w:tcBorders>
                  <w:vAlign w:val="center"/>
                </w:tcPr>
                <w:p>
                  <w:pPr>
                    <w:pStyle w:val="57"/>
                    <w:rPr>
                      <w:rFonts w:hint="default" w:ascii="Times New Roman" w:hAnsi="Times New Roman" w:cs="Times New Roman"/>
                      <w:bCs/>
                      <w:color w:val="auto"/>
                      <w:sz w:val="21"/>
                      <w:szCs w:val="21"/>
                      <w:highlight w:val="none"/>
                    </w:rPr>
                  </w:pPr>
                  <w:bookmarkStart w:id="5" w:name="_Hlk494304019"/>
                  <w:r>
                    <w:rPr>
                      <w:rFonts w:hint="default" w:ascii="Times New Roman" w:hAnsi="Times New Roman" w:cs="Times New Roman"/>
                      <w:bCs/>
                      <w:color w:val="auto"/>
                      <w:sz w:val="21"/>
                      <w:szCs w:val="21"/>
                      <w:highlight w:val="none"/>
                    </w:rPr>
                    <w:t>项目内容</w:t>
                  </w:r>
                </w:p>
              </w:tc>
              <w:tc>
                <w:tcPr>
                  <w:tcW w:w="2063" w:type="dxa"/>
                  <w:gridSpan w:val="2"/>
                  <w:tcBorders>
                    <w:bottom w:val="single" w:color="auto" w:sz="4" w:space="0"/>
                  </w:tcBorders>
                  <w:vAlign w:val="center"/>
                </w:tcPr>
                <w:p>
                  <w:pPr>
                    <w:pStyle w:val="57"/>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综合用水量</w:t>
                  </w:r>
                </w:p>
              </w:tc>
              <w:tc>
                <w:tcPr>
                  <w:tcW w:w="842" w:type="dxa"/>
                  <w:vMerge w:val="restart"/>
                  <w:tcBorders>
                    <w:bottom w:val="single" w:color="auto" w:sz="4" w:space="0"/>
                  </w:tcBorders>
                  <w:vAlign w:val="center"/>
                </w:tcPr>
                <w:p>
                  <w:pPr>
                    <w:pStyle w:val="57"/>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排水系数</w:t>
                  </w:r>
                </w:p>
              </w:tc>
              <w:tc>
                <w:tcPr>
                  <w:tcW w:w="3505" w:type="dxa"/>
                  <w:gridSpan w:val="2"/>
                  <w:tcBorders>
                    <w:bottom w:val="single" w:color="auto" w:sz="4" w:space="0"/>
                  </w:tcBorders>
                  <w:vAlign w:val="center"/>
                </w:tcPr>
                <w:p>
                  <w:pPr>
                    <w:pStyle w:val="57"/>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2225" w:type="dxa"/>
                  <w:gridSpan w:val="2"/>
                  <w:vMerge w:val="continue"/>
                  <w:tcBorders>
                    <w:top w:val="single" w:color="auto" w:sz="4" w:space="0"/>
                    <w:bottom w:val="single" w:color="auto" w:sz="4" w:space="0"/>
                  </w:tcBorders>
                  <w:vAlign w:val="center"/>
                </w:tcPr>
                <w:p>
                  <w:pPr>
                    <w:pStyle w:val="57"/>
                    <w:rPr>
                      <w:rFonts w:hint="default" w:ascii="Times New Roman" w:hAnsi="Times New Roman" w:cs="Times New Roman"/>
                      <w:bCs/>
                      <w:color w:val="auto"/>
                      <w:sz w:val="21"/>
                      <w:szCs w:val="21"/>
                      <w:highlight w:val="none"/>
                    </w:rPr>
                  </w:pPr>
                </w:p>
              </w:tc>
              <w:tc>
                <w:tcPr>
                  <w:tcW w:w="1028" w:type="dxa"/>
                  <w:tcBorders>
                    <w:top w:val="single" w:color="auto" w:sz="4" w:space="0"/>
                    <w:bottom w:val="single" w:color="auto" w:sz="4" w:space="0"/>
                  </w:tcBorders>
                  <w:vAlign w:val="center"/>
                </w:tcPr>
                <w:p>
                  <w:pPr>
                    <w:pStyle w:val="57"/>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w:t>
                  </w:r>
                </w:p>
              </w:tc>
              <w:tc>
                <w:tcPr>
                  <w:tcW w:w="1035" w:type="dxa"/>
                  <w:tcBorders>
                    <w:top w:val="single" w:color="auto" w:sz="4" w:space="0"/>
                    <w:bottom w:val="single" w:color="auto" w:sz="4" w:space="0"/>
                  </w:tcBorders>
                  <w:vAlign w:val="center"/>
                </w:tcPr>
                <w:p>
                  <w:pPr>
                    <w:pStyle w:val="57"/>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/a</w:t>
                  </w:r>
                </w:p>
              </w:tc>
              <w:tc>
                <w:tcPr>
                  <w:tcW w:w="842" w:type="dxa"/>
                  <w:vMerge w:val="continue"/>
                  <w:tcBorders>
                    <w:top w:val="single" w:color="auto" w:sz="4" w:space="0"/>
                    <w:bottom w:val="single" w:color="auto" w:sz="4" w:space="0"/>
                  </w:tcBorders>
                  <w:vAlign w:val="center"/>
                </w:tcPr>
                <w:p>
                  <w:pPr>
                    <w:pStyle w:val="57"/>
                    <w:rPr>
                      <w:rFonts w:hint="default" w:ascii="Times New Roman" w:hAnsi="Times New Roman" w:cs="Times New Roman"/>
                      <w:bCs/>
                      <w:color w:val="auto"/>
                      <w:sz w:val="21"/>
                      <w:szCs w:val="21"/>
                      <w:highlight w:val="none"/>
                    </w:rPr>
                  </w:pPr>
                </w:p>
              </w:tc>
              <w:tc>
                <w:tcPr>
                  <w:tcW w:w="3505" w:type="dxa"/>
                  <w:gridSpan w:val="2"/>
                  <w:tcBorders>
                    <w:top w:val="single" w:color="auto" w:sz="4" w:space="0"/>
                    <w:bottom w:val="single" w:color="auto" w:sz="4" w:space="0"/>
                  </w:tcBorders>
                  <w:vAlign w:val="center"/>
                </w:tcPr>
                <w:p>
                  <w:pPr>
                    <w:pStyle w:val="57"/>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16" w:type="dxa"/>
                  <w:vMerge w:val="restart"/>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生产用水</w:t>
                  </w:r>
                </w:p>
              </w:tc>
              <w:tc>
                <w:tcPr>
                  <w:tcW w:w="1709"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喷淋用水</w:t>
                  </w:r>
                </w:p>
              </w:tc>
              <w:tc>
                <w:tcPr>
                  <w:tcW w:w="1028"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035"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w:t>
                  </w:r>
                </w:p>
              </w:tc>
              <w:tc>
                <w:tcPr>
                  <w:tcW w:w="842"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5" w:type="dxa"/>
                  <w:gridSpan w:val="2"/>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蒸发，不外排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16" w:type="dxa"/>
                  <w:vMerge w:val="continue"/>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p>
              </w:tc>
              <w:tc>
                <w:tcPr>
                  <w:tcW w:w="1709"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搅拌设备冲洗</w:t>
                  </w:r>
                </w:p>
              </w:tc>
              <w:tc>
                <w:tcPr>
                  <w:tcW w:w="1028"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35"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842"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1391"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r>
                    <w:rPr>
                      <w:rFonts w:hint="default" w:ascii="Times New Roman" w:hAnsi="Times New Roman" w:cs="Times New Roman"/>
                      <w:color w:val="auto"/>
                      <w:sz w:val="21"/>
                      <w:szCs w:val="21"/>
                      <w:highlight w:val="none"/>
                      <w:lang w:val="en-US" w:eastAsia="zh-CN"/>
                    </w:rPr>
                    <w:t>240</w:t>
                  </w:r>
                  <w:r>
                    <w:rPr>
                      <w:rFonts w:hint="default" w:ascii="Times New Roman" w:hAnsi="Times New Roman" w:cs="Times New Roman"/>
                      <w:color w:val="auto"/>
                      <w:sz w:val="21"/>
                      <w:szCs w:val="21"/>
                      <w:highlight w:val="none"/>
                    </w:rPr>
                    <w:t>）</w:t>
                  </w:r>
                </w:p>
              </w:tc>
              <w:tc>
                <w:tcPr>
                  <w:tcW w:w="2114"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沉淀池收集回用于拌和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16" w:type="dxa"/>
                  <w:vMerge w:val="continue"/>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yellow"/>
                    </w:rPr>
                  </w:pPr>
                </w:p>
              </w:tc>
              <w:tc>
                <w:tcPr>
                  <w:tcW w:w="1709"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运输车辆冲洗用水</w:t>
                  </w:r>
                </w:p>
              </w:tc>
              <w:tc>
                <w:tcPr>
                  <w:tcW w:w="1028"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1035"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375</w:t>
                  </w:r>
                </w:p>
              </w:tc>
              <w:tc>
                <w:tcPr>
                  <w:tcW w:w="842"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1391"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300</w:t>
                  </w:r>
                  <w:r>
                    <w:rPr>
                      <w:rFonts w:hint="default" w:ascii="Times New Roman" w:hAnsi="Times New Roman" w:cs="Times New Roman"/>
                      <w:color w:val="auto"/>
                      <w:sz w:val="21"/>
                      <w:szCs w:val="21"/>
                      <w:highlight w:val="none"/>
                    </w:rPr>
                    <w:t>）</w:t>
                  </w:r>
                </w:p>
              </w:tc>
              <w:tc>
                <w:tcPr>
                  <w:tcW w:w="2114"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沉淀池收集运输车辆冲洗回用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jc w:val="center"/>
              </w:trPr>
              <w:tc>
                <w:tcPr>
                  <w:tcW w:w="516" w:type="dxa"/>
                  <w:vMerge w:val="continue"/>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yellow"/>
                    </w:rPr>
                  </w:pPr>
                </w:p>
              </w:tc>
              <w:tc>
                <w:tcPr>
                  <w:tcW w:w="1709"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水稳料用水</w:t>
                  </w:r>
                </w:p>
              </w:tc>
              <w:tc>
                <w:tcPr>
                  <w:tcW w:w="1028"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72</w:t>
                  </w:r>
                </w:p>
              </w:tc>
              <w:tc>
                <w:tcPr>
                  <w:tcW w:w="1035"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10800</w:t>
                  </w:r>
                </w:p>
              </w:tc>
              <w:tc>
                <w:tcPr>
                  <w:tcW w:w="842"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5" w:type="dxa"/>
                  <w:gridSpan w:val="2"/>
                  <w:vMerge w:val="restart"/>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进入产品，不外排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516" w:type="dxa"/>
                  <w:vMerge w:val="continue"/>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yellow"/>
                    </w:rPr>
                  </w:pPr>
                </w:p>
              </w:tc>
              <w:tc>
                <w:tcPr>
                  <w:tcW w:w="1709"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混凝土搅拌站用水</w:t>
                  </w:r>
                </w:p>
              </w:tc>
              <w:tc>
                <w:tcPr>
                  <w:tcW w:w="1028"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035"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1500</w:t>
                  </w:r>
                </w:p>
              </w:tc>
              <w:tc>
                <w:tcPr>
                  <w:tcW w:w="842"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5" w:type="dxa"/>
                  <w:gridSpan w:val="2"/>
                  <w:vMerge w:val="continue"/>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516" w:type="dxa"/>
                  <w:vMerge w:val="continue"/>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yellow"/>
                    </w:rPr>
                  </w:pPr>
                </w:p>
              </w:tc>
              <w:tc>
                <w:tcPr>
                  <w:tcW w:w="1709"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洒水降尘用水</w:t>
                  </w:r>
                </w:p>
              </w:tc>
              <w:tc>
                <w:tcPr>
                  <w:tcW w:w="1028"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0.75</w:t>
                  </w:r>
                </w:p>
              </w:tc>
              <w:tc>
                <w:tcPr>
                  <w:tcW w:w="1035" w:type="dxa"/>
                  <w:tcBorders>
                    <w:top w:val="single" w:color="auto" w:sz="4" w:space="0"/>
                    <w:bottom w:val="single" w:color="auto" w:sz="4" w:space="0"/>
                  </w:tcBorders>
                  <w:vAlign w:val="center"/>
                </w:tcPr>
                <w:p>
                  <w:pPr>
                    <w:pStyle w:val="5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112.5</w:t>
                  </w:r>
                </w:p>
              </w:tc>
              <w:tc>
                <w:tcPr>
                  <w:tcW w:w="842" w:type="dxa"/>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5" w:type="dxa"/>
                  <w:gridSpan w:val="2"/>
                  <w:tcBorders>
                    <w:top w:val="single" w:color="auto" w:sz="4" w:space="0"/>
                    <w:bottom w:val="single" w:color="auto" w:sz="4"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蒸发，不外排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225" w:type="dxa"/>
                  <w:gridSpan w:val="2"/>
                  <w:tcBorders>
                    <w:top w:val="single" w:color="auto" w:sz="4" w:space="0"/>
                    <w:bottom w:val="single" w:color="auto" w:sz="12"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总计</w:t>
                  </w:r>
                </w:p>
              </w:tc>
              <w:tc>
                <w:tcPr>
                  <w:tcW w:w="1028" w:type="dxa"/>
                  <w:tcBorders>
                    <w:top w:val="single" w:color="auto" w:sz="4" w:space="0"/>
                    <w:bottom w:val="single" w:color="auto" w:sz="12"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sum(C3:C8) \* MERGEFORMAT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88.25</w:t>
                  </w:r>
                  <w:r>
                    <w:rPr>
                      <w:rFonts w:hint="default" w:ascii="Times New Roman" w:hAnsi="Times New Roman" w:cs="Times New Roman"/>
                      <w:color w:val="auto"/>
                      <w:sz w:val="21"/>
                      <w:szCs w:val="21"/>
                      <w:highlight w:val="none"/>
                      <w:lang w:val="en-US" w:eastAsia="zh-CN"/>
                    </w:rPr>
                    <w:fldChar w:fldCharType="end"/>
                  </w:r>
                </w:p>
              </w:tc>
              <w:tc>
                <w:tcPr>
                  <w:tcW w:w="1035" w:type="dxa"/>
                  <w:tcBorders>
                    <w:top w:val="single" w:color="auto" w:sz="4" w:space="0"/>
                    <w:bottom w:val="single" w:color="auto" w:sz="12"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sum(D3:D8) \* MERGEFORMAT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13237.5</w:t>
                  </w:r>
                  <w:r>
                    <w:rPr>
                      <w:rFonts w:hint="default" w:ascii="Times New Roman" w:hAnsi="Times New Roman" w:cs="Times New Roman"/>
                      <w:color w:val="auto"/>
                      <w:sz w:val="21"/>
                      <w:szCs w:val="21"/>
                      <w:highlight w:val="none"/>
                      <w:lang w:val="en-US" w:eastAsia="zh-CN"/>
                    </w:rPr>
                    <w:fldChar w:fldCharType="end"/>
                  </w:r>
                </w:p>
              </w:tc>
              <w:tc>
                <w:tcPr>
                  <w:tcW w:w="842" w:type="dxa"/>
                  <w:tcBorders>
                    <w:top w:val="single" w:color="auto" w:sz="4" w:space="0"/>
                    <w:bottom w:val="single" w:color="auto" w:sz="12"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05" w:type="dxa"/>
                  <w:gridSpan w:val="2"/>
                  <w:tcBorders>
                    <w:top w:val="single" w:color="auto" w:sz="4" w:space="0"/>
                    <w:bottom w:val="single" w:color="auto" w:sz="12" w:space="0"/>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bookmarkEnd w:id="5"/>
          </w:tbl>
          <w:p>
            <w:pPr>
              <w:snapToGrid w:val="0"/>
              <w:spacing w:line="360" w:lineRule="auto"/>
              <w:ind w:firstLine="480" w:firstLineChars="200"/>
              <w:rPr>
                <w:rFonts w:hAnsi="宋体" w:cs="宋体"/>
                <w:color w:val="auto"/>
              </w:rPr>
            </w:pPr>
            <w:r>
              <w:rPr>
                <w:rFonts w:hint="eastAsia" w:hAnsi="宋体" w:cs="宋体"/>
                <w:color w:val="auto"/>
              </w:rPr>
              <w:t>本项目水量平衡见图2-1。</w:t>
            </w:r>
          </w:p>
          <w:p>
            <w:pPr>
              <w:pStyle w:val="10"/>
              <w:jc w:val="center"/>
              <w:rPr>
                <w:b/>
                <w:color w:val="auto"/>
                <w:sz w:val="24"/>
                <w:u w:color="000000"/>
              </w:rPr>
            </w:pPr>
            <w:r>
              <w:drawing>
                <wp:inline distT="0" distB="0" distL="114300" distR="114300">
                  <wp:extent cx="3903345" cy="3610610"/>
                  <wp:effectExtent l="0" t="0" r="8255"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3903345" cy="3610610"/>
                          </a:xfrm>
                          <a:prstGeom prst="rect">
                            <a:avLst/>
                          </a:prstGeom>
                          <a:noFill/>
                          <a:ln>
                            <a:noFill/>
                          </a:ln>
                        </pic:spPr>
                      </pic:pic>
                    </a:graphicData>
                  </a:graphic>
                </wp:inline>
              </w:drawing>
            </w:r>
          </w:p>
          <w:p>
            <w:pPr>
              <w:pStyle w:val="10"/>
              <w:ind w:firstLine="482"/>
              <w:rPr>
                <w:color w:val="000000" w:themeColor="text1"/>
                <w:sz w:val="21"/>
                <w:szCs w:val="21"/>
                <w:highlight w:val="none"/>
                <w14:textFill>
                  <w14:solidFill>
                    <w14:schemeClr w14:val="tx1"/>
                  </w14:solidFill>
                </w14:textFill>
              </w:rPr>
            </w:pPr>
            <w:r>
              <w:rPr>
                <w:b/>
                <w:color w:val="000000" w:themeColor="text1"/>
                <w:sz w:val="21"/>
                <w:szCs w:val="21"/>
                <w:highlight w:val="none"/>
                <w:u w:color="000000"/>
                <w14:textFill>
                  <w14:solidFill>
                    <w14:schemeClr w14:val="tx1"/>
                  </w14:solidFill>
                </w14:textFill>
              </w:rPr>
              <w:t xml:space="preserve">图2-1 </w:t>
            </w:r>
            <w:r>
              <w:rPr>
                <w:color w:val="000000" w:themeColor="text1"/>
                <w:sz w:val="21"/>
                <w:szCs w:val="21"/>
                <w:highlight w:val="none"/>
                <w14:textFill>
                  <w14:solidFill>
                    <w14:schemeClr w14:val="tx1"/>
                  </w14:solidFill>
                </w14:textFill>
              </w:rPr>
              <w:t xml:space="preserve"> </w:t>
            </w:r>
            <w:r>
              <w:rPr>
                <w:b/>
                <w:color w:val="000000" w:themeColor="text1"/>
                <w:sz w:val="21"/>
                <w:szCs w:val="21"/>
                <w:highlight w:val="none"/>
                <w:u w:color="000000"/>
                <w14:textFill>
                  <w14:solidFill>
                    <w14:schemeClr w14:val="tx1"/>
                  </w14:solidFill>
                </w14:textFill>
              </w:rPr>
              <w:t xml:space="preserve">本工程水量平衡图 </w:t>
            </w:r>
            <w:r>
              <w:rPr>
                <w:b/>
                <w:color w:val="000000" w:themeColor="text1"/>
                <w:sz w:val="21"/>
                <w:szCs w:val="21"/>
                <w:highlight w:val="none"/>
                <w14:textFill>
                  <w14:solidFill>
                    <w14:schemeClr w14:val="tx1"/>
                  </w14:solidFill>
                </w14:textFill>
              </w:rPr>
              <w:t>（单位：</w:t>
            </w:r>
            <w:r>
              <w:rPr>
                <w:rFonts w:hint="eastAsia"/>
                <w:b/>
                <w:color w:val="000000" w:themeColor="text1"/>
                <w:sz w:val="21"/>
                <w:szCs w:val="21"/>
                <w:highlight w:val="none"/>
                <w14:textFill>
                  <w14:solidFill>
                    <w14:schemeClr w14:val="tx1"/>
                  </w14:solidFill>
                </w14:textFill>
              </w:rPr>
              <w:t>m</w:t>
            </w:r>
            <w:r>
              <w:rPr>
                <w:rFonts w:hint="eastAsia"/>
                <w:b/>
                <w:color w:val="000000" w:themeColor="text1"/>
                <w:sz w:val="21"/>
                <w:szCs w:val="21"/>
                <w:highlight w:val="none"/>
                <w:vertAlign w:val="superscript"/>
                <w14:textFill>
                  <w14:solidFill>
                    <w14:schemeClr w14:val="tx1"/>
                  </w14:solidFill>
                </w14:textFill>
              </w:rPr>
              <w:t>3</w:t>
            </w:r>
            <w:r>
              <w:rPr>
                <w:b/>
                <w:color w:val="000000" w:themeColor="text1"/>
                <w:sz w:val="21"/>
                <w:szCs w:val="21"/>
                <w:highlight w:val="none"/>
                <w14:textFill>
                  <w14:solidFill>
                    <w14:schemeClr w14:val="tx1"/>
                  </w14:solidFill>
                </w14:textFill>
              </w:rPr>
              <w:t>/d）</w:t>
            </w:r>
          </w:p>
          <w:p>
            <w:pPr>
              <w:snapToGrid w:val="0"/>
              <w:spacing w:line="360" w:lineRule="auto"/>
              <w:ind w:firstLine="480" w:firstLineChars="200"/>
              <w:rPr>
                <w:color w:val="auto"/>
              </w:rPr>
            </w:pPr>
            <w:r>
              <w:rPr>
                <w:rFonts w:hint="eastAsia"/>
                <w:color w:val="auto"/>
              </w:rPr>
              <w:t>（3）供电</w:t>
            </w:r>
          </w:p>
          <w:p>
            <w:pPr>
              <w:snapToGrid w:val="0"/>
              <w:spacing w:line="360" w:lineRule="auto"/>
              <w:ind w:firstLine="480" w:firstLineChars="200"/>
              <w:rPr>
                <w:color w:val="auto"/>
              </w:rPr>
            </w:pPr>
            <w:r>
              <w:rPr>
                <w:color w:val="auto"/>
              </w:rPr>
              <w:t>本项目由</w:t>
            </w:r>
            <w:r>
              <w:rPr>
                <w:rFonts w:hint="eastAsia"/>
                <w:color w:val="auto"/>
              </w:rPr>
              <w:t>市政</w:t>
            </w:r>
            <w:r>
              <w:rPr>
                <w:color w:val="auto"/>
              </w:rPr>
              <w:t>供电，满足用电需求。</w:t>
            </w:r>
          </w:p>
          <w:p>
            <w:pPr>
              <w:snapToGrid w:val="0"/>
              <w:spacing w:line="360" w:lineRule="auto"/>
              <w:ind w:firstLine="480" w:firstLineChars="200"/>
              <w:rPr>
                <w:color w:val="auto"/>
              </w:rPr>
            </w:pPr>
            <w:r>
              <w:rPr>
                <w:bCs/>
                <w:color w:val="auto"/>
              </w:rPr>
              <w:t>（4）供热</w:t>
            </w:r>
          </w:p>
          <w:p>
            <w:pPr>
              <w:pStyle w:val="54"/>
              <w:ind w:firstLine="480"/>
              <w:rPr>
                <w:color w:val="auto"/>
              </w:rPr>
            </w:pPr>
            <w:r>
              <w:rPr>
                <w:color w:val="auto"/>
              </w:rPr>
              <w:t>本项目冬季不生产，办公室采用电取暖。</w:t>
            </w:r>
          </w:p>
          <w:p>
            <w:pPr>
              <w:pStyle w:val="54"/>
              <w:numPr>
                <w:ilvl w:val="0"/>
                <w:numId w:val="5"/>
              </w:numPr>
              <w:ind w:firstLine="482"/>
              <w:rPr>
                <w:b/>
                <w:bCs/>
                <w:color w:val="auto"/>
              </w:rPr>
            </w:pPr>
            <w:r>
              <w:rPr>
                <w:b/>
                <w:bCs/>
                <w:color w:val="auto"/>
              </w:rPr>
              <w:t>劳动定员及工作制度</w:t>
            </w:r>
          </w:p>
          <w:p>
            <w:pPr>
              <w:pStyle w:val="54"/>
              <w:ind w:firstLine="480"/>
              <w:rPr>
                <w:color w:val="auto"/>
              </w:rPr>
            </w:pPr>
            <w:r>
              <w:rPr>
                <w:color w:val="auto"/>
              </w:rPr>
              <w:t>本项目</w:t>
            </w:r>
            <w:r>
              <w:rPr>
                <w:rFonts w:hint="eastAsia"/>
                <w:color w:val="auto"/>
                <w:lang w:val="en-US" w:eastAsia="zh-CN"/>
              </w:rPr>
              <w:t>扩建不新增劳动定员，</w:t>
            </w:r>
            <w:r>
              <w:rPr>
                <w:rFonts w:hint="default" w:ascii="Times New Roman" w:hAnsi="Times New Roman" w:eastAsia="宋体" w:cs="Times New Roman"/>
                <w:color w:val="auto"/>
                <w:highlight w:val="none"/>
              </w:rPr>
              <w:t>每年</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9</w:t>
            </w:r>
            <w:r>
              <w:rPr>
                <w:rFonts w:hint="default" w:ascii="Times New Roman" w:hAnsi="Times New Roman" w:eastAsia="宋体" w:cs="Times New Roman"/>
                <w:color w:val="auto"/>
                <w:highlight w:val="none"/>
              </w:rPr>
              <w:t>月生产，</w:t>
            </w:r>
            <w:r>
              <w:rPr>
                <w:rFonts w:hint="eastAsia"/>
                <w:color w:val="000000" w:themeColor="text1"/>
                <w:sz w:val="24"/>
                <w:highlight w:val="none"/>
                <w14:textFill>
                  <w14:solidFill>
                    <w14:schemeClr w14:val="tx1"/>
                  </w14:solidFill>
                </w14:textFill>
              </w:rPr>
              <w:t>年运行</w:t>
            </w:r>
            <w:r>
              <w:rPr>
                <w:rFonts w:hint="eastAsia"/>
                <w:color w:val="000000" w:themeColor="text1"/>
                <w:sz w:val="24"/>
                <w:highlight w:val="none"/>
                <w:lang w:val="en-US" w:eastAsia="zh-CN"/>
                <w14:textFill>
                  <w14:solidFill>
                    <w14:schemeClr w14:val="tx1"/>
                  </w14:solidFill>
                </w14:textFill>
              </w:rPr>
              <w:t>150</w:t>
            </w:r>
            <w:r>
              <w:rPr>
                <w:rFonts w:hint="eastAsia"/>
                <w:color w:val="000000" w:themeColor="text1"/>
                <w:sz w:val="24"/>
                <w:highlight w:val="none"/>
                <w14:textFill>
                  <w14:solidFill>
                    <w14:schemeClr w14:val="tx1"/>
                  </w14:solidFill>
                </w14:textFill>
              </w:rPr>
              <w:t>天</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每日</w:t>
            </w:r>
            <w:r>
              <w:rPr>
                <w:rFonts w:hint="default" w:ascii="Times New Roman" w:hAnsi="Times New Roman" w:eastAsia="宋体" w:cs="Times New Roman"/>
                <w:color w:val="auto"/>
                <w:highlight w:val="none"/>
              </w:rPr>
              <w:t>工作8小时。</w:t>
            </w:r>
          </w:p>
          <w:p>
            <w:pPr>
              <w:pStyle w:val="54"/>
              <w:numPr>
                <w:ilvl w:val="0"/>
                <w:numId w:val="5"/>
              </w:numPr>
              <w:ind w:firstLine="482"/>
              <w:rPr>
                <w:b/>
                <w:bCs/>
                <w:color w:val="auto"/>
                <w:highlight w:val="none"/>
              </w:rPr>
            </w:pPr>
            <w:r>
              <w:rPr>
                <w:b/>
                <w:bCs/>
                <w:color w:val="auto"/>
              </w:rPr>
              <w:t>环保投资</w:t>
            </w:r>
          </w:p>
          <w:p>
            <w:pPr>
              <w:pStyle w:val="54"/>
              <w:ind w:firstLine="480"/>
              <w:rPr>
                <w:color w:val="auto"/>
              </w:rPr>
            </w:pPr>
            <w:r>
              <w:rPr>
                <w:color w:val="auto"/>
                <w:highlight w:val="none"/>
              </w:rPr>
              <w:t>本项目总投资</w:t>
            </w:r>
            <w:r>
              <w:rPr>
                <w:rFonts w:hint="eastAsia"/>
                <w:color w:val="auto"/>
                <w:highlight w:val="none"/>
                <w:lang w:val="en-US" w:eastAsia="zh-CN"/>
              </w:rPr>
              <w:t>60</w:t>
            </w:r>
            <w:r>
              <w:rPr>
                <w:color w:val="auto"/>
                <w:highlight w:val="none"/>
              </w:rPr>
              <w:t>万元，其中环保投资约</w:t>
            </w:r>
            <w:r>
              <w:rPr>
                <w:rFonts w:hint="eastAsia"/>
                <w:color w:val="auto"/>
                <w:highlight w:val="none"/>
                <w:lang w:val="en-US" w:eastAsia="zh-CN"/>
              </w:rPr>
              <w:t>17.7</w:t>
            </w:r>
            <w:r>
              <w:rPr>
                <w:color w:val="auto"/>
                <w:highlight w:val="none"/>
              </w:rPr>
              <w:t>万元，占总投资的</w:t>
            </w:r>
            <w:r>
              <w:rPr>
                <w:rFonts w:hint="eastAsia"/>
                <w:color w:val="auto"/>
                <w:highlight w:val="none"/>
                <w:lang w:val="en-US" w:eastAsia="zh-CN"/>
              </w:rPr>
              <w:t>27.23</w:t>
            </w:r>
            <w:r>
              <w:rPr>
                <w:color w:val="auto"/>
                <w:highlight w:val="none"/>
              </w:rPr>
              <w:t>%，</w:t>
            </w:r>
            <w:r>
              <w:rPr>
                <w:color w:val="auto"/>
              </w:rPr>
              <w:t>具体分项投资见下表。</w:t>
            </w:r>
          </w:p>
          <w:p>
            <w:pPr>
              <w:pStyle w:val="60"/>
              <w:numPr>
                <w:ilvl w:val="0"/>
                <w:numId w:val="0"/>
              </w:numPr>
              <w:rPr>
                <w:color w:val="auto"/>
                <w:sz w:val="21"/>
                <w:szCs w:val="21"/>
              </w:rPr>
            </w:pPr>
            <w:r>
              <w:rPr>
                <w:rFonts w:ascii="宋体" w:hAnsi="宋体" w:cs="宋体"/>
                <w:color w:val="auto"/>
                <w:sz w:val="21"/>
                <w:szCs w:val="21"/>
              </w:rPr>
              <w:t>表2-</w:t>
            </w:r>
            <w:r>
              <w:rPr>
                <w:rFonts w:hint="eastAsia" w:ascii="宋体" w:hAnsi="宋体" w:cs="宋体"/>
                <w:color w:val="auto"/>
                <w:sz w:val="21"/>
                <w:szCs w:val="21"/>
                <w:lang w:val="en-US" w:eastAsia="zh-CN"/>
              </w:rPr>
              <w:t>8</w:t>
            </w:r>
            <w:r>
              <w:rPr>
                <w:rFonts w:hint="eastAsia" w:ascii="宋体" w:hAnsi="宋体" w:cs="宋体"/>
                <w:color w:val="auto"/>
                <w:sz w:val="21"/>
                <w:szCs w:val="21"/>
              </w:rPr>
              <w:t xml:space="preserve"> </w:t>
            </w:r>
            <w:r>
              <w:rPr>
                <w:rFonts w:hint="eastAsia"/>
                <w:color w:val="auto"/>
                <w:sz w:val="21"/>
                <w:szCs w:val="21"/>
              </w:rPr>
              <w:t>环保投资</w:t>
            </w:r>
            <w:r>
              <w:rPr>
                <w:color w:val="auto"/>
                <w:sz w:val="21"/>
                <w:szCs w:val="21"/>
              </w:rPr>
              <w:t>一览表</w:t>
            </w:r>
          </w:p>
          <w:tbl>
            <w:tblPr>
              <w:tblStyle w:val="32"/>
              <w:tblW w:w="863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79"/>
              <w:gridCol w:w="1399"/>
              <w:gridCol w:w="2151"/>
              <w:gridCol w:w="3354"/>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00" w:hRule="atLeast"/>
                <w:jc w:val="center"/>
              </w:trPr>
              <w:tc>
                <w:tcPr>
                  <w:tcW w:w="479" w:type="dxa"/>
                  <w:tcBorders>
                    <w:top w:val="single" w:color="auto" w:sz="12" w:space="0"/>
                    <w:left w:val="nil"/>
                    <w:bottom w:val="single" w:color="auto" w:sz="4" w:space="0"/>
                    <w:right w:val="single" w:color="auto" w:sz="4" w:space="0"/>
                  </w:tcBorders>
                  <w:vAlign w:val="center"/>
                </w:tcPr>
                <w:p>
                  <w:pPr>
                    <w:pStyle w:val="57"/>
                    <w:rPr>
                      <w:b/>
                      <w:color w:val="auto"/>
                      <w:sz w:val="21"/>
                      <w:szCs w:val="21"/>
                    </w:rPr>
                  </w:pPr>
                  <w:r>
                    <w:rPr>
                      <w:b/>
                      <w:color w:val="auto"/>
                      <w:sz w:val="21"/>
                      <w:szCs w:val="21"/>
                    </w:rPr>
                    <w:t>时段</w:t>
                  </w:r>
                </w:p>
              </w:tc>
              <w:tc>
                <w:tcPr>
                  <w:tcW w:w="3550" w:type="dxa"/>
                  <w:gridSpan w:val="2"/>
                  <w:tcBorders>
                    <w:top w:val="single" w:color="auto" w:sz="12" w:space="0"/>
                    <w:left w:val="single" w:color="auto" w:sz="4" w:space="0"/>
                    <w:bottom w:val="single" w:color="auto" w:sz="4" w:space="0"/>
                    <w:right w:val="single" w:color="auto" w:sz="4" w:space="0"/>
                  </w:tcBorders>
                  <w:vAlign w:val="center"/>
                </w:tcPr>
                <w:p>
                  <w:pPr>
                    <w:pStyle w:val="57"/>
                    <w:rPr>
                      <w:b/>
                      <w:color w:val="auto"/>
                      <w:sz w:val="21"/>
                      <w:szCs w:val="21"/>
                    </w:rPr>
                  </w:pPr>
                  <w:r>
                    <w:rPr>
                      <w:b/>
                      <w:color w:val="auto"/>
                      <w:sz w:val="21"/>
                      <w:szCs w:val="21"/>
                    </w:rPr>
                    <w:t>类型</w:t>
                  </w:r>
                </w:p>
              </w:tc>
              <w:tc>
                <w:tcPr>
                  <w:tcW w:w="3354" w:type="dxa"/>
                  <w:tcBorders>
                    <w:top w:val="single" w:color="auto" w:sz="12" w:space="0"/>
                    <w:left w:val="single" w:color="auto" w:sz="4" w:space="0"/>
                    <w:bottom w:val="single" w:color="auto" w:sz="4" w:space="0"/>
                    <w:right w:val="single" w:color="auto" w:sz="4" w:space="0"/>
                  </w:tcBorders>
                  <w:vAlign w:val="center"/>
                </w:tcPr>
                <w:p>
                  <w:pPr>
                    <w:pStyle w:val="57"/>
                    <w:rPr>
                      <w:b/>
                      <w:color w:val="auto"/>
                      <w:sz w:val="21"/>
                      <w:szCs w:val="21"/>
                    </w:rPr>
                  </w:pPr>
                  <w:r>
                    <w:rPr>
                      <w:b/>
                      <w:color w:val="auto"/>
                      <w:sz w:val="21"/>
                      <w:szCs w:val="21"/>
                    </w:rPr>
                    <w:t>治理措施</w:t>
                  </w:r>
                </w:p>
              </w:tc>
              <w:tc>
                <w:tcPr>
                  <w:tcW w:w="1252" w:type="dxa"/>
                  <w:tcBorders>
                    <w:top w:val="single" w:color="auto" w:sz="12" w:space="0"/>
                    <w:left w:val="single" w:color="auto" w:sz="4" w:space="0"/>
                    <w:bottom w:val="single" w:color="auto" w:sz="4" w:space="0"/>
                    <w:right w:val="nil"/>
                  </w:tcBorders>
                  <w:vAlign w:val="center"/>
                </w:tcPr>
                <w:p>
                  <w:pPr>
                    <w:pStyle w:val="57"/>
                    <w:rPr>
                      <w:b/>
                      <w:color w:val="auto"/>
                      <w:sz w:val="21"/>
                      <w:szCs w:val="21"/>
                    </w:rPr>
                  </w:pPr>
                  <w:r>
                    <w:rPr>
                      <w:b/>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5" w:hRule="atLeast"/>
                <w:jc w:val="center"/>
              </w:trPr>
              <w:tc>
                <w:tcPr>
                  <w:tcW w:w="479" w:type="dxa"/>
                  <w:vMerge w:val="restart"/>
                  <w:tcBorders>
                    <w:top w:val="single" w:color="auto" w:sz="4" w:space="0"/>
                    <w:left w:val="nil"/>
                    <w:right w:val="single" w:color="auto" w:sz="4" w:space="0"/>
                  </w:tcBorders>
                  <w:vAlign w:val="center"/>
                </w:tcPr>
                <w:p>
                  <w:pPr>
                    <w:pStyle w:val="57"/>
                    <w:rPr>
                      <w:color w:val="auto"/>
                      <w:sz w:val="21"/>
                      <w:szCs w:val="21"/>
                    </w:rPr>
                  </w:pPr>
                  <w:r>
                    <w:rPr>
                      <w:rFonts w:hint="eastAsia"/>
                      <w:color w:val="auto"/>
                      <w:sz w:val="21"/>
                      <w:szCs w:val="21"/>
                    </w:rPr>
                    <w:t>施工期</w:t>
                  </w:r>
                </w:p>
              </w:tc>
              <w:tc>
                <w:tcPr>
                  <w:tcW w:w="1399" w:type="dxa"/>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r>
                    <w:rPr>
                      <w:rFonts w:hint="eastAsia"/>
                      <w:color w:val="auto"/>
                      <w:sz w:val="21"/>
                      <w:szCs w:val="21"/>
                    </w:rPr>
                    <w:t>废气</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施工扬尘</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洒水降尘</w:t>
                  </w:r>
                </w:p>
              </w:tc>
              <w:tc>
                <w:tcPr>
                  <w:tcW w:w="1252" w:type="dxa"/>
                  <w:tcBorders>
                    <w:top w:val="single" w:color="auto" w:sz="4" w:space="0"/>
                    <w:left w:val="single" w:color="auto" w:sz="4" w:space="0"/>
                    <w:bottom w:val="single" w:color="auto" w:sz="4" w:space="0"/>
                    <w:right w:val="nil"/>
                  </w:tcBorders>
                  <w:vAlign w:val="center"/>
                </w:tcPr>
                <w:p>
                  <w:pPr>
                    <w:pStyle w:val="57"/>
                    <w:rPr>
                      <w:color w:val="auto"/>
                      <w:sz w:val="21"/>
                      <w:szCs w:val="21"/>
                      <w:highlight w:val="none"/>
                    </w:rPr>
                  </w:pPr>
                  <w:r>
                    <w:rPr>
                      <w:rFonts w:hint="eastAsia"/>
                      <w:color w:val="auto"/>
                      <w:sz w:val="21"/>
                      <w:szCs w:val="21"/>
                      <w:highlight w:val="none"/>
                    </w:rPr>
                    <w:t>0</w:t>
                  </w:r>
                  <w:r>
                    <w:rPr>
                      <w:color w:val="auto"/>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479" w:type="dxa"/>
                  <w:vMerge w:val="continue"/>
                  <w:tcBorders>
                    <w:left w:val="nil"/>
                    <w:right w:val="single" w:color="auto" w:sz="4" w:space="0"/>
                  </w:tcBorders>
                  <w:vAlign w:val="center"/>
                </w:tcPr>
                <w:p>
                  <w:pPr>
                    <w:pStyle w:val="57"/>
                    <w:rPr>
                      <w:color w:val="auto"/>
                      <w:sz w:val="21"/>
                      <w:szCs w:val="21"/>
                    </w:rPr>
                  </w:pPr>
                </w:p>
              </w:tc>
              <w:tc>
                <w:tcPr>
                  <w:tcW w:w="1399" w:type="dxa"/>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r>
                    <w:rPr>
                      <w:rFonts w:hint="eastAsia"/>
                      <w:color w:val="auto"/>
                      <w:sz w:val="21"/>
                      <w:szCs w:val="21"/>
                    </w:rPr>
                    <w:t>废水</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val="en-US" w:eastAsia="zh-CN"/>
                    </w:rPr>
                    <w:t>施工</w:t>
                  </w:r>
                  <w:r>
                    <w:rPr>
                      <w:rFonts w:hint="eastAsia"/>
                      <w:color w:val="auto"/>
                      <w:sz w:val="21"/>
                      <w:szCs w:val="21"/>
                      <w:highlight w:val="none"/>
                    </w:rPr>
                    <w:t>废水</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val="en-US" w:eastAsia="zh-CN"/>
                    </w:rPr>
                    <w:t>沉淀池</w:t>
                  </w:r>
                </w:p>
              </w:tc>
              <w:tc>
                <w:tcPr>
                  <w:tcW w:w="1252" w:type="dxa"/>
                  <w:tcBorders>
                    <w:top w:val="single" w:color="auto" w:sz="4" w:space="0"/>
                    <w:left w:val="single" w:color="auto" w:sz="4" w:space="0"/>
                    <w:bottom w:val="single" w:color="auto" w:sz="4" w:space="0"/>
                    <w:right w:val="nil"/>
                  </w:tcBorders>
                  <w:vAlign w:val="center"/>
                </w:tcPr>
                <w:p>
                  <w:pPr>
                    <w:pStyle w:val="57"/>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479" w:type="dxa"/>
                  <w:vMerge w:val="continue"/>
                  <w:tcBorders>
                    <w:left w:val="nil"/>
                    <w:right w:val="single" w:color="auto" w:sz="4" w:space="0"/>
                  </w:tcBorders>
                  <w:vAlign w:val="center"/>
                </w:tcPr>
                <w:p>
                  <w:pPr>
                    <w:pStyle w:val="57"/>
                    <w:rPr>
                      <w:color w:val="auto"/>
                      <w:sz w:val="21"/>
                      <w:szCs w:val="21"/>
                    </w:rPr>
                  </w:pPr>
                </w:p>
              </w:tc>
              <w:tc>
                <w:tcPr>
                  <w:tcW w:w="1399" w:type="dxa"/>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r>
                    <w:rPr>
                      <w:rFonts w:hint="eastAsia"/>
                      <w:color w:val="auto"/>
                      <w:sz w:val="21"/>
                      <w:szCs w:val="21"/>
                    </w:rPr>
                    <w:t>固体废物</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废包装、建筑垃圾</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1个建筑垃圾箱</w:t>
                  </w:r>
                </w:p>
              </w:tc>
              <w:tc>
                <w:tcPr>
                  <w:tcW w:w="1252" w:type="dxa"/>
                  <w:tcBorders>
                    <w:top w:val="single" w:color="auto" w:sz="4" w:space="0"/>
                    <w:left w:val="single" w:color="auto" w:sz="4" w:space="0"/>
                    <w:bottom w:val="single" w:color="auto" w:sz="4" w:space="0"/>
                    <w:right w:val="nil"/>
                  </w:tcBorders>
                  <w:vAlign w:val="center"/>
                </w:tcPr>
                <w:p>
                  <w:pPr>
                    <w:pStyle w:val="57"/>
                    <w:rPr>
                      <w:color w:val="auto"/>
                      <w:sz w:val="21"/>
                      <w:szCs w:val="21"/>
                      <w:highlight w:val="none"/>
                    </w:rPr>
                  </w:pPr>
                  <w:r>
                    <w:rPr>
                      <w:rFonts w:hint="eastAsia"/>
                      <w:color w:val="auto"/>
                      <w:sz w:val="21"/>
                      <w:szCs w:val="21"/>
                      <w:highlight w:val="none"/>
                    </w:rPr>
                    <w:t>0</w:t>
                  </w:r>
                  <w:r>
                    <w:rPr>
                      <w:color w:val="auto"/>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479" w:type="dxa"/>
                  <w:vMerge w:val="continue"/>
                  <w:tcBorders>
                    <w:left w:val="nil"/>
                    <w:right w:val="single" w:color="auto" w:sz="4" w:space="0"/>
                  </w:tcBorders>
                  <w:vAlign w:val="center"/>
                </w:tcPr>
                <w:p>
                  <w:pPr>
                    <w:pStyle w:val="57"/>
                    <w:rPr>
                      <w:color w:val="auto"/>
                      <w:sz w:val="21"/>
                      <w:szCs w:val="21"/>
                    </w:rPr>
                  </w:pPr>
                </w:p>
              </w:tc>
              <w:tc>
                <w:tcPr>
                  <w:tcW w:w="1399" w:type="dxa"/>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r>
                    <w:rPr>
                      <w:rFonts w:hint="eastAsia"/>
                      <w:color w:val="auto"/>
                      <w:sz w:val="21"/>
                      <w:szCs w:val="21"/>
                    </w:rPr>
                    <w:t>噪声</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施工噪声</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隔声围栏</w:t>
                  </w:r>
                </w:p>
              </w:tc>
              <w:tc>
                <w:tcPr>
                  <w:tcW w:w="1252" w:type="dxa"/>
                  <w:tcBorders>
                    <w:top w:val="single" w:color="auto" w:sz="4" w:space="0"/>
                    <w:left w:val="single" w:color="auto" w:sz="4" w:space="0"/>
                    <w:bottom w:val="single" w:color="auto" w:sz="4" w:space="0"/>
                    <w:right w:val="nil"/>
                  </w:tcBorders>
                  <w:vAlign w:val="center"/>
                </w:tcPr>
                <w:p>
                  <w:pPr>
                    <w:pStyle w:val="57"/>
                    <w:rPr>
                      <w:rFonts w:hint="eastAsia" w:eastAsia="宋体"/>
                      <w:color w:val="auto"/>
                      <w:sz w:val="21"/>
                      <w:szCs w:val="21"/>
                      <w:highlight w:val="none"/>
                      <w:lang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30" w:hRule="atLeast"/>
                <w:jc w:val="center"/>
              </w:trPr>
              <w:tc>
                <w:tcPr>
                  <w:tcW w:w="479" w:type="dxa"/>
                  <w:vMerge w:val="restart"/>
                  <w:tcBorders>
                    <w:top w:val="single" w:color="auto" w:sz="4" w:space="0"/>
                    <w:left w:val="nil"/>
                    <w:bottom w:val="single" w:color="auto" w:sz="4" w:space="0"/>
                    <w:right w:val="single" w:color="auto" w:sz="4" w:space="0"/>
                  </w:tcBorders>
                  <w:vAlign w:val="center"/>
                </w:tcPr>
                <w:p>
                  <w:pPr>
                    <w:pStyle w:val="57"/>
                    <w:rPr>
                      <w:color w:val="auto"/>
                      <w:sz w:val="21"/>
                      <w:szCs w:val="21"/>
                    </w:rPr>
                  </w:pPr>
                  <w:r>
                    <w:rPr>
                      <w:color w:val="auto"/>
                      <w:sz w:val="21"/>
                      <w:szCs w:val="21"/>
                    </w:rPr>
                    <w:t>运营期</w:t>
                  </w:r>
                </w:p>
              </w:tc>
              <w:tc>
                <w:tcPr>
                  <w:tcW w:w="1399" w:type="dxa"/>
                  <w:vMerge w:val="restart"/>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r>
                    <w:rPr>
                      <w:color w:val="auto"/>
                      <w:sz w:val="21"/>
                      <w:szCs w:val="21"/>
                    </w:rPr>
                    <w:t>废气</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料仓、装卸</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料仓封闭，配备高压喷雾洒水降尘</w:t>
                  </w:r>
                </w:p>
              </w:tc>
              <w:tc>
                <w:tcPr>
                  <w:tcW w:w="1252" w:type="dxa"/>
                  <w:tcBorders>
                    <w:top w:val="single" w:color="auto" w:sz="4" w:space="0"/>
                    <w:left w:val="single" w:color="auto" w:sz="4" w:space="0"/>
                    <w:bottom w:val="single" w:color="auto" w:sz="4" w:space="0"/>
                    <w:right w:val="nil"/>
                  </w:tcBorders>
                  <w:vAlign w:val="center"/>
                </w:tcPr>
                <w:p>
                  <w:pPr>
                    <w:pStyle w:val="57"/>
                    <w:rPr>
                      <w:rFonts w:hint="eastAsia" w:eastAsia="宋体"/>
                      <w:color w:val="auto"/>
                      <w:sz w:val="21"/>
                      <w:szCs w:val="21"/>
                      <w:highlight w:val="none"/>
                      <w:lang w:eastAsia="zh-CN"/>
                    </w:rPr>
                  </w:pPr>
                  <w:r>
                    <w:rPr>
                      <w:rFonts w:hint="eastAsia"/>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55"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vMerge w:val="continue"/>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color w:val="auto"/>
                      <w:sz w:val="21"/>
                      <w:szCs w:val="21"/>
                      <w:highlight w:val="none"/>
                    </w:rPr>
                    <w:t>输送带封闭</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color w:val="auto"/>
                      <w:sz w:val="21"/>
                      <w:szCs w:val="21"/>
                      <w:highlight w:val="none"/>
                    </w:rPr>
                    <w:t>设置密闭式传送带</w:t>
                  </w:r>
                </w:p>
              </w:tc>
              <w:tc>
                <w:tcPr>
                  <w:tcW w:w="1252" w:type="dxa"/>
                  <w:tcBorders>
                    <w:top w:val="single" w:color="auto" w:sz="4" w:space="0"/>
                    <w:left w:val="single" w:color="auto" w:sz="4" w:space="0"/>
                    <w:bottom w:val="single" w:color="auto" w:sz="4" w:space="0"/>
                    <w:right w:val="nil"/>
                  </w:tcBorders>
                  <w:vAlign w:val="center"/>
                </w:tcPr>
                <w:p>
                  <w:pPr>
                    <w:pStyle w:val="57"/>
                    <w:rPr>
                      <w:rFonts w:hint="eastAsia" w:eastAsia="宋体"/>
                      <w:color w:val="auto"/>
                      <w:sz w:val="21"/>
                      <w:szCs w:val="21"/>
                      <w:highlight w:val="none"/>
                      <w:lang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85"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vMerge w:val="continue"/>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 w:val="21"/>
                      <w:szCs w:val="21"/>
                      <w:highlight w:val="none"/>
                      <w:lang w:val="en-US" w:eastAsia="zh-CN"/>
                    </w:rPr>
                  </w:pPr>
                  <w:r>
                    <w:rPr>
                      <w:color w:val="auto"/>
                      <w:sz w:val="21"/>
                      <w:szCs w:val="21"/>
                      <w:highlight w:val="none"/>
                    </w:rPr>
                    <w:t>搅拌站</w:t>
                  </w:r>
                  <w:r>
                    <w:rPr>
                      <w:rFonts w:hint="eastAsia"/>
                      <w:color w:val="auto"/>
                      <w:sz w:val="21"/>
                      <w:szCs w:val="21"/>
                      <w:highlight w:val="none"/>
                      <w:lang w:val="en-US" w:eastAsia="zh-CN"/>
                    </w:rPr>
                    <w:t>除尘</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val="en-US" w:eastAsia="zh-CN"/>
                    </w:rPr>
                    <w:t>2个</w:t>
                  </w:r>
                  <w:r>
                    <w:rPr>
                      <w:color w:val="auto"/>
                      <w:sz w:val="21"/>
                      <w:szCs w:val="21"/>
                      <w:highlight w:val="none"/>
                    </w:rPr>
                    <w:t>封闭搅拌站</w:t>
                  </w:r>
                  <w:r>
                    <w:rPr>
                      <w:rFonts w:hint="eastAsia"/>
                      <w:color w:val="auto"/>
                      <w:sz w:val="21"/>
                      <w:szCs w:val="21"/>
                      <w:highlight w:val="none"/>
                    </w:rPr>
                    <w:t>+</w:t>
                  </w:r>
                  <w:r>
                    <w:rPr>
                      <w:rFonts w:hint="eastAsia"/>
                      <w:color w:val="auto"/>
                      <w:sz w:val="21"/>
                      <w:szCs w:val="21"/>
                      <w:highlight w:val="none"/>
                      <w:lang w:val="en-US" w:eastAsia="zh-CN"/>
                    </w:rPr>
                    <w:t>2套布袋除尘器</w:t>
                  </w:r>
                </w:p>
              </w:tc>
              <w:tc>
                <w:tcPr>
                  <w:tcW w:w="1252" w:type="dxa"/>
                  <w:tcBorders>
                    <w:top w:val="single" w:color="auto" w:sz="4" w:space="0"/>
                    <w:left w:val="single" w:color="auto" w:sz="4" w:space="0"/>
                    <w:bottom w:val="single" w:color="auto" w:sz="4" w:space="0"/>
                    <w:right w:val="nil"/>
                  </w:tcBorders>
                  <w:vAlign w:val="center"/>
                </w:tcPr>
                <w:p>
                  <w:pPr>
                    <w:pStyle w:val="57"/>
                    <w:rPr>
                      <w:rFonts w:hint="eastAsia" w:eastAsia="宋体"/>
                      <w:color w:val="auto"/>
                      <w:sz w:val="21"/>
                      <w:szCs w:val="21"/>
                      <w:highlight w:val="none"/>
                      <w:lang w:eastAsia="zh-CN"/>
                    </w:rPr>
                  </w:pPr>
                  <w:r>
                    <w:rPr>
                      <w:rFonts w:hint="eastAsia"/>
                      <w:color w:val="auto"/>
                      <w:sz w:val="21"/>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85"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vMerge w:val="continue"/>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料斗喷淋降尘</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料斗处配备1套喷淋除尘系统，上料时自动喷淋降尘</w:t>
                  </w:r>
                </w:p>
              </w:tc>
              <w:tc>
                <w:tcPr>
                  <w:tcW w:w="1252" w:type="dxa"/>
                  <w:tcBorders>
                    <w:top w:val="single" w:color="auto" w:sz="4" w:space="0"/>
                    <w:left w:val="single" w:color="auto" w:sz="4" w:space="0"/>
                    <w:bottom w:val="single" w:color="auto" w:sz="4" w:space="0"/>
                    <w:right w:val="nil"/>
                  </w:tcBorders>
                  <w:vAlign w:val="center"/>
                </w:tcPr>
                <w:p>
                  <w:pPr>
                    <w:pStyle w:val="57"/>
                    <w:rPr>
                      <w:rFonts w:hint="eastAsia" w:eastAsia="宋体"/>
                      <w:color w:val="auto"/>
                      <w:sz w:val="21"/>
                      <w:szCs w:val="21"/>
                      <w:highlight w:val="none"/>
                      <w:lang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90"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vMerge w:val="continue"/>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p>
              </w:tc>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rPr>
                    <w:t>水泥仓</w:t>
                  </w:r>
                  <w:r>
                    <w:rPr>
                      <w:rFonts w:hint="eastAsia"/>
                      <w:color w:val="auto"/>
                      <w:sz w:val="21"/>
                      <w:szCs w:val="21"/>
                      <w:highlight w:val="none"/>
                      <w:lang w:eastAsia="zh-CN"/>
                    </w:rPr>
                    <w:t>、</w:t>
                  </w:r>
                  <w:r>
                    <w:rPr>
                      <w:rFonts w:hint="eastAsia"/>
                      <w:color w:val="auto"/>
                      <w:sz w:val="21"/>
                      <w:szCs w:val="21"/>
                      <w:highlight w:val="none"/>
                      <w:lang w:val="en-US" w:eastAsia="zh-CN"/>
                    </w:rPr>
                    <w:t>粉料仓</w:t>
                  </w:r>
                </w:p>
              </w:tc>
              <w:tc>
                <w:tcPr>
                  <w:tcW w:w="33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sz w:val="21"/>
                      <w:szCs w:val="21"/>
                      <w:highlight w:val="none"/>
                    </w:rPr>
                  </w:pPr>
                  <w:r>
                    <w:rPr>
                      <w:rFonts w:hint="eastAsia"/>
                      <w:color w:val="auto"/>
                      <w:sz w:val="21"/>
                      <w:szCs w:val="21"/>
                      <w:highlight w:val="none"/>
                      <w:lang w:val="en-US" w:eastAsia="zh-CN"/>
                    </w:rPr>
                    <w:t>4套</w:t>
                  </w:r>
                  <w:r>
                    <w:rPr>
                      <w:rFonts w:hint="eastAsia"/>
                      <w:color w:val="auto"/>
                      <w:sz w:val="21"/>
                      <w:szCs w:val="21"/>
                      <w:highlight w:val="none"/>
                    </w:rPr>
                    <w:t>袋式除尘器</w:t>
                  </w:r>
                </w:p>
              </w:tc>
              <w:tc>
                <w:tcPr>
                  <w:tcW w:w="1252" w:type="dxa"/>
                  <w:tcBorders>
                    <w:top w:val="single" w:color="auto" w:sz="4" w:space="0"/>
                    <w:left w:val="single" w:color="auto" w:sz="4" w:space="0"/>
                    <w:bottom w:val="single" w:color="auto" w:sz="4" w:space="0"/>
                    <w:right w:val="nil"/>
                  </w:tcBorders>
                  <w:shd w:val="clear" w:color="auto" w:fill="auto"/>
                  <w:vAlign w:val="center"/>
                </w:tcPr>
                <w:p>
                  <w:pPr>
                    <w:pStyle w:val="57"/>
                    <w:rPr>
                      <w:rFonts w:hint="eastAsia" w:eastAsia="宋体"/>
                      <w:color w:val="auto"/>
                      <w:sz w:val="21"/>
                      <w:szCs w:val="21"/>
                      <w:highlight w:val="none"/>
                      <w:lang w:eastAsia="zh-CN"/>
                    </w:rPr>
                  </w:pPr>
                  <w:r>
                    <w:rPr>
                      <w:rFonts w:hint="eastAsia"/>
                      <w:color w:val="auto"/>
                      <w:sz w:val="21"/>
                      <w:szCs w:val="21"/>
                      <w:highlight w:val="none"/>
                      <w:lang w:val="en-US" w:eastAsia="zh-CN"/>
                    </w:rPr>
                    <w:t>2</w:t>
                  </w:r>
                </w:p>
              </w:tc>
            </w:tr>
            <w:tr>
              <w:tblPrEx>
                <w:tblLayout w:type="fixed"/>
                <w:tblCellMar>
                  <w:top w:w="0" w:type="dxa"/>
                  <w:left w:w="51" w:type="dxa"/>
                  <w:bottom w:w="0" w:type="dxa"/>
                  <w:right w:w="51" w:type="dxa"/>
                </w:tblCellMar>
              </w:tblPrEx>
              <w:trPr>
                <w:trHeight w:val="90"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vMerge w:val="continue"/>
                  <w:tcBorders>
                    <w:top w:val="single" w:color="auto" w:sz="4" w:space="0"/>
                    <w:left w:val="single" w:color="auto" w:sz="4" w:space="0"/>
                    <w:bottom w:val="single" w:color="auto" w:sz="4" w:space="0"/>
                    <w:right w:val="single" w:color="auto" w:sz="4" w:space="0"/>
                  </w:tcBorders>
                  <w:vAlign w:val="center"/>
                </w:tcPr>
                <w:p>
                  <w:pPr>
                    <w:pStyle w:val="57"/>
                    <w:rPr>
                      <w:color w:val="auto"/>
                      <w:sz w:val="21"/>
                      <w:szCs w:val="21"/>
                    </w:rPr>
                  </w:pPr>
                </w:p>
              </w:tc>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sz w:val="21"/>
                      <w:szCs w:val="21"/>
                      <w:highlight w:val="none"/>
                    </w:rPr>
                  </w:pPr>
                  <w:r>
                    <w:rPr>
                      <w:color w:val="auto"/>
                      <w:sz w:val="21"/>
                      <w:szCs w:val="21"/>
                      <w:highlight w:val="none"/>
                    </w:rPr>
                    <w:t>厂区地面</w:t>
                  </w:r>
                </w:p>
              </w:tc>
              <w:tc>
                <w:tcPr>
                  <w:tcW w:w="33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sz w:val="21"/>
                      <w:szCs w:val="21"/>
                      <w:highlight w:val="none"/>
                    </w:rPr>
                  </w:pPr>
                  <w:r>
                    <w:rPr>
                      <w:color w:val="auto"/>
                      <w:sz w:val="21"/>
                      <w:szCs w:val="21"/>
                      <w:highlight w:val="none"/>
                    </w:rPr>
                    <w:t>厂区地面洒水抑尘</w:t>
                  </w:r>
                </w:p>
              </w:tc>
              <w:tc>
                <w:tcPr>
                  <w:tcW w:w="1252" w:type="dxa"/>
                  <w:tcBorders>
                    <w:top w:val="single" w:color="auto" w:sz="4" w:space="0"/>
                    <w:left w:val="single" w:color="auto" w:sz="4" w:space="0"/>
                    <w:bottom w:val="single" w:color="auto" w:sz="4" w:space="0"/>
                    <w:right w:val="nil"/>
                  </w:tcBorders>
                  <w:shd w:val="clear" w:color="auto" w:fill="auto"/>
                  <w:vAlign w:val="center"/>
                </w:tcPr>
                <w:p>
                  <w:pPr>
                    <w:pStyle w:val="57"/>
                    <w:rPr>
                      <w:rFonts w:hint="default" w:eastAsia="宋体"/>
                      <w:color w:val="auto"/>
                      <w:sz w:val="21"/>
                      <w:szCs w:val="21"/>
                      <w:highlight w:val="none"/>
                      <w:lang w:val="en-US" w:eastAsia="zh-CN"/>
                    </w:rPr>
                  </w:pPr>
                  <w:r>
                    <w:rPr>
                      <w:rFonts w:hint="eastAsia"/>
                      <w:color w:val="auto"/>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77"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噪声</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color w:val="auto"/>
                      <w:sz w:val="21"/>
                      <w:szCs w:val="21"/>
                      <w:highlight w:val="none"/>
                    </w:rPr>
                    <w:t>设备降噪措施</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color w:val="auto"/>
                      <w:sz w:val="21"/>
                      <w:szCs w:val="21"/>
                      <w:highlight w:val="none"/>
                    </w:rPr>
                    <w:t>低噪声设备、减振等</w:t>
                  </w:r>
                </w:p>
              </w:tc>
              <w:tc>
                <w:tcPr>
                  <w:tcW w:w="1252" w:type="dxa"/>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color w:val="auto"/>
                      <w:sz w:val="21"/>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90"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tcBorders>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固废</w:t>
                  </w:r>
                </w:p>
              </w:tc>
              <w:tc>
                <w:tcPr>
                  <w:tcW w:w="21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生产废物收集</w:t>
                  </w:r>
                </w:p>
              </w:tc>
              <w:tc>
                <w:tcPr>
                  <w:tcW w:w="33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rPr>
                    <w:t>1个生产废物收集箱</w:t>
                  </w:r>
                </w:p>
              </w:tc>
              <w:tc>
                <w:tcPr>
                  <w:tcW w:w="1252" w:type="dxa"/>
                  <w:tcBorders>
                    <w:top w:val="single" w:color="auto" w:sz="4" w:space="0"/>
                    <w:left w:val="single" w:color="auto" w:sz="4" w:space="0"/>
                    <w:bottom w:val="single" w:color="auto" w:sz="4" w:space="0"/>
                    <w:right w:val="nil"/>
                  </w:tcBorders>
                  <w:vAlign w:val="center"/>
                </w:tcPr>
                <w:p>
                  <w:pPr>
                    <w:adjustRightInd w:val="0"/>
                    <w:snapToGrid w:val="0"/>
                    <w:jc w:val="center"/>
                    <w:rPr>
                      <w:color w:val="auto"/>
                      <w:sz w:val="21"/>
                      <w:szCs w:val="21"/>
                      <w:highlight w:val="none"/>
                    </w:rPr>
                  </w:pPr>
                  <w:r>
                    <w:rPr>
                      <w:rFonts w:hint="eastAsia"/>
                      <w:color w:val="auto"/>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92"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tcBorders>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地下水</w:t>
                  </w:r>
                </w:p>
              </w:tc>
              <w:tc>
                <w:tcPr>
                  <w:tcW w:w="550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olor w:val="auto"/>
                      <w:sz w:val="21"/>
                      <w:szCs w:val="21"/>
                      <w:highlight w:val="none"/>
                    </w:rPr>
                  </w:pPr>
                  <w:r>
                    <w:rPr>
                      <w:rFonts w:hint="eastAsia"/>
                      <w:color w:val="auto"/>
                      <w:sz w:val="21"/>
                      <w:szCs w:val="21"/>
                      <w:highlight w:val="none"/>
                      <w:lang w:val="en-US" w:eastAsia="zh-CN"/>
                    </w:rPr>
                    <w:t>防渗工程</w:t>
                  </w:r>
                </w:p>
              </w:tc>
              <w:tc>
                <w:tcPr>
                  <w:tcW w:w="1252" w:type="dxa"/>
                  <w:tcBorders>
                    <w:top w:val="single" w:color="auto" w:sz="4" w:space="0"/>
                    <w:left w:val="single" w:color="auto" w:sz="4" w:space="0"/>
                    <w:bottom w:val="single" w:color="auto" w:sz="4" w:space="0"/>
                    <w:right w:val="nil"/>
                  </w:tcBorders>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53" w:hRule="atLeast"/>
                <w:jc w:val="center"/>
              </w:trPr>
              <w:tc>
                <w:tcPr>
                  <w:tcW w:w="479" w:type="dxa"/>
                  <w:vMerge w:val="continue"/>
                  <w:tcBorders>
                    <w:top w:val="single" w:color="auto" w:sz="4" w:space="0"/>
                    <w:left w:val="nil"/>
                    <w:bottom w:val="single" w:color="auto" w:sz="4" w:space="0"/>
                    <w:right w:val="single" w:color="auto" w:sz="4" w:space="0"/>
                  </w:tcBorders>
                  <w:vAlign w:val="center"/>
                </w:tcPr>
                <w:p>
                  <w:pPr>
                    <w:pStyle w:val="57"/>
                    <w:rPr>
                      <w:color w:val="auto"/>
                      <w:sz w:val="21"/>
                      <w:szCs w:val="21"/>
                    </w:rPr>
                  </w:pPr>
                </w:p>
              </w:tc>
              <w:tc>
                <w:tcPr>
                  <w:tcW w:w="13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rPr>
                  </w:pPr>
                  <w:r>
                    <w:rPr>
                      <w:color w:val="auto"/>
                      <w:sz w:val="21"/>
                      <w:szCs w:val="21"/>
                    </w:rPr>
                    <w:t>运行维护</w:t>
                  </w:r>
                </w:p>
              </w:tc>
              <w:tc>
                <w:tcPr>
                  <w:tcW w:w="550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 w:val="21"/>
                      <w:szCs w:val="21"/>
                      <w:highlight w:val="none"/>
                    </w:rPr>
                  </w:pPr>
                  <w:r>
                    <w:rPr>
                      <w:color w:val="auto"/>
                      <w:sz w:val="21"/>
                      <w:szCs w:val="21"/>
                      <w:highlight w:val="none"/>
                    </w:rPr>
                    <w:t>设备运行维护</w:t>
                  </w:r>
                </w:p>
              </w:tc>
              <w:tc>
                <w:tcPr>
                  <w:tcW w:w="1252" w:type="dxa"/>
                  <w:tcBorders>
                    <w:top w:val="single" w:color="auto" w:sz="4" w:space="0"/>
                    <w:left w:val="single" w:color="auto" w:sz="4" w:space="0"/>
                    <w:bottom w:val="single" w:color="auto" w:sz="4" w:space="0"/>
                    <w:right w:val="nil"/>
                  </w:tcBorders>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153" w:hRule="atLeast"/>
                <w:jc w:val="center"/>
              </w:trPr>
              <w:tc>
                <w:tcPr>
                  <w:tcW w:w="7383" w:type="dxa"/>
                  <w:gridSpan w:val="4"/>
                  <w:tcBorders>
                    <w:top w:val="single" w:color="auto" w:sz="4" w:space="0"/>
                    <w:left w:val="nil"/>
                    <w:bottom w:val="single" w:color="auto" w:sz="12" w:space="0"/>
                    <w:right w:val="single" w:color="auto" w:sz="4" w:space="0"/>
                  </w:tcBorders>
                  <w:vAlign w:val="center"/>
                </w:tcPr>
                <w:p>
                  <w:pPr>
                    <w:adjustRightInd w:val="0"/>
                    <w:snapToGrid w:val="0"/>
                    <w:jc w:val="center"/>
                    <w:rPr>
                      <w:color w:val="auto"/>
                      <w:sz w:val="21"/>
                      <w:szCs w:val="21"/>
                      <w:highlight w:val="yellow"/>
                    </w:rPr>
                  </w:pPr>
                  <w:r>
                    <w:rPr>
                      <w:color w:val="auto"/>
                      <w:sz w:val="21"/>
                      <w:szCs w:val="21"/>
                      <w:highlight w:val="none"/>
                    </w:rPr>
                    <w:t>合计</w:t>
                  </w:r>
                </w:p>
              </w:tc>
              <w:tc>
                <w:tcPr>
                  <w:tcW w:w="1252" w:type="dxa"/>
                  <w:tcBorders>
                    <w:top w:val="single" w:color="auto" w:sz="4" w:space="0"/>
                    <w:left w:val="single" w:color="auto" w:sz="4" w:space="0"/>
                    <w:bottom w:val="single" w:color="auto" w:sz="12" w:space="0"/>
                    <w:right w:val="nil"/>
                  </w:tcBorders>
                  <w:vAlign w:val="center"/>
                </w:tcPr>
                <w:p>
                  <w:pPr>
                    <w:adjustRightInd w:val="0"/>
                    <w:snapToGrid w:val="0"/>
                    <w:jc w:val="center"/>
                    <w:rPr>
                      <w:rFonts w:hint="default" w:eastAsia="宋体"/>
                      <w:color w:val="auto"/>
                      <w:sz w:val="21"/>
                      <w:szCs w:val="21"/>
                      <w:highlight w:val="yellow"/>
                      <w:lang w:val="en-US" w:eastAsia="zh-CN"/>
                    </w:rPr>
                  </w:pPr>
                  <w:r>
                    <w:rPr>
                      <w:rFonts w:hint="eastAsia"/>
                      <w:color w:val="auto"/>
                      <w:sz w:val="21"/>
                      <w:szCs w:val="21"/>
                      <w:highlight w:val="none"/>
                      <w:lang w:val="en-US" w:eastAsia="zh-CN"/>
                    </w:rPr>
                    <w:t>17.7</w:t>
                  </w:r>
                </w:p>
              </w:tc>
            </w:tr>
          </w:tbl>
          <w:p>
            <w:pPr>
              <w:pStyle w:val="54"/>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2" w:hRule="atLeast"/>
          <w:jc w:val="center"/>
        </w:trPr>
        <w:tc>
          <w:tcPr>
            <w:tcW w:w="78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工艺流程和产排污环节</w:t>
            </w:r>
          </w:p>
        </w:tc>
        <w:tc>
          <w:tcPr>
            <w:tcW w:w="8851" w:type="dxa"/>
          </w:tcPr>
          <w:p>
            <w:pPr>
              <w:pStyle w:val="76"/>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一、施工期施工工艺及产污环节</w:t>
            </w:r>
          </w:p>
          <w:p>
            <w:pPr>
              <w:pStyle w:val="76"/>
              <w:spacing w:line="360" w:lineRule="auto"/>
              <w:ind w:firstLine="480"/>
              <w:rPr>
                <w:color w:val="auto"/>
              </w:rPr>
            </w:pPr>
            <w:r>
              <w:rPr>
                <w:rFonts w:hint="eastAsia"/>
                <w:color w:val="auto"/>
                <w:lang w:val="en-US" w:eastAsia="zh-CN"/>
              </w:rPr>
              <w:t>项目</w:t>
            </w:r>
            <w:r>
              <w:rPr>
                <w:rFonts w:hint="eastAsia"/>
                <w:color w:val="auto"/>
              </w:rPr>
              <w:t>建设过程中的基础开挖、物料运输、物料混合搅拌都会产生不同程度的扬尘、噪声、施工废水、员工生活废水和建筑垃圾，通过洒水降尘的方式可降低扬尘对周围环境的影响，废水排入防渗旱厕，建筑垃圾收集至建筑垃圾箱，由市政部门统一清运，施工期间产生的噪声，通过隔声围挡可有效降低其对周围环境的影响。</w:t>
            </w:r>
          </w:p>
          <w:p>
            <w:pPr>
              <w:pStyle w:val="76"/>
              <w:spacing w:line="240" w:lineRule="auto"/>
              <w:ind w:firstLine="4" w:firstLineChars="2"/>
              <w:jc w:val="center"/>
              <w:rPr>
                <w:color w:val="auto"/>
              </w:rPr>
            </w:pPr>
            <w:r>
              <w:rPr>
                <w:rFonts w:hint="default" w:ascii="Times New Roman" w:hAnsi="Times New Roman" w:eastAsia="宋体" w:cs="Times New Roman"/>
                <w:color w:val="auto"/>
                <w:sz w:val="24"/>
                <w:szCs w:val="24"/>
                <w:highlight w:val="none"/>
              </w:rPr>
              <w:drawing>
                <wp:inline distT="0" distB="0" distL="114300" distR="114300">
                  <wp:extent cx="4330065" cy="1550670"/>
                  <wp:effectExtent l="0" t="0" r="635" b="11430"/>
                  <wp:docPr id="6" name="图片 1" descr="加气站施工期-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加气站施工期-2016"/>
                          <pic:cNvPicPr>
                            <a:picLocks noChangeAspect="1"/>
                          </pic:cNvPicPr>
                        </pic:nvPicPr>
                        <pic:blipFill>
                          <a:blip r:embed="rId11"/>
                          <a:stretch>
                            <a:fillRect/>
                          </a:stretch>
                        </pic:blipFill>
                        <pic:spPr>
                          <a:xfrm>
                            <a:off x="0" y="0"/>
                            <a:ext cx="4330065" cy="1550670"/>
                          </a:xfrm>
                          <a:prstGeom prst="rect">
                            <a:avLst/>
                          </a:prstGeom>
                          <a:noFill/>
                          <a:ln>
                            <a:noFill/>
                          </a:ln>
                        </pic:spPr>
                      </pic:pic>
                    </a:graphicData>
                  </a:graphic>
                </wp:inline>
              </w:drawing>
            </w:r>
          </w:p>
          <w:p>
            <w:pPr>
              <w:pStyle w:val="10"/>
              <w:spacing w:line="360" w:lineRule="auto"/>
              <w:ind w:firstLine="482"/>
              <w:rPr>
                <w:b/>
                <w:color w:val="auto"/>
                <w:sz w:val="21"/>
                <w:szCs w:val="21"/>
                <w:u w:color="000000"/>
              </w:rPr>
            </w:pPr>
            <w:r>
              <w:rPr>
                <w:b/>
                <w:color w:val="auto"/>
                <w:sz w:val="21"/>
                <w:szCs w:val="21"/>
                <w:u w:color="000000"/>
              </w:rPr>
              <w:t>图2-</w:t>
            </w:r>
            <w:r>
              <w:rPr>
                <w:rFonts w:hint="eastAsia"/>
                <w:b/>
                <w:color w:val="auto"/>
                <w:sz w:val="21"/>
                <w:szCs w:val="21"/>
                <w:u w:color="000000"/>
              </w:rPr>
              <w:t>2</w:t>
            </w:r>
            <w:r>
              <w:rPr>
                <w:b/>
                <w:color w:val="auto"/>
                <w:sz w:val="21"/>
                <w:szCs w:val="21"/>
                <w:u w:color="000000"/>
              </w:rPr>
              <w:t xml:space="preserve">  </w:t>
            </w:r>
            <w:r>
              <w:rPr>
                <w:rFonts w:hint="eastAsia"/>
                <w:b/>
                <w:color w:val="auto"/>
                <w:sz w:val="21"/>
                <w:szCs w:val="21"/>
                <w:u w:color="000000"/>
              </w:rPr>
              <w:t>施工期</w:t>
            </w:r>
            <w:r>
              <w:rPr>
                <w:b/>
                <w:color w:val="auto"/>
                <w:sz w:val="21"/>
                <w:szCs w:val="21"/>
                <w:u w:color="000000"/>
              </w:rPr>
              <w:t>工艺流程及产污环节示意图</w:t>
            </w:r>
          </w:p>
          <w:p>
            <w:pPr>
              <w:pStyle w:val="76"/>
              <w:spacing w:line="360" w:lineRule="auto"/>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二、运营期工艺</w:t>
            </w:r>
            <w:r>
              <w:rPr>
                <w:rFonts w:hint="eastAsia"/>
                <w:color w:val="000000" w:themeColor="text1"/>
                <w:szCs w:val="24"/>
                <w:lang w:val="en-US" w:eastAsia="zh-CN"/>
                <w14:textFill>
                  <w14:solidFill>
                    <w14:schemeClr w14:val="tx1"/>
                  </w14:solidFill>
                </w14:textFill>
              </w:rPr>
              <w:t>流程</w:t>
            </w:r>
            <w:r>
              <w:rPr>
                <w:rFonts w:hint="eastAsia"/>
                <w:color w:val="000000" w:themeColor="text1"/>
                <w:szCs w:val="24"/>
                <w14:textFill>
                  <w14:solidFill>
                    <w14:schemeClr w14:val="tx1"/>
                  </w14:solidFill>
                </w14:textFill>
              </w:rPr>
              <w:t>及产污环节</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1、水泥稳定碎石生产</w:t>
            </w:r>
            <w:r>
              <w:rPr>
                <w:rFonts w:hint="eastAsia"/>
                <w:color w:val="000000" w:themeColor="text1"/>
                <w:szCs w:val="24"/>
                <w14:textFill>
                  <w14:solidFill>
                    <w14:schemeClr w14:val="tx1"/>
                  </w14:solidFill>
                </w14:textFill>
              </w:rPr>
              <w:t>工艺</w:t>
            </w:r>
            <w:r>
              <w:rPr>
                <w:rFonts w:hint="eastAsia"/>
                <w:color w:val="000000" w:themeColor="text1"/>
                <w:szCs w:val="24"/>
                <w:lang w:val="en-US" w:eastAsia="zh-CN"/>
                <w14:textFill>
                  <w14:solidFill>
                    <w14:schemeClr w14:val="tx1"/>
                  </w14:solidFill>
                </w14:textFill>
              </w:rPr>
              <w:t>流程</w:t>
            </w:r>
            <w:r>
              <w:rPr>
                <w:rFonts w:hint="eastAsia"/>
                <w:color w:val="000000" w:themeColor="text1"/>
                <w:szCs w:val="24"/>
                <w14:textFill>
                  <w14:solidFill>
                    <w14:schemeClr w14:val="tx1"/>
                  </w14:solidFill>
                </w14:textFill>
              </w:rPr>
              <w:t>及产污环节</w:t>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本项目水泥稳定碎石为原料混合、搅拌过程，为物理反应，无化学反应。具体工艺如下：</w:t>
            </w:r>
          </w:p>
          <w:p>
            <w:pPr>
              <w:adjustRightInd w:val="0"/>
              <w:snapToGrid w:val="0"/>
              <w:spacing w:line="360" w:lineRule="auto"/>
              <w:jc w:val="center"/>
              <w:rPr>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308600" cy="358521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68923" cy="3625957"/>
                          </a:xfrm>
                          <a:prstGeom prst="rect">
                            <a:avLst/>
                          </a:prstGeom>
                          <a:noFill/>
                          <a:ln>
                            <a:noFill/>
                          </a:ln>
                        </pic:spPr>
                      </pic:pic>
                    </a:graphicData>
                  </a:graphic>
                </wp:inline>
              </w:drawing>
            </w:r>
          </w:p>
          <w:p>
            <w:pPr>
              <w:pStyle w:val="60"/>
              <w:numPr>
                <w:ilvl w:val="0"/>
                <w:numId w:val="0"/>
              </w:numPr>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图2-3  </w:t>
            </w:r>
            <w:r>
              <w:rPr>
                <w:rFonts w:hint="default" w:ascii="Times New Roman" w:hAnsi="Times New Roman" w:cs="Times New Roman"/>
                <w:color w:val="000000" w:themeColor="text1"/>
                <w:sz w:val="21"/>
                <w:szCs w:val="21"/>
                <w:lang w:val="en-US" w:eastAsia="zh-CN"/>
                <w14:textFill>
                  <w14:solidFill>
                    <w14:schemeClr w14:val="tx1"/>
                  </w14:solidFill>
                </w14:textFill>
              </w:rPr>
              <w:t>水泥稳定碎石</w:t>
            </w:r>
            <w:r>
              <w:rPr>
                <w:rFonts w:hint="default" w:ascii="Times New Roman" w:hAnsi="Times New Roman" w:cs="Times New Roman"/>
                <w:color w:val="000000" w:themeColor="text1"/>
                <w:sz w:val="21"/>
                <w:szCs w:val="21"/>
                <w14:textFill>
                  <w14:solidFill>
                    <w14:schemeClr w14:val="tx1"/>
                  </w14:solidFill>
                </w14:textFill>
              </w:rPr>
              <w:t>运行期工艺流程及产排污流程图</w:t>
            </w:r>
          </w:p>
          <w:p>
            <w:pPr>
              <w:pStyle w:val="55"/>
              <w:spacing w:line="360" w:lineRule="auto"/>
              <w:ind w:firstLine="480" w:firstLineChars="200"/>
              <w:jc w:val="both"/>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项目运行方式为间歇式运行方式，搅拌机平均运行时间约为</w:t>
            </w:r>
            <w:r>
              <w:rPr>
                <w:rFonts w:eastAsia="宋体"/>
                <w:color w:val="000000" w:themeColor="text1"/>
                <w14:textFill>
                  <w14:solidFill>
                    <w14:schemeClr w14:val="tx1"/>
                  </w14:solidFill>
                </w14:textFill>
              </w:rPr>
              <w:t>8</w:t>
            </w:r>
            <w:r>
              <w:rPr>
                <w:rFonts w:hint="eastAsia" w:eastAsia="宋体"/>
                <w:color w:val="000000" w:themeColor="text1"/>
                <w14:textFill>
                  <w14:solidFill>
                    <w14:schemeClr w14:val="tx1"/>
                  </w14:solidFill>
                </w14:textFill>
              </w:rPr>
              <w:t>h/d，投料过程约为2h/d；项目工艺流程如下：</w:t>
            </w:r>
          </w:p>
          <w:p>
            <w:pPr>
              <w:pStyle w:val="55"/>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(1)配料：本项目生产所需要的原料有水泥、沙子、碎石和水，其中水泥此类分装原料采用螺旋运输机连接水泥筒仓，直接输送至搅拌站中；沙子、碎石为建筑垃圾综合利用生产线产生的成品，在料仓内堆存。</w:t>
            </w:r>
          </w:p>
          <w:p>
            <w:pPr>
              <w:pStyle w:val="55"/>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(2)投料：储存于料仓的砂石，通过</w:t>
            </w:r>
            <w:r>
              <w:rPr>
                <w:rFonts w:hint="default" w:ascii="Times New Roman" w:hAnsi="Times New Roman" w:eastAsia="宋体" w:cs="Times New Roman"/>
                <w:color w:val="auto"/>
              </w:rPr>
              <w:t>汽运设备运至</w:t>
            </w:r>
            <w:r>
              <w:rPr>
                <w:rFonts w:hint="default" w:ascii="Times New Roman" w:hAnsi="Times New Roman" w:eastAsia="宋体" w:cs="Times New Roman"/>
                <w:color w:val="auto"/>
                <w:lang w:val="en-US" w:eastAsia="zh-CN"/>
              </w:rPr>
              <w:t>加</w:t>
            </w:r>
            <w:r>
              <w:rPr>
                <w:rFonts w:hint="default" w:ascii="Times New Roman" w:hAnsi="Times New Roman" w:eastAsia="宋体" w:cs="Times New Roman"/>
                <w:color w:val="auto"/>
              </w:rPr>
              <w:t>料斗，由</w:t>
            </w:r>
            <w:r>
              <w:rPr>
                <w:rFonts w:hint="default" w:ascii="Times New Roman" w:hAnsi="Times New Roman" w:eastAsia="宋体" w:cs="Times New Roman"/>
                <w:color w:val="000000" w:themeColor="text1"/>
                <w14:textFill>
                  <w14:solidFill>
                    <w14:schemeClr w14:val="tx1"/>
                  </w14:solidFill>
                </w14:textFill>
              </w:rPr>
              <w:t>加料斗提升进入搅拌站内；水泥类粉状原料则通过螺旋输送机密闭上料至搅拌站内；搅拌用水使用水泵进行上料。整个过程均采用计算机监控，全程自动化操作，从而保证水泥稳定碎石的品质。</w:t>
            </w:r>
          </w:p>
          <w:p>
            <w:pPr>
              <w:pStyle w:val="55"/>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搅拌：在搅拌机内相互反转的两根搅拌轴的搅拌下，受到浆片周向、径向、轴向力的作用，使物料一边相互产生挤压、摩擦、剪切、对流，从而进行剧烈的拌合，一边向出料口推移，当物料达到机内的出料口时，各种物料已相互得到均匀的拌合，并具有压实所需要的含水量。</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(4)卸料</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在搅拌完成后，产品装入输送车。搅拌机需要每天冲洗，冲洗废水经过项目自建的沉淀池回收利用。生产出的水泥稳定碎石由运输车直接装运，送往施工工地。</w:t>
            </w:r>
          </w:p>
          <w:p>
            <w:pPr>
              <w:pStyle w:val="55"/>
              <w:spacing w:line="360" w:lineRule="auto"/>
              <w:ind w:firstLine="482"/>
              <w:jc w:val="left"/>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2、商品混凝土生产工艺流程及产污环节</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eastAsia="zh-CN"/>
              </w:rPr>
              <w:t>混凝土</w:t>
            </w:r>
            <w:r>
              <w:rPr>
                <w:rFonts w:hint="default" w:ascii="Times New Roman" w:hAnsi="Times New Roman" w:eastAsia="宋体" w:cs="Times New Roman"/>
                <w:color w:val="auto"/>
                <w:highlight w:val="none"/>
              </w:rPr>
              <w:t>为原料混合、搅拌过程，为物理反应，无化学反应。具体工艺如下：</w:t>
            </w:r>
          </w:p>
          <w:p>
            <w:pPr>
              <w:adjustRightInd w:val="0"/>
              <w:snapToGrid w:val="0"/>
              <w:spacing w:line="36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24"/>
                <w:szCs w:val="24"/>
                <w:highlight w:val="none"/>
              </w:rPr>
              <w:drawing>
                <wp:inline distT="0" distB="0" distL="114300" distR="114300">
                  <wp:extent cx="4686300" cy="28765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686300" cy="2876550"/>
                          </a:xfrm>
                          <a:prstGeom prst="rect">
                            <a:avLst/>
                          </a:prstGeom>
                          <a:noFill/>
                          <a:ln>
                            <a:noFill/>
                          </a:ln>
                        </pic:spPr>
                      </pic:pic>
                    </a:graphicData>
                  </a:graphic>
                </wp:inline>
              </w:drawing>
            </w:r>
          </w:p>
          <w:p>
            <w:pPr>
              <w:pStyle w:val="60"/>
              <w:numPr>
                <w:ilvl w:val="0"/>
                <w:numId w:val="0"/>
              </w:numPr>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图2-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 xml:space="preserve">  运行期工艺流程及产排污流程图</w:t>
            </w:r>
          </w:p>
          <w:p>
            <w:pPr>
              <w:pStyle w:val="55"/>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项目运行方式为间歇式运行方式，搅拌机平均运行时间约为</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h/d，投料过程约为</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h/d；项目工艺流程如下：</w:t>
            </w:r>
          </w:p>
          <w:p>
            <w:pPr>
              <w:pStyle w:val="55"/>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配料：本项目生产所需要的原料有</w:t>
            </w:r>
            <w:r>
              <w:rPr>
                <w:rFonts w:hint="default" w:ascii="Times New Roman" w:hAnsi="Times New Roman" w:eastAsia="宋体" w:cs="Times New Roman"/>
                <w:color w:val="auto"/>
                <w:highlight w:val="none"/>
                <w:lang w:val="en-US" w:eastAsia="zh-CN"/>
              </w:rPr>
              <w:t>粉煤灰、矿粉、</w:t>
            </w:r>
            <w:r>
              <w:rPr>
                <w:rFonts w:hint="default" w:ascii="Times New Roman" w:hAnsi="Times New Roman" w:eastAsia="宋体" w:cs="Times New Roman"/>
                <w:color w:val="auto"/>
                <w:highlight w:val="none"/>
              </w:rPr>
              <w:t>水泥、沙子、碎石和水，其中水泥此类分装原料采用螺旋运输机连接水泥筒仓，直接输送至搅拌站中；沙子、碎石为建筑垃圾综合利用生产线产生的成品，在备料区内堆存。</w:t>
            </w:r>
          </w:p>
          <w:p>
            <w:pPr>
              <w:pStyle w:val="55"/>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投料：储存于备料区的砂石，由铲车加入受料仓，再通过皮带输送至搅拌机，由加料斗提升进入搅拌站内；水泥类粉状原料则通过螺旋输送机密闭上料至搅拌站内；搅拌用水使用水泵进行上料。整个过程均采用计算机监控，全程自动化操作，从而保证</w:t>
            </w:r>
            <w:r>
              <w:rPr>
                <w:rFonts w:hint="default" w:ascii="Times New Roman" w:hAnsi="Times New Roman" w:eastAsia="宋体" w:cs="Times New Roman"/>
                <w:color w:val="auto"/>
                <w:highlight w:val="none"/>
                <w:lang w:eastAsia="zh-CN"/>
              </w:rPr>
              <w:t>混凝土</w:t>
            </w:r>
            <w:r>
              <w:rPr>
                <w:rFonts w:hint="default" w:ascii="Times New Roman" w:hAnsi="Times New Roman" w:eastAsia="宋体" w:cs="Times New Roman"/>
                <w:color w:val="auto"/>
                <w:highlight w:val="none"/>
              </w:rPr>
              <w:t>的品质。</w:t>
            </w:r>
          </w:p>
          <w:p>
            <w:pPr>
              <w:pStyle w:val="55"/>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搅拌：在搅拌机内相互反转的两根搅拌轴的搅拌下，受到</w:t>
            </w:r>
            <w:r>
              <w:rPr>
                <w:rFonts w:hint="eastAsia" w:eastAsia="宋体" w:cs="Times New Roman"/>
                <w:color w:val="auto"/>
                <w:highlight w:val="none"/>
                <w:lang w:eastAsia="zh-CN"/>
              </w:rPr>
              <w:t>桨片</w:t>
            </w:r>
            <w:r>
              <w:rPr>
                <w:rFonts w:hint="default" w:ascii="Times New Roman" w:hAnsi="Times New Roman" w:eastAsia="宋体" w:cs="Times New Roman"/>
                <w:color w:val="auto"/>
                <w:highlight w:val="none"/>
              </w:rPr>
              <w:t>周向、径向、轴向力的作用，使物料一边相互产生挤压、摩擦、剪切、对流，从而进行剧烈的拌合，一边向出料口推移，当物料达到机内的出料口时，各种物料已相互得到均匀的拌合，并具有压实所需要的含水量。</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卸料</w:t>
            </w:r>
          </w:p>
          <w:p>
            <w:pPr>
              <w:pStyle w:val="42"/>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在搅拌完成后，产品装入输送车。搅拌机需要每天冲洗，冲洗废水经过项目自建的沉淀池回收利用。</w:t>
            </w:r>
          </w:p>
          <w:p>
            <w:pPr>
              <w:pStyle w:val="55"/>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生产出的</w:t>
            </w:r>
            <w:r>
              <w:rPr>
                <w:rFonts w:hint="default" w:ascii="Times New Roman" w:hAnsi="Times New Roman" w:eastAsia="宋体" w:cs="Times New Roman"/>
                <w:color w:val="auto"/>
                <w:highlight w:val="none"/>
                <w:lang w:eastAsia="zh-CN"/>
              </w:rPr>
              <w:t>混凝土</w:t>
            </w:r>
            <w:r>
              <w:rPr>
                <w:rFonts w:hint="default" w:ascii="Times New Roman" w:hAnsi="Times New Roman" w:eastAsia="宋体" w:cs="Times New Roman"/>
                <w:color w:val="auto"/>
                <w:highlight w:val="none"/>
              </w:rPr>
              <w:t>由运输车直接装运，送往施工工地。</w:t>
            </w:r>
          </w:p>
          <w:p>
            <w:pPr>
              <w:pStyle w:val="55"/>
              <w:numPr>
                <w:ilvl w:val="0"/>
                <w:numId w:val="6"/>
              </w:numPr>
              <w:spacing w:line="360" w:lineRule="auto"/>
              <w:ind w:firstLine="480" w:firstLineChars="200"/>
              <w:jc w:val="both"/>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抽样实验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1.现场取样：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在搅拌站出料口或运输车中，按规定随机抽取代表性混凝土拌合物。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2</w:t>
            </w:r>
            <w:r>
              <w:rPr>
                <w:rFonts w:hint="default" w:ascii="Times New Roman" w:hAnsi="Times New Roman" w:eastAsia="宋体" w:cs="Times New Roman"/>
                <w:color w:val="auto"/>
                <w:highlight w:val="none"/>
                <w:u w:val="none"/>
              </w:rPr>
              <w:t>.抗压强度试验目的：测定混凝土承受压力的能力，是最基本、最重要的力学指标。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流程：从养护室取出对应龄期的试件，擦干表面。将试件直立（浇注侧面为承压面）放置在压力试验机的下压板中心。以恒定速率（如C30以下：0.3-0.5 MPa/s；C30以上：0.5-0.8 MPa/s）连续均匀加载，直至试件破坏。记录最大破坏荷载。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3</w:t>
            </w:r>
            <w:r>
              <w:rPr>
                <w:rFonts w:hint="default" w:ascii="Times New Roman" w:hAnsi="Times New Roman" w:eastAsia="宋体" w:cs="Times New Roman"/>
                <w:color w:val="auto"/>
                <w:highlight w:val="none"/>
                <w:u w:val="none"/>
              </w:rPr>
              <w:t>.抗折强度（弯拉强度）试验目的：测定混凝土抵抗弯曲破坏的能力，主要用于路面、地坪、梁板结构的评价。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流程：将养护好的棱柱体试件平放在试验机的两个下支座上，跨度通常为试件高度的3倍。在试件跨度中央，通过上支座施加集中荷载。以恒定速率加载，直至试件中部断裂。记录最大破坏荷载和断裂位置。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4</w:t>
            </w:r>
            <w:r>
              <w:rPr>
                <w:rFonts w:hint="default" w:ascii="Times New Roman" w:hAnsi="Times New Roman" w:eastAsia="宋体" w:cs="Times New Roman"/>
                <w:color w:val="auto"/>
                <w:highlight w:val="none"/>
                <w:u w:val="none"/>
              </w:rPr>
              <w:t>.劈裂抗拉强度试验目的：间接测定混凝土的抗拉强度。由于直接拉伸试验困难，此方法最常用。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流程：在立方体或圆柱体试件的上下承压面中心线上，垫上木质或</w:t>
            </w:r>
            <w:r>
              <w:rPr>
                <w:rFonts w:hint="eastAsia" w:cs="Times New Roman"/>
                <w:color w:val="auto"/>
                <w:highlight w:val="none"/>
                <w:u w:val="none"/>
                <w:lang w:eastAsia="zh-CN"/>
              </w:rPr>
              <w:t>钢制</w:t>
            </w:r>
            <w:r>
              <w:rPr>
                <w:rFonts w:hint="default" w:ascii="Times New Roman" w:hAnsi="Times New Roman" w:eastAsia="宋体" w:cs="Times New Roman"/>
                <w:color w:val="auto"/>
                <w:highlight w:val="none"/>
                <w:u w:val="none"/>
              </w:rPr>
              <w:t>垫条。将试件、垫条置于压力机中心，使压力通过垫条沿试件直径方向施加劈裂荷载。加载至试件劈裂成两半。记录最大破坏荷载。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val="en-US" w:eastAsia="zh-CN"/>
              </w:rPr>
              <w:t>5</w:t>
            </w:r>
            <w:r>
              <w:rPr>
                <w:rFonts w:hint="default" w:ascii="Times New Roman" w:hAnsi="Times New Roman" w:eastAsia="宋体" w:cs="Times New Roman"/>
                <w:color w:val="auto"/>
                <w:highlight w:val="none"/>
                <w:u w:val="none"/>
              </w:rPr>
              <w:t>.耐久性试验目的：评价混凝土抵抗环境长期破坏作用的能力，是一个综合性能测试。</w:t>
            </w:r>
          </w:p>
          <w:p>
            <w:pPr>
              <w:pStyle w:val="55"/>
              <w:ind w:firstLine="48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表2-9  营运期主要污染工序一览表</w:t>
            </w:r>
          </w:p>
          <w:tbl>
            <w:tblPr>
              <w:tblStyle w:val="32"/>
              <w:tblW w:w="86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910"/>
              <w:gridCol w:w="3464"/>
              <w:gridCol w:w="2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tcBorders>
                    <w:tl2br w:val="nil"/>
                    <w:tr2bl w:val="nil"/>
                  </w:tcBorders>
                  <w:vAlign w:val="center"/>
                </w:tcPr>
                <w:p>
                  <w:pPr>
                    <w:adjustRightInd w:val="0"/>
                    <w:snapToGrid w:val="0"/>
                    <w:jc w:val="center"/>
                    <w:rPr>
                      <w:rFonts w:hAnsi="宋体" w:cs="宋体"/>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污染类别</w:t>
                  </w:r>
                </w:p>
              </w:tc>
              <w:tc>
                <w:tcPr>
                  <w:tcW w:w="1910" w:type="dxa"/>
                  <w:tcBorders>
                    <w:tl2br w:val="nil"/>
                    <w:tr2bl w:val="nil"/>
                  </w:tcBorders>
                  <w:vAlign w:val="center"/>
                </w:tcPr>
                <w:p>
                  <w:pPr>
                    <w:adjustRightInd w:val="0"/>
                    <w:snapToGrid w:val="0"/>
                    <w:jc w:val="center"/>
                    <w:rPr>
                      <w:rFonts w:hAnsi="宋体" w:cs="宋体"/>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主要污染源</w:t>
                  </w:r>
                </w:p>
              </w:tc>
              <w:tc>
                <w:tcPr>
                  <w:tcW w:w="3464" w:type="dxa"/>
                  <w:tcBorders>
                    <w:tl2br w:val="nil"/>
                    <w:tr2bl w:val="nil"/>
                  </w:tcBorders>
                  <w:vAlign w:val="center"/>
                </w:tcPr>
                <w:p>
                  <w:pPr>
                    <w:adjustRightInd w:val="0"/>
                    <w:snapToGrid w:val="0"/>
                    <w:jc w:val="center"/>
                    <w:rPr>
                      <w:rFonts w:hAnsi="宋体" w:cs="宋体"/>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产生工序</w:t>
                  </w:r>
                </w:p>
              </w:tc>
              <w:tc>
                <w:tcPr>
                  <w:tcW w:w="2264" w:type="dxa"/>
                  <w:tcBorders>
                    <w:tl2br w:val="nil"/>
                    <w:tr2bl w:val="nil"/>
                  </w:tcBorders>
                  <w:vAlign w:val="center"/>
                </w:tcPr>
                <w:p>
                  <w:pPr>
                    <w:adjustRightInd w:val="0"/>
                    <w:snapToGrid w:val="0"/>
                    <w:jc w:val="center"/>
                    <w:rPr>
                      <w:rFonts w:hAnsi="宋体" w:cs="宋体"/>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restart"/>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废气</w:t>
                  </w:r>
                </w:p>
              </w:tc>
              <w:tc>
                <w:tcPr>
                  <w:tcW w:w="1910" w:type="dxa"/>
                  <w:vMerge w:val="restart"/>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生产区</w:t>
                  </w:r>
                </w:p>
              </w:tc>
              <w:tc>
                <w:tcPr>
                  <w:tcW w:w="3464" w:type="dxa"/>
                  <w:tcBorders>
                    <w:tl2br w:val="nil"/>
                    <w:tr2bl w:val="nil"/>
                  </w:tcBorders>
                  <w:vAlign w:val="center"/>
                </w:tcPr>
                <w:p>
                  <w:pPr>
                    <w:adjustRightInd w:val="0"/>
                    <w:snapToGrid w:val="0"/>
                    <w:jc w:val="center"/>
                    <w:rPr>
                      <w:rFonts w:hAnsi="宋体" w:cs="宋体"/>
                      <w:color w:val="000000" w:themeColor="text1"/>
                      <w:sz w:val="21"/>
                      <w:szCs w:val="21"/>
                      <w:lang w:val="zh-CN"/>
                      <w14:textFill>
                        <w14:solidFill>
                          <w14:schemeClr w14:val="tx1"/>
                        </w14:solidFill>
                      </w14:textFill>
                    </w:rPr>
                  </w:pPr>
                  <w:r>
                    <w:rPr>
                      <w:rFonts w:hint="eastAsia" w:hAnsi="宋体" w:cs="宋体"/>
                      <w:color w:val="000000" w:themeColor="text1"/>
                      <w:sz w:val="21"/>
                      <w:szCs w:val="21"/>
                      <w14:textFill>
                        <w14:solidFill>
                          <w14:schemeClr w14:val="tx1"/>
                        </w14:solidFill>
                      </w14:textFill>
                    </w:rPr>
                    <w:t>原料储存、原料输送</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34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装卸料</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34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筒仓</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3464" w:type="dxa"/>
                  <w:tcBorders>
                    <w:tl2br w:val="nil"/>
                    <w:tr2bl w:val="nil"/>
                  </w:tcBorders>
                  <w:vAlign w:val="center"/>
                </w:tcPr>
                <w:p>
                  <w:pPr>
                    <w:adjustRightInd w:val="0"/>
                    <w:snapToGrid w:val="0"/>
                    <w:jc w:val="center"/>
                    <w:rPr>
                      <w:rFonts w:hAnsi="宋体" w:cs="宋体"/>
                      <w:color w:val="000000" w:themeColor="text1"/>
                      <w:sz w:val="21"/>
                      <w:szCs w:val="21"/>
                      <w:lang w:val="zh-CN"/>
                      <w14:textFill>
                        <w14:solidFill>
                          <w14:schemeClr w14:val="tx1"/>
                        </w14:solidFill>
                      </w14:textFill>
                    </w:rPr>
                  </w:pPr>
                  <w:r>
                    <w:rPr>
                      <w:rFonts w:hint="eastAsia" w:hAnsi="宋体" w:cs="宋体"/>
                      <w:color w:val="000000" w:themeColor="text1"/>
                      <w:sz w:val="21"/>
                      <w:szCs w:val="21"/>
                      <w14:textFill>
                        <w14:solidFill>
                          <w14:schemeClr w14:val="tx1"/>
                        </w14:solidFill>
                      </w14:textFill>
                    </w:rPr>
                    <w:t>搅拌</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restart"/>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废水</w:t>
                  </w:r>
                </w:p>
              </w:tc>
              <w:tc>
                <w:tcPr>
                  <w:tcW w:w="1910"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生活污水</w:t>
                  </w:r>
                </w:p>
              </w:tc>
              <w:tc>
                <w:tcPr>
                  <w:tcW w:w="34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职工生活</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COD、SS、BOD</w:t>
                  </w:r>
                  <w:r>
                    <w:rPr>
                      <w:rFonts w:hint="eastAsia" w:hAnsi="宋体" w:cs="宋体"/>
                      <w:color w:val="000000" w:themeColor="text1"/>
                      <w:sz w:val="21"/>
                      <w:szCs w:val="21"/>
                      <w:vertAlign w:val="subscript"/>
                      <w14:textFill>
                        <w14:solidFill>
                          <w14:schemeClr w14:val="tx1"/>
                        </w14:solidFill>
                      </w14:textFill>
                    </w:rPr>
                    <w:t>5</w:t>
                  </w:r>
                  <w:r>
                    <w:rPr>
                      <w:rFonts w:hint="eastAsia" w:hAnsi="宋体" w:cs="宋体"/>
                      <w:color w:val="000000" w:themeColor="text1"/>
                      <w:sz w:val="21"/>
                      <w:szCs w:val="21"/>
                      <w14:textFill>
                        <w14:solidFill>
                          <w14:schemeClr w14:val="tx1"/>
                        </w14:solidFill>
                      </w14:textFill>
                    </w:rPr>
                    <w:t>、NH</w:t>
                  </w:r>
                  <w:r>
                    <w:rPr>
                      <w:rFonts w:hint="eastAsia" w:hAnsi="宋体" w:cs="宋体"/>
                      <w:color w:val="000000" w:themeColor="text1"/>
                      <w:sz w:val="21"/>
                      <w:szCs w:val="21"/>
                      <w:vertAlign w:val="subscript"/>
                      <w14:textFill>
                        <w14:solidFill>
                          <w14:schemeClr w14:val="tx1"/>
                        </w14:solidFill>
                      </w14:textFill>
                    </w:rPr>
                    <w:t>3</w:t>
                  </w:r>
                  <w:r>
                    <w:rPr>
                      <w:rFonts w:hint="eastAsia" w:hAnsi="宋体" w:cs="宋体"/>
                      <w:color w:val="000000" w:themeColor="text1"/>
                      <w:sz w:val="21"/>
                      <w:szCs w:val="21"/>
                      <w14:textFill>
                        <w14:solidFill>
                          <w14:schemeClr w14:val="tx1"/>
                        </w14:solidFill>
                      </w14:textFill>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生产废水</w:t>
                  </w:r>
                </w:p>
              </w:tc>
              <w:tc>
                <w:tcPr>
                  <w:tcW w:w="346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搅拌机冲洗废水、运输车冲洗废水</w:t>
                  </w:r>
                </w:p>
              </w:tc>
              <w:tc>
                <w:tcPr>
                  <w:tcW w:w="2264" w:type="dxa"/>
                  <w:tcBorders>
                    <w:tl2br w:val="nil"/>
                    <w:tr2bl w:val="nil"/>
                  </w:tcBorders>
                  <w:vAlign w:val="center"/>
                </w:tcPr>
                <w:p>
                  <w:pPr>
                    <w:adjustRightInd w:val="0"/>
                    <w:snapToGrid w:val="0"/>
                    <w:jc w:val="center"/>
                    <w:rPr>
                      <w:rFonts w:hAnsi="宋体" w:cs="宋体"/>
                      <w:color w:val="auto"/>
                      <w:sz w:val="21"/>
                      <w:szCs w:val="21"/>
                    </w:rPr>
                  </w:pPr>
                  <w:r>
                    <w:rPr>
                      <w:rFonts w:hint="eastAsia" w:hAnsi="宋体" w:cs="宋体"/>
                      <w:color w:val="auto"/>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初期雨水</w:t>
                  </w:r>
                </w:p>
              </w:tc>
              <w:tc>
                <w:tcPr>
                  <w:tcW w:w="346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下雨时</w:t>
                  </w:r>
                </w:p>
              </w:tc>
              <w:tc>
                <w:tcPr>
                  <w:tcW w:w="2264" w:type="dxa"/>
                  <w:tcBorders>
                    <w:tl2br w:val="nil"/>
                    <w:tr2bl w:val="nil"/>
                  </w:tcBorders>
                  <w:vAlign w:val="center"/>
                </w:tcPr>
                <w:p>
                  <w:pPr>
                    <w:adjustRightInd w:val="0"/>
                    <w:snapToGrid w:val="0"/>
                    <w:jc w:val="center"/>
                    <w:rPr>
                      <w:rFonts w:hint="default" w:hAnsi="宋体" w:eastAsia="宋体" w:cs="宋体"/>
                      <w:color w:val="auto"/>
                      <w:sz w:val="21"/>
                      <w:szCs w:val="21"/>
                      <w:lang w:val="en-US" w:eastAsia="zh-CN"/>
                    </w:rPr>
                  </w:pPr>
                  <w:r>
                    <w:rPr>
                      <w:rFonts w:hint="eastAsia" w:hAnsi="宋体" w:cs="宋体"/>
                      <w:color w:val="auto"/>
                      <w:sz w:val="21"/>
                      <w:szCs w:val="21"/>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噪声</w:t>
                  </w:r>
                </w:p>
              </w:tc>
              <w:tc>
                <w:tcPr>
                  <w:tcW w:w="1910" w:type="dxa"/>
                  <w:tcBorders>
                    <w:tl2br w:val="nil"/>
                    <w:tr2bl w:val="nil"/>
                  </w:tcBorders>
                  <w:vAlign w:val="center"/>
                </w:tcPr>
                <w:p>
                  <w:pPr>
                    <w:autoSpaceDE w:val="0"/>
                    <w:autoSpaceDN w:val="0"/>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搅拌机等机械设备</w:t>
                  </w:r>
                </w:p>
              </w:tc>
              <w:tc>
                <w:tcPr>
                  <w:tcW w:w="3464" w:type="dxa"/>
                  <w:tcBorders>
                    <w:tl2br w:val="nil"/>
                    <w:tr2bl w:val="nil"/>
                  </w:tcBorders>
                  <w:vAlign w:val="center"/>
                </w:tcPr>
                <w:p>
                  <w:pPr>
                    <w:autoSpaceDE w:val="0"/>
                    <w:autoSpaceDN w:val="0"/>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机械设备运行</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restart"/>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固体废物</w:t>
                  </w:r>
                </w:p>
              </w:tc>
              <w:tc>
                <w:tcPr>
                  <w:tcW w:w="1910" w:type="dxa"/>
                  <w:vMerge w:val="restart"/>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生产废物</w:t>
                  </w:r>
                </w:p>
              </w:tc>
              <w:tc>
                <w:tcPr>
                  <w:tcW w:w="3464" w:type="dxa"/>
                  <w:tcBorders>
                    <w:tl2br w:val="nil"/>
                    <w:tr2bl w:val="nil"/>
                  </w:tcBorders>
                  <w:vAlign w:val="center"/>
                </w:tcPr>
                <w:p>
                  <w:pPr>
                    <w:pStyle w:val="93"/>
                    <w:adjustRightInd w:val="0"/>
                    <w:snapToGrid w:val="0"/>
                    <w:spacing w:before="0" w:beforeLines="0" w:after="0" w:afterLines="0" w:line="240" w:lineRule="auto"/>
                    <w:rPr>
                      <w:rFonts w:hint="default" w:ascii="宋体" w:hAnsi="宋体" w:cs="宋体"/>
                      <w:color w:val="000000" w:themeColor="text1"/>
                      <w:kern w:val="0"/>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除尘器</w:t>
                  </w:r>
                </w:p>
              </w:tc>
              <w:tc>
                <w:tcPr>
                  <w:tcW w:w="2264" w:type="dxa"/>
                  <w:tcBorders>
                    <w:tl2br w:val="nil"/>
                    <w:tr2bl w:val="nil"/>
                  </w:tcBorders>
                  <w:vAlign w:val="center"/>
                </w:tcPr>
                <w:p>
                  <w:pPr>
                    <w:pStyle w:val="93"/>
                    <w:adjustRightInd w:val="0"/>
                    <w:snapToGrid w:val="0"/>
                    <w:spacing w:before="0" w:beforeLines="0" w:after="0" w:afterLines="0" w:line="240" w:lineRule="auto"/>
                    <w:rPr>
                      <w:rFonts w:hint="default"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除尘器收尘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34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沉淀池</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沉淀池沉渣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34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砂和碎石混合物</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砂和碎石混合物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4" w:type="dxa"/>
                  <w:vMerge w:val="continue"/>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p>
              </w:tc>
              <w:tc>
                <w:tcPr>
                  <w:tcW w:w="1910"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职工生活</w:t>
                  </w:r>
                </w:p>
              </w:tc>
              <w:tc>
                <w:tcPr>
                  <w:tcW w:w="34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职工生活</w:t>
                  </w:r>
                </w:p>
              </w:tc>
              <w:tc>
                <w:tcPr>
                  <w:tcW w:w="2264" w:type="dxa"/>
                  <w:tcBorders>
                    <w:tl2br w:val="nil"/>
                    <w:tr2bl w:val="nil"/>
                  </w:tcBorders>
                  <w:vAlign w:val="center"/>
                </w:tcPr>
                <w:p>
                  <w:pPr>
                    <w:adjustRightInd w:val="0"/>
                    <w:snapToGrid w:val="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生活垃圾</w:t>
                  </w:r>
                </w:p>
              </w:tc>
            </w:tr>
          </w:tbl>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8" w:hRule="atLeast"/>
          <w:jc w:val="center"/>
        </w:trPr>
        <w:tc>
          <w:tcPr>
            <w:tcW w:w="78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与项目有关的原有环境污染问题</w:t>
            </w:r>
          </w:p>
        </w:tc>
        <w:tc>
          <w:tcPr>
            <w:tcW w:w="8851" w:type="dxa"/>
            <w:vAlign w:val="center"/>
          </w:tcPr>
          <w:p>
            <w:pPr>
              <w:keepNext w:val="0"/>
              <w:keepLines w:val="0"/>
              <w:pageBreakBefore w:val="0"/>
              <w:kinsoku/>
              <w:wordWrap/>
              <w:topLinePunct w:val="0"/>
              <w:autoSpaceDE/>
              <w:autoSpaceDN/>
              <w:bidi w:val="0"/>
              <w:snapToGrid w:val="0"/>
              <w:spacing w:line="360" w:lineRule="auto"/>
              <w:ind w:firstLine="480" w:firstLineChars="200"/>
              <w:jc w:val="left"/>
              <w:textAlignment w:val="auto"/>
              <w:rPr>
                <w:rFonts w:hint="default" w:eastAsia="宋体"/>
                <w:color w:val="FF0000"/>
                <w:sz w:val="24"/>
                <w:lang w:val="en-US" w:eastAsia="zh-CN"/>
              </w:rPr>
            </w:pPr>
            <w:r>
              <w:rPr>
                <w:rFonts w:hint="eastAsia"/>
                <w:sz w:val="24"/>
                <w:lang w:val="en-US" w:eastAsia="zh-CN"/>
              </w:rPr>
              <w:t>嘉荫县</w:t>
            </w:r>
            <w:r>
              <w:rPr>
                <w:rFonts w:hint="eastAsia"/>
                <w:sz w:val="24"/>
              </w:rPr>
              <w:t>万邦商混有限公司成立于2012年4月19日</w:t>
            </w:r>
            <w:r>
              <w:rPr>
                <w:rFonts w:hint="eastAsia"/>
                <w:sz w:val="24"/>
                <w:lang w:eastAsia="zh-CN"/>
              </w:rPr>
              <w:t>，</w:t>
            </w:r>
            <w:r>
              <w:rPr>
                <w:rFonts w:hint="eastAsia"/>
                <w:sz w:val="24"/>
              </w:rPr>
              <w:t>于2012年建成投产。20</w:t>
            </w:r>
            <w:r>
              <w:rPr>
                <w:rFonts w:hint="eastAsia"/>
                <w:sz w:val="24"/>
                <w:lang w:val="en-US" w:eastAsia="zh-CN"/>
              </w:rPr>
              <w:t>21</w:t>
            </w:r>
            <w:r>
              <w:rPr>
                <w:rFonts w:hint="eastAsia"/>
                <w:sz w:val="24"/>
              </w:rPr>
              <w:t>年</w:t>
            </w:r>
            <w:r>
              <w:rPr>
                <w:rFonts w:hint="eastAsia"/>
                <w:sz w:val="24"/>
                <w:lang w:val="en-US" w:eastAsia="zh-CN"/>
              </w:rPr>
              <w:t>11</w:t>
            </w:r>
            <w:r>
              <w:rPr>
                <w:rFonts w:hint="eastAsia"/>
                <w:sz w:val="24"/>
              </w:rPr>
              <w:t>月</w:t>
            </w:r>
            <w:r>
              <w:rPr>
                <w:rFonts w:hint="eastAsia"/>
                <w:sz w:val="24"/>
                <w:lang w:val="en-US" w:eastAsia="zh-CN"/>
              </w:rPr>
              <w:t>补办环保手续</w:t>
            </w:r>
            <w:r>
              <w:rPr>
                <w:rFonts w:hint="eastAsia"/>
                <w:sz w:val="24"/>
              </w:rPr>
              <w:t>，由黑龙江山人环保科技有限公司编制了《嘉荫县万邦商混有限公司商品混凝土搅拌站建设项目环境影响</w:t>
            </w:r>
            <w:r>
              <w:rPr>
                <w:rFonts w:hint="eastAsia"/>
                <w:sz w:val="24"/>
                <w:lang w:val="en-US" w:eastAsia="zh-CN"/>
              </w:rPr>
              <w:t>评价报告表</w:t>
            </w:r>
            <w:r>
              <w:rPr>
                <w:rFonts w:hint="eastAsia"/>
                <w:sz w:val="24"/>
              </w:rPr>
              <w:t>》，于20</w:t>
            </w:r>
            <w:r>
              <w:rPr>
                <w:rFonts w:hint="eastAsia"/>
                <w:sz w:val="24"/>
                <w:lang w:val="en-US" w:eastAsia="zh-CN"/>
              </w:rPr>
              <w:t>22</w:t>
            </w:r>
            <w:r>
              <w:rPr>
                <w:rFonts w:hint="eastAsia"/>
                <w:sz w:val="24"/>
              </w:rPr>
              <w:t>年3月1</w:t>
            </w:r>
            <w:r>
              <w:rPr>
                <w:rFonts w:hint="eastAsia"/>
                <w:sz w:val="24"/>
                <w:lang w:val="en-US" w:eastAsia="zh-CN"/>
              </w:rPr>
              <w:t>6</w:t>
            </w:r>
            <w:r>
              <w:rPr>
                <w:rFonts w:hint="eastAsia"/>
                <w:sz w:val="24"/>
              </w:rPr>
              <w:t>日取得《关于嘉荫县万邦商混有限公司商品混凝土搅拌站建设项目的批复》（</w:t>
            </w:r>
            <w:r>
              <w:rPr>
                <w:rFonts w:hint="eastAsia"/>
                <w:sz w:val="24"/>
                <w:lang w:val="en-US" w:eastAsia="zh-CN"/>
              </w:rPr>
              <w:t>嘉</w:t>
            </w:r>
            <w:r>
              <w:rPr>
                <w:rFonts w:hint="eastAsia"/>
                <w:sz w:val="24"/>
              </w:rPr>
              <w:t>环建审</w:t>
            </w:r>
            <w:r>
              <w:rPr>
                <w:rFonts w:hint="eastAsia"/>
                <w:sz w:val="24"/>
                <w:lang w:eastAsia="zh-CN"/>
              </w:rPr>
              <w:t>〔20</w:t>
            </w:r>
            <w:r>
              <w:rPr>
                <w:rFonts w:hint="eastAsia"/>
                <w:sz w:val="24"/>
                <w:lang w:val="en-US" w:eastAsia="zh-CN"/>
              </w:rPr>
              <w:t>22</w:t>
            </w:r>
            <w:r>
              <w:rPr>
                <w:rFonts w:hint="eastAsia"/>
                <w:sz w:val="24"/>
                <w:lang w:eastAsia="zh-CN"/>
              </w:rPr>
              <w:t>〕</w:t>
            </w:r>
            <w:r>
              <w:rPr>
                <w:rFonts w:hint="eastAsia"/>
                <w:sz w:val="24"/>
                <w:lang w:val="en-US" w:eastAsia="zh-CN"/>
              </w:rPr>
              <w:t>3</w:t>
            </w:r>
            <w:r>
              <w:rPr>
                <w:rFonts w:hint="eastAsia"/>
                <w:sz w:val="24"/>
                <w:lang w:eastAsia="zh-CN"/>
              </w:rPr>
              <w:t>号</w:t>
            </w:r>
            <w:r>
              <w:rPr>
                <w:rFonts w:hint="eastAsia"/>
                <w:sz w:val="24"/>
              </w:rPr>
              <w:t>）。于20</w:t>
            </w:r>
            <w:r>
              <w:rPr>
                <w:rFonts w:hint="eastAsia"/>
                <w:sz w:val="24"/>
                <w:lang w:val="en-US" w:eastAsia="zh-CN"/>
              </w:rPr>
              <w:t>23</w:t>
            </w:r>
            <w:r>
              <w:rPr>
                <w:rFonts w:hint="eastAsia"/>
                <w:sz w:val="24"/>
              </w:rPr>
              <w:t>年</w:t>
            </w:r>
            <w:r>
              <w:rPr>
                <w:rFonts w:hint="eastAsia"/>
                <w:sz w:val="24"/>
                <w:lang w:val="en-US" w:eastAsia="zh-CN"/>
              </w:rPr>
              <w:t>11</w:t>
            </w:r>
            <w:r>
              <w:rPr>
                <w:rFonts w:hint="eastAsia"/>
                <w:sz w:val="24"/>
              </w:rPr>
              <w:t>月编制了《嘉荫县万邦商混有限公司商品混凝土搅拌站建设项目竣工环境保护验收监测报告》</w:t>
            </w:r>
            <w:r>
              <w:rPr>
                <w:rFonts w:hint="eastAsia"/>
                <w:sz w:val="24"/>
                <w:lang w:eastAsia="zh-CN"/>
              </w:rPr>
              <w:t>。</w:t>
            </w:r>
            <w:r>
              <w:rPr>
                <w:rFonts w:hint="eastAsia"/>
                <w:color w:val="auto"/>
                <w:sz w:val="24"/>
                <w:lang w:val="en-US" w:eastAsia="zh-CN"/>
              </w:rPr>
              <w:t>嘉荫县</w:t>
            </w:r>
            <w:r>
              <w:rPr>
                <w:rFonts w:hint="eastAsia"/>
                <w:color w:val="auto"/>
                <w:sz w:val="24"/>
              </w:rPr>
              <w:t>万邦商混有限公司年产</w:t>
            </w:r>
            <w:r>
              <w:rPr>
                <w:rFonts w:hint="eastAsia"/>
                <w:color w:val="auto"/>
                <w:sz w:val="24"/>
                <w:vertAlign w:val="baseline"/>
                <w:lang w:val="en-US" w:eastAsia="zh-CN"/>
              </w:rPr>
              <w:t>商品混凝土</w:t>
            </w:r>
            <w:r>
              <w:rPr>
                <w:rFonts w:hint="eastAsia"/>
                <w:color w:val="auto"/>
                <w:sz w:val="24"/>
                <w:lang w:val="en-US" w:eastAsia="zh-CN"/>
              </w:rPr>
              <w:t>15万m</w:t>
            </w:r>
            <w:r>
              <w:rPr>
                <w:rFonts w:hint="eastAsia"/>
                <w:color w:val="auto"/>
                <w:sz w:val="24"/>
                <w:vertAlign w:val="superscript"/>
                <w:lang w:val="en-US" w:eastAsia="zh-CN"/>
              </w:rPr>
              <w:t>3</w:t>
            </w:r>
            <w:r>
              <w:rPr>
                <w:rFonts w:hint="eastAsia"/>
                <w:color w:val="auto"/>
                <w:sz w:val="24"/>
                <w:lang w:val="en-US" w:eastAsia="zh-CN"/>
              </w:rPr>
              <w:t>。</w:t>
            </w:r>
          </w:p>
          <w:p>
            <w:pPr>
              <w:keepNext w:val="0"/>
              <w:keepLines w:val="0"/>
              <w:pageBreakBefore w:val="0"/>
              <w:numPr>
                <w:ilvl w:val="0"/>
                <w:numId w:val="7"/>
              </w:numPr>
              <w:kinsoku/>
              <w:wordWrap/>
              <w:topLinePunct w:val="0"/>
              <w:autoSpaceDE/>
              <w:autoSpaceDN/>
              <w:bidi w:val="0"/>
              <w:snapToGrid w:val="0"/>
              <w:spacing w:line="360" w:lineRule="auto"/>
              <w:ind w:firstLine="482" w:firstLineChars="200"/>
              <w:jc w:val="left"/>
              <w:textAlignment w:val="auto"/>
              <w:rPr>
                <w:b/>
                <w:bCs/>
                <w:color w:val="000000"/>
                <w:sz w:val="24"/>
                <w:szCs w:val="24"/>
              </w:rPr>
            </w:pPr>
            <w:r>
              <w:rPr>
                <w:b/>
                <w:bCs/>
                <w:color w:val="000000"/>
                <w:sz w:val="24"/>
                <w:szCs w:val="24"/>
              </w:rPr>
              <w:t>现有工程污染物达标情况及污染物排放量</w:t>
            </w:r>
          </w:p>
          <w:p>
            <w:pPr>
              <w:keepNext w:val="0"/>
              <w:keepLines w:val="0"/>
              <w:pageBreakBefore w:val="0"/>
              <w:numPr>
                <w:ilvl w:val="0"/>
                <w:numId w:val="0"/>
              </w:numPr>
              <w:kinsoku/>
              <w:wordWrap/>
              <w:topLinePunct w:val="0"/>
              <w:autoSpaceDE/>
              <w:autoSpaceDN/>
              <w:bidi w:val="0"/>
              <w:snapToGrid w:val="0"/>
              <w:spacing w:line="360" w:lineRule="auto"/>
              <w:ind w:firstLine="480" w:firstLineChars="200"/>
              <w:jc w:val="left"/>
              <w:textAlignment w:val="auto"/>
              <w:rPr>
                <w:sz w:val="24"/>
              </w:rPr>
            </w:pPr>
            <w:r>
              <w:rPr>
                <w:rFonts w:hint="eastAsia"/>
                <w:sz w:val="24"/>
                <w:lang w:val="en-US" w:eastAsia="zh-CN"/>
              </w:rPr>
              <w:t>1</w:t>
            </w:r>
            <w:r>
              <w:rPr>
                <w:rFonts w:hint="eastAsia"/>
                <w:sz w:val="24"/>
              </w:rPr>
              <w:t>、废气</w:t>
            </w:r>
          </w:p>
          <w:p>
            <w:pPr>
              <w:keepNext w:val="0"/>
              <w:keepLines w:val="0"/>
              <w:pageBreakBefore w:val="0"/>
              <w:kinsoku/>
              <w:wordWrap/>
              <w:topLinePunct w:val="0"/>
              <w:autoSpaceDE/>
              <w:autoSpaceDN/>
              <w:bidi w:val="0"/>
              <w:snapToGrid w:val="0"/>
              <w:spacing w:line="360" w:lineRule="auto"/>
              <w:ind w:firstLine="480" w:firstLineChars="200"/>
              <w:jc w:val="left"/>
              <w:textAlignment w:val="auto"/>
              <w:rPr>
                <w:sz w:val="24"/>
              </w:rPr>
            </w:pPr>
            <w:r>
              <w:rPr>
                <w:rFonts w:hint="eastAsia"/>
                <w:sz w:val="24"/>
              </w:rPr>
              <w:t>项目在每个筒仓顶部安装脉冲反吹除尘器，粉尘经收集过滤后只有少部分从除尘器出口顶部排出，收集过滤的粉尘通过除尘器上的震动返回筒仓。搅拌站设置1台布袋除尘</w:t>
            </w:r>
            <w:r>
              <w:rPr>
                <w:rFonts w:hint="eastAsia"/>
                <w:color w:val="auto"/>
                <w:sz w:val="24"/>
              </w:rPr>
              <w:t>器，粉尘经除尘器处理后以无组织形式排放至车间内部。</w:t>
            </w:r>
            <w:r>
              <w:rPr>
                <w:rFonts w:hint="eastAsia"/>
                <w:bCs/>
                <w:color w:val="auto"/>
                <w:sz w:val="24"/>
                <w:highlight w:val="none"/>
                <w:lang w:eastAsia="zh-CN"/>
              </w:rPr>
              <w:t>根据</w:t>
            </w:r>
            <w:r>
              <w:rPr>
                <w:bCs/>
                <w:color w:val="auto"/>
                <w:sz w:val="24"/>
                <w:highlight w:val="none"/>
              </w:rPr>
              <w:t>《</w:t>
            </w:r>
            <w:r>
              <w:rPr>
                <w:rFonts w:hint="eastAsia"/>
                <w:color w:val="auto"/>
                <w:sz w:val="24"/>
              </w:rPr>
              <w:t>嘉荫县万邦商混有限公司商品混凝土搅拌站建设项目</w:t>
            </w:r>
            <w:r>
              <w:rPr>
                <w:bCs/>
                <w:color w:val="auto"/>
                <w:sz w:val="24"/>
                <w:highlight w:val="none"/>
              </w:rPr>
              <w:t>竣工环境保护验收监测报告》</w:t>
            </w:r>
            <w:r>
              <w:rPr>
                <w:rFonts w:hint="eastAsia"/>
                <w:bCs/>
                <w:color w:val="auto"/>
                <w:sz w:val="24"/>
                <w:highlight w:val="none"/>
                <w:lang w:eastAsia="zh-CN"/>
              </w:rPr>
              <w:t>，</w:t>
            </w:r>
            <w:r>
              <w:rPr>
                <w:bCs/>
                <w:color w:val="auto"/>
                <w:sz w:val="24"/>
                <w:highlight w:val="none"/>
              </w:rPr>
              <w:t>验收期间，</w:t>
            </w:r>
            <w:r>
              <w:rPr>
                <w:rFonts w:hint="eastAsia"/>
                <w:sz w:val="24"/>
              </w:rPr>
              <w:t>厂界无组织废气颗粒物监控点与参照点的差值为0.112mg/m</w:t>
            </w:r>
            <w:r>
              <w:rPr>
                <w:rFonts w:hint="eastAsia"/>
                <w:sz w:val="24"/>
                <w:vertAlign w:val="superscript"/>
              </w:rPr>
              <w:t>3</w:t>
            </w:r>
            <w:r>
              <w:rPr>
                <w:rFonts w:hint="eastAsia"/>
                <w:sz w:val="24"/>
              </w:rPr>
              <w:t>小于0.5，监测结果均满足《水泥工业大气污染物排放标准》(GB4915-2013)中表3标准要求。</w:t>
            </w:r>
          </w:p>
          <w:p>
            <w:pPr>
              <w:keepNext w:val="0"/>
              <w:keepLines w:val="0"/>
              <w:pageBreakBefore w:val="0"/>
              <w:numPr>
                <w:ilvl w:val="0"/>
                <w:numId w:val="0"/>
              </w:numPr>
              <w:kinsoku/>
              <w:wordWrap/>
              <w:topLinePunct w:val="0"/>
              <w:autoSpaceDE/>
              <w:autoSpaceDN/>
              <w:bidi w:val="0"/>
              <w:snapToGrid w:val="0"/>
              <w:spacing w:line="360" w:lineRule="auto"/>
              <w:ind w:firstLine="480" w:firstLineChars="200"/>
              <w:jc w:val="left"/>
              <w:textAlignment w:val="auto"/>
              <w:rPr>
                <w:sz w:val="24"/>
              </w:rPr>
            </w:pPr>
            <w:r>
              <w:rPr>
                <w:rFonts w:hint="eastAsia"/>
                <w:sz w:val="24"/>
                <w:lang w:val="en-US" w:eastAsia="zh-CN"/>
              </w:rPr>
              <w:t>2、</w:t>
            </w:r>
            <w:r>
              <w:rPr>
                <w:rFonts w:hint="eastAsia"/>
                <w:sz w:val="24"/>
              </w:rPr>
              <w:t>废水</w:t>
            </w:r>
          </w:p>
          <w:p>
            <w:pPr>
              <w:pStyle w:val="10"/>
              <w:keepNext w:val="0"/>
              <w:keepLines w:val="0"/>
              <w:pageBreakBefore w:val="0"/>
              <w:kinsoku/>
              <w:wordWrap/>
              <w:topLinePunct w:val="0"/>
              <w:autoSpaceDE/>
              <w:autoSpaceDN/>
              <w:bidi w:val="0"/>
              <w:spacing w:before="0" w:after="0" w:line="360" w:lineRule="auto"/>
              <w:ind w:right="0" w:firstLine="480" w:firstLineChars="200"/>
              <w:jc w:val="left"/>
              <w:textAlignment w:val="auto"/>
              <w:rPr>
                <w:kern w:val="2"/>
                <w:sz w:val="24"/>
                <w:szCs w:val="24"/>
              </w:rPr>
            </w:pPr>
            <w:r>
              <w:rPr>
                <w:rFonts w:hint="eastAsia"/>
                <w:kern w:val="2"/>
                <w:sz w:val="24"/>
                <w:szCs w:val="24"/>
              </w:rPr>
              <w:t>生活污水排入防渗旱厕，定期清掏，外运堆肥处置</w:t>
            </w:r>
            <w:r>
              <w:rPr>
                <w:rFonts w:hint="eastAsia"/>
                <w:kern w:val="2"/>
                <w:sz w:val="24"/>
                <w:szCs w:val="24"/>
                <w:lang w:eastAsia="zh-CN"/>
              </w:rPr>
              <w:t>；</w:t>
            </w:r>
            <w:r>
              <w:rPr>
                <w:rFonts w:hint="eastAsia"/>
                <w:kern w:val="2"/>
                <w:sz w:val="24"/>
                <w:szCs w:val="24"/>
              </w:rPr>
              <w:t>厂区设置三级沉淀池共计500m</w:t>
            </w:r>
            <w:r>
              <w:rPr>
                <w:rFonts w:hint="eastAsia"/>
                <w:kern w:val="2"/>
                <w:sz w:val="24"/>
                <w:szCs w:val="24"/>
                <w:vertAlign w:val="superscript"/>
              </w:rPr>
              <w:t>3</w:t>
            </w:r>
            <w:r>
              <w:rPr>
                <w:rFonts w:hint="eastAsia"/>
                <w:kern w:val="2"/>
                <w:sz w:val="24"/>
                <w:szCs w:val="24"/>
              </w:rPr>
              <w:t>，冲洗的废水经沉淀处理后回用于生产</w:t>
            </w:r>
            <w:r>
              <w:rPr>
                <w:rFonts w:hint="eastAsia"/>
                <w:kern w:val="2"/>
                <w:sz w:val="24"/>
                <w:szCs w:val="24"/>
                <w:lang w:eastAsia="zh-CN"/>
              </w:rPr>
              <w:t>，</w:t>
            </w:r>
            <w:r>
              <w:rPr>
                <w:rFonts w:hint="eastAsia"/>
                <w:kern w:val="2"/>
                <w:sz w:val="24"/>
                <w:szCs w:val="24"/>
                <w:lang w:val="en-US" w:eastAsia="zh-CN"/>
              </w:rPr>
              <w:t>不外排</w:t>
            </w:r>
            <w:r>
              <w:rPr>
                <w:rFonts w:hint="eastAsia"/>
                <w:kern w:val="2"/>
                <w:sz w:val="24"/>
                <w:szCs w:val="24"/>
              </w:rPr>
              <w:t>。</w:t>
            </w:r>
          </w:p>
          <w:p>
            <w:pPr>
              <w:keepNext w:val="0"/>
              <w:keepLines w:val="0"/>
              <w:pageBreakBefore w:val="0"/>
              <w:numPr>
                <w:ilvl w:val="0"/>
                <w:numId w:val="0"/>
              </w:numPr>
              <w:kinsoku/>
              <w:wordWrap/>
              <w:topLinePunct w:val="0"/>
              <w:autoSpaceDE/>
              <w:autoSpaceDN/>
              <w:bidi w:val="0"/>
              <w:snapToGrid w:val="0"/>
              <w:spacing w:line="360" w:lineRule="auto"/>
              <w:ind w:firstLine="480" w:firstLineChars="200"/>
              <w:jc w:val="left"/>
              <w:textAlignment w:val="auto"/>
              <w:rPr>
                <w:sz w:val="24"/>
              </w:rPr>
            </w:pPr>
            <w:r>
              <w:rPr>
                <w:rFonts w:hint="eastAsia"/>
                <w:sz w:val="24"/>
                <w:lang w:val="en-US" w:eastAsia="zh-CN"/>
              </w:rPr>
              <w:t>3、</w:t>
            </w:r>
            <w:r>
              <w:rPr>
                <w:rFonts w:hint="eastAsia"/>
                <w:sz w:val="24"/>
              </w:rPr>
              <w:t>噪声</w:t>
            </w:r>
          </w:p>
          <w:p>
            <w:pPr>
              <w:pStyle w:val="10"/>
              <w:keepNext w:val="0"/>
              <w:keepLines w:val="0"/>
              <w:pageBreakBefore w:val="0"/>
              <w:kinsoku/>
              <w:wordWrap/>
              <w:topLinePunct w:val="0"/>
              <w:autoSpaceDE/>
              <w:autoSpaceDN/>
              <w:bidi w:val="0"/>
              <w:spacing w:before="0" w:after="0" w:line="360" w:lineRule="auto"/>
              <w:ind w:right="0" w:firstLine="480" w:firstLineChars="200"/>
              <w:jc w:val="left"/>
              <w:textAlignment w:val="auto"/>
              <w:rPr>
                <w:sz w:val="24"/>
              </w:rPr>
            </w:pPr>
            <w:r>
              <w:rPr>
                <w:rFonts w:hint="eastAsia"/>
                <w:sz w:val="24"/>
              </w:rPr>
              <w:t>选用低噪声设备，高噪声设备采取消声、减振等措施处理</w:t>
            </w:r>
            <w:r>
              <w:rPr>
                <w:rFonts w:hint="eastAsia"/>
                <w:sz w:val="24"/>
                <w:lang w:eastAsia="zh-CN"/>
              </w:rPr>
              <w:t>。</w:t>
            </w:r>
            <w:r>
              <w:rPr>
                <w:rFonts w:hint="eastAsia"/>
                <w:sz w:val="24"/>
                <w:lang w:val="en-US" w:eastAsia="zh-CN"/>
              </w:rPr>
              <w:t>根据</w:t>
            </w:r>
            <w:r>
              <w:rPr>
                <w:bCs/>
                <w:color w:val="auto"/>
                <w:sz w:val="24"/>
                <w:highlight w:val="none"/>
              </w:rPr>
              <w:t>《</w:t>
            </w:r>
            <w:r>
              <w:rPr>
                <w:rFonts w:hint="eastAsia"/>
                <w:color w:val="auto"/>
                <w:sz w:val="24"/>
              </w:rPr>
              <w:t>嘉荫县万邦商混有限公司商品混凝土搅拌站建设项目</w:t>
            </w:r>
            <w:r>
              <w:rPr>
                <w:bCs/>
                <w:color w:val="auto"/>
                <w:sz w:val="24"/>
                <w:highlight w:val="none"/>
              </w:rPr>
              <w:t>竣工环境保护验收监测报告》</w:t>
            </w:r>
            <w:r>
              <w:rPr>
                <w:rFonts w:hint="eastAsia"/>
                <w:bCs/>
                <w:color w:val="auto"/>
                <w:sz w:val="24"/>
                <w:highlight w:val="none"/>
                <w:lang w:eastAsia="zh-CN"/>
              </w:rPr>
              <w:t>，</w:t>
            </w:r>
            <w:r>
              <w:rPr>
                <w:bCs/>
                <w:color w:val="auto"/>
                <w:sz w:val="24"/>
                <w:highlight w:val="none"/>
              </w:rPr>
              <w:t>验收期间，</w:t>
            </w:r>
            <w:r>
              <w:rPr>
                <w:rFonts w:hint="eastAsia"/>
                <w:sz w:val="24"/>
              </w:rPr>
              <w:t>厂界噪声满足《工业企业厂界环境噪声排放标准》(GB12348-2008)中的2类标准。</w:t>
            </w:r>
          </w:p>
          <w:p>
            <w:pPr>
              <w:pStyle w:val="11"/>
              <w:keepNext w:val="0"/>
              <w:keepLines w:val="0"/>
              <w:pageBreakBefore w:val="0"/>
              <w:numPr>
                <w:ilvl w:val="0"/>
                <w:numId w:val="0"/>
              </w:numPr>
              <w:kinsoku/>
              <w:wordWrap/>
              <w:topLinePunct w:val="0"/>
              <w:autoSpaceDE/>
              <w:autoSpaceDN/>
              <w:bidi w:val="0"/>
              <w:spacing w:line="360" w:lineRule="auto"/>
              <w:ind w:firstLine="480" w:firstLineChars="200"/>
              <w:jc w:val="left"/>
              <w:textAlignment w:val="auto"/>
            </w:pPr>
            <w:r>
              <w:rPr>
                <w:rFonts w:hint="eastAsia"/>
                <w:lang w:val="en-US" w:eastAsia="zh-CN"/>
              </w:rPr>
              <w:t>4、</w:t>
            </w:r>
            <w:r>
              <w:rPr>
                <w:rFonts w:hint="eastAsia"/>
              </w:rPr>
              <w:t>固废</w:t>
            </w:r>
          </w:p>
          <w:p>
            <w:pPr>
              <w:keepNext w:val="0"/>
              <w:keepLines w:val="0"/>
              <w:pageBreakBefore w:val="0"/>
              <w:kinsoku/>
              <w:wordWrap/>
              <w:topLinePunct w:val="0"/>
              <w:autoSpaceDE/>
              <w:autoSpaceDN/>
              <w:bidi w:val="0"/>
              <w:adjustRightInd w:val="0"/>
              <w:snapToGrid w:val="0"/>
              <w:spacing w:line="360" w:lineRule="auto"/>
              <w:ind w:firstLine="480" w:firstLineChars="200"/>
              <w:jc w:val="left"/>
              <w:textAlignment w:val="auto"/>
              <w:rPr>
                <w:rFonts w:hint="eastAsia" w:eastAsia="宋体"/>
                <w:sz w:val="24"/>
                <w:lang w:eastAsia="zh-CN"/>
              </w:rPr>
            </w:pPr>
            <w:r>
              <w:rPr>
                <w:rFonts w:hint="eastAsia"/>
                <w:sz w:val="24"/>
              </w:rPr>
              <w:t>本项目产生的固体废物为生活垃圾以及生产固废。生活垃圾统一收集，由当地环卫部门清运。固废主要有除尘器收集粉尘、沉淀池沉渣以及废布袋，回用生产</w:t>
            </w:r>
            <w:r>
              <w:rPr>
                <w:rFonts w:hint="eastAsia"/>
                <w:sz w:val="24"/>
                <w:lang w:eastAsia="zh-CN"/>
              </w:rPr>
              <w:t>。</w:t>
            </w:r>
          </w:p>
          <w:p>
            <w:pPr>
              <w:adjustRightInd w:val="0"/>
              <w:snapToGrid w:val="0"/>
              <w:spacing w:line="360" w:lineRule="auto"/>
              <w:ind w:firstLine="482" w:firstLineChars="200"/>
              <w:rPr>
                <w:rFonts w:hint="eastAsia"/>
                <w:b/>
                <w:bCs/>
                <w:sz w:val="24"/>
                <w:highlight w:val="none"/>
              </w:rPr>
            </w:pPr>
            <w:r>
              <w:rPr>
                <w:rFonts w:hint="eastAsia"/>
                <w:b/>
                <w:bCs/>
                <w:sz w:val="24"/>
                <w:highlight w:val="none"/>
                <w:lang w:val="en-US" w:eastAsia="zh-CN"/>
              </w:rPr>
              <w:t>二</w:t>
            </w:r>
            <w:r>
              <w:rPr>
                <w:b/>
                <w:bCs/>
                <w:sz w:val="24"/>
                <w:highlight w:val="none"/>
              </w:rPr>
              <w:t>、现有工程大气污染物总量控制指标</w:t>
            </w:r>
          </w:p>
          <w:p>
            <w:pPr>
              <w:adjustRightInd w:val="0"/>
              <w:snapToGrid w:val="0"/>
              <w:spacing w:line="360" w:lineRule="auto"/>
              <w:ind w:firstLine="480" w:firstLineChars="200"/>
              <w:rPr>
                <w:bCs/>
                <w:color w:val="FF0000"/>
                <w:sz w:val="24"/>
                <w:highlight w:val="none"/>
              </w:rPr>
            </w:pPr>
            <w:r>
              <w:rPr>
                <w:rFonts w:hint="eastAsia"/>
                <w:bCs/>
                <w:color w:val="auto"/>
                <w:sz w:val="24"/>
                <w:highlight w:val="none"/>
                <w:lang w:eastAsia="zh-CN"/>
              </w:rPr>
              <w:t>根据</w:t>
            </w:r>
            <w:r>
              <w:rPr>
                <w:rFonts w:hint="eastAsia"/>
                <w:color w:val="auto"/>
                <w:sz w:val="24"/>
              </w:rPr>
              <w:t>《嘉荫县万邦商混有限公司商品混凝土搅拌站建设项目环境影响</w:t>
            </w:r>
            <w:r>
              <w:rPr>
                <w:rFonts w:hint="eastAsia"/>
                <w:color w:val="auto"/>
                <w:sz w:val="24"/>
                <w:lang w:val="en-US" w:eastAsia="zh-CN"/>
              </w:rPr>
              <w:t>评价报告表</w:t>
            </w:r>
            <w:r>
              <w:rPr>
                <w:rFonts w:hint="eastAsia"/>
                <w:color w:val="auto"/>
                <w:sz w:val="24"/>
              </w:rPr>
              <w:t>》</w:t>
            </w:r>
            <w:r>
              <w:rPr>
                <w:rFonts w:hint="eastAsia"/>
                <w:bCs/>
                <w:color w:val="auto"/>
                <w:sz w:val="24"/>
                <w:highlight w:val="none"/>
                <w:lang w:eastAsia="zh-CN"/>
              </w:rPr>
              <w:t>，</w:t>
            </w:r>
            <w:r>
              <w:rPr>
                <w:bCs/>
                <w:color w:val="auto"/>
                <w:sz w:val="24"/>
                <w:highlight w:val="none"/>
              </w:rPr>
              <w:t>现有工程大气污染物</w:t>
            </w:r>
            <w:r>
              <w:rPr>
                <w:rFonts w:hint="eastAsia"/>
                <w:bCs/>
                <w:color w:val="auto"/>
                <w:sz w:val="24"/>
                <w:highlight w:val="none"/>
                <w:lang w:val="en-US" w:eastAsia="zh-CN"/>
              </w:rPr>
              <w:t>预测排放量</w:t>
            </w:r>
            <w:r>
              <w:rPr>
                <w:bCs/>
                <w:color w:val="auto"/>
                <w:sz w:val="24"/>
                <w:highlight w:val="none"/>
              </w:rPr>
              <w:t>：颗粒物</w:t>
            </w:r>
            <w:r>
              <w:rPr>
                <w:rFonts w:hint="eastAsia"/>
                <w:bCs/>
                <w:color w:val="auto"/>
                <w:sz w:val="24"/>
                <w:highlight w:val="none"/>
                <w:lang w:val="en-US" w:eastAsia="zh-CN"/>
              </w:rPr>
              <w:t>0.071</w:t>
            </w:r>
            <w:r>
              <w:rPr>
                <w:rFonts w:hint="eastAsia"/>
                <w:bCs/>
                <w:color w:val="auto"/>
                <w:sz w:val="24"/>
                <w:highlight w:val="none"/>
              </w:rPr>
              <w:t>t</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核定排放量0.072</w:t>
            </w:r>
            <w:r>
              <w:rPr>
                <w:rFonts w:hint="eastAsia"/>
                <w:bCs/>
                <w:color w:val="auto"/>
                <w:sz w:val="24"/>
                <w:highlight w:val="none"/>
              </w:rPr>
              <w:t>t</w:t>
            </w:r>
            <w:r>
              <w:rPr>
                <w:bCs/>
                <w:color w:val="auto"/>
                <w:sz w:val="24"/>
                <w:highlight w:val="none"/>
              </w:rPr>
              <w:t>/a。</w:t>
            </w:r>
          </w:p>
          <w:p>
            <w:pPr>
              <w:adjustRightInd w:val="0"/>
              <w:snapToGrid w:val="0"/>
              <w:spacing w:line="360" w:lineRule="auto"/>
              <w:ind w:firstLine="482" w:firstLineChars="200"/>
              <w:rPr>
                <w:rFonts w:ascii="Times New Roman" w:hAnsi="Times New Roman" w:eastAsia="宋体" w:cs="Times New Roman"/>
                <w:b/>
                <w:bCs/>
                <w:sz w:val="24"/>
                <w:highlight w:val="none"/>
              </w:rPr>
            </w:pPr>
            <w:r>
              <w:rPr>
                <w:rFonts w:hint="eastAsia" w:ascii="Times New Roman" w:hAnsi="Times New Roman" w:eastAsia="宋体" w:cs="Times New Roman"/>
                <w:b/>
                <w:bCs/>
                <w:sz w:val="24"/>
                <w:highlight w:val="none"/>
                <w:lang w:val="en-US" w:eastAsia="zh-CN"/>
              </w:rPr>
              <w:t>三</w:t>
            </w:r>
            <w:r>
              <w:rPr>
                <w:rFonts w:ascii="Times New Roman" w:hAnsi="Times New Roman" w:eastAsia="宋体" w:cs="Times New Roman"/>
                <w:b/>
                <w:bCs/>
                <w:sz w:val="24"/>
                <w:highlight w:val="none"/>
              </w:rPr>
              <w:t>、</w:t>
            </w:r>
            <w:r>
              <w:rPr>
                <w:rFonts w:hint="eastAsia" w:ascii="Times New Roman" w:hAnsi="Times New Roman" w:eastAsia="宋体" w:cs="Times New Roman"/>
                <w:b/>
                <w:bCs/>
                <w:sz w:val="24"/>
                <w:highlight w:val="none"/>
              </w:rPr>
              <w:t>现有环境问题及整改措施</w:t>
            </w:r>
          </w:p>
          <w:p>
            <w:pPr>
              <w:pStyle w:val="42"/>
              <w:keepNext w:val="0"/>
              <w:keepLines w:val="0"/>
              <w:pageBreakBefore w:val="0"/>
              <w:kinsoku/>
              <w:wordWrap/>
              <w:topLinePunct w:val="0"/>
              <w:autoSpaceDE/>
              <w:autoSpaceDN/>
              <w:bidi w:val="0"/>
              <w:jc w:val="left"/>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无原有环境问题。</w:t>
            </w: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rPr>
                <w:color w:val="000000" w:themeColor="text1"/>
                <w14:textFill>
                  <w14:solidFill>
                    <w14:schemeClr w14:val="tx1"/>
                  </w14:solidFill>
                </w14:textFill>
              </w:rPr>
            </w:pPr>
          </w:p>
          <w:p>
            <w:pPr>
              <w:pStyle w:val="42"/>
              <w:ind w:left="0" w:leftChars="0" w:firstLine="0" w:firstLineChars="0"/>
              <w:rPr>
                <w:color w:val="000000" w:themeColor="text1"/>
                <w14:textFill>
                  <w14:solidFill>
                    <w14:schemeClr w14:val="tx1"/>
                  </w14:solidFill>
                </w14:textFill>
              </w:rPr>
            </w:pPr>
          </w:p>
        </w:tc>
      </w:tr>
    </w:tbl>
    <w:p>
      <w:pPr>
        <w:rPr>
          <w:color w:val="000000" w:themeColor="text1"/>
          <w14:textFill>
            <w14:solidFill>
              <w14:schemeClr w14:val="tx1"/>
            </w14:solidFill>
          </w14:textFill>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ind w:firstLine="600"/>
        <w:jc w:val="center"/>
        <w:outlineLvl w:val="0"/>
        <w:rPr>
          <w:rFonts w:eastAsia="黑体"/>
          <w:color w:val="000000" w:themeColor="text1"/>
          <w:sz w:val="30"/>
          <w:szCs w:val="30"/>
          <w14:textFill>
            <w14:solidFill>
              <w14:schemeClr w14:val="tx1"/>
            </w14:solidFill>
          </w14:textFill>
        </w:rPr>
      </w:pPr>
      <w:bookmarkStart w:id="6" w:name="_Toc18634"/>
      <w:r>
        <w:rPr>
          <w:rFonts w:eastAsia="黑体"/>
          <w:color w:val="000000" w:themeColor="text1"/>
          <w:sz w:val="30"/>
          <w:szCs w:val="30"/>
          <w14:textFill>
            <w14:solidFill>
              <w14:schemeClr w14:val="tx1"/>
            </w14:solidFill>
          </w14:textFill>
        </w:rPr>
        <w:t>三、区域环境质量现状、环境保护目标及评价标准</w:t>
      </w:r>
      <w:bookmarkEnd w:id="6"/>
    </w:p>
    <w:tbl>
      <w:tblPr>
        <w:tblStyle w:val="33"/>
        <w:tblW w:w="96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
        <w:gridCol w:w="8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 w:hRule="atLeast"/>
          <w:jc w:val="center"/>
        </w:trPr>
        <w:tc>
          <w:tcPr>
            <w:tcW w:w="94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区域环境质量现状</w:t>
            </w:r>
          </w:p>
        </w:tc>
        <w:tc>
          <w:tcPr>
            <w:tcW w:w="8694" w:type="dxa"/>
            <w:tcBorders>
              <w:tl2br w:val="nil"/>
              <w:tr2bl w:val="nil"/>
            </w:tcBorders>
          </w:tcPr>
          <w:p>
            <w:pPr>
              <w:pStyle w:val="54"/>
              <w:numPr>
                <w:ilvl w:val="0"/>
                <w:numId w:val="8"/>
              </w:num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环境空气质量现状</w:t>
            </w:r>
          </w:p>
          <w:p>
            <w:pPr>
              <w:pStyle w:val="54"/>
              <w:ind w:firstLine="480"/>
              <w:rPr>
                <w:color w:val="000000" w:themeColor="text1"/>
                <w14:textFill>
                  <w14:solidFill>
                    <w14:schemeClr w14:val="tx1"/>
                  </w14:solidFill>
                </w14:textFill>
              </w:rPr>
            </w:pPr>
            <w:r>
              <w:rPr>
                <w:color w:val="000000" w:themeColor="text1"/>
                <w14:textFill>
                  <w14:solidFill>
                    <w14:schemeClr w14:val="tx1"/>
                  </w14:solidFill>
                </w14:textFill>
              </w:rPr>
              <w:t>（1）达标区判定</w:t>
            </w:r>
          </w:p>
          <w:p>
            <w:pPr>
              <w:shd w:val="clear" w:color="auto" w:fill="auto"/>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本项目所在地属伊春市，</w:t>
            </w:r>
            <w:r>
              <w:rPr>
                <w:color w:val="000000" w:themeColor="text1"/>
                <w:kern w:val="0"/>
                <w:sz w:val="24"/>
                <w:u w:color="000000"/>
                <w14:textFill>
                  <w14:solidFill>
                    <w14:schemeClr w14:val="tx1"/>
                  </w14:solidFill>
                </w14:textFill>
              </w:rPr>
              <w:t>根据《202</w:t>
            </w:r>
            <w:r>
              <w:rPr>
                <w:rFonts w:hint="eastAsia"/>
                <w:color w:val="000000" w:themeColor="text1"/>
                <w:kern w:val="0"/>
                <w:sz w:val="24"/>
                <w:u w:color="000000"/>
                <w14:textFill>
                  <w14:solidFill>
                    <w14:schemeClr w14:val="tx1"/>
                  </w14:solidFill>
                </w14:textFill>
              </w:rPr>
              <w:t>5</w:t>
            </w:r>
            <w:r>
              <w:rPr>
                <w:color w:val="000000" w:themeColor="text1"/>
                <w:kern w:val="0"/>
                <w:sz w:val="24"/>
                <w:u w:color="000000"/>
                <w14:textFill>
                  <w14:solidFill>
                    <w14:schemeClr w14:val="tx1"/>
                  </w14:solidFill>
                </w14:textFill>
              </w:rPr>
              <w:t>年</w:t>
            </w:r>
            <w:r>
              <w:rPr>
                <w:rFonts w:hint="eastAsia"/>
                <w:color w:val="000000" w:themeColor="text1"/>
                <w:kern w:val="0"/>
                <w:sz w:val="24"/>
                <w:u w:color="000000"/>
                <w14:textFill>
                  <w14:solidFill>
                    <w14:schemeClr w14:val="tx1"/>
                  </w14:solidFill>
                </w14:textFill>
              </w:rPr>
              <w:t>黑龙江省</w:t>
            </w:r>
            <w:r>
              <w:rPr>
                <w:color w:val="000000" w:themeColor="text1"/>
                <w:kern w:val="0"/>
                <w:sz w:val="24"/>
                <w:u w:color="000000"/>
                <w14:textFill>
                  <w14:solidFill>
                    <w14:schemeClr w14:val="tx1"/>
                  </w14:solidFill>
                </w14:textFill>
              </w:rPr>
              <w:t>生态环境质量</w:t>
            </w:r>
            <w:r>
              <w:rPr>
                <w:rFonts w:hint="eastAsia"/>
                <w:color w:val="000000" w:themeColor="text1"/>
                <w:kern w:val="0"/>
                <w:sz w:val="24"/>
                <w:u w:color="000000"/>
                <w14:textFill>
                  <w14:solidFill>
                    <w14:schemeClr w14:val="tx1"/>
                  </w14:solidFill>
                </w14:textFill>
              </w:rPr>
              <w:t>状况</w:t>
            </w:r>
            <w:r>
              <w:rPr>
                <w:color w:val="000000" w:themeColor="text1"/>
                <w:kern w:val="0"/>
                <w:sz w:val="24"/>
                <w:u w:color="000000"/>
                <w14:textFill>
                  <w14:solidFill>
                    <w14:schemeClr w14:val="tx1"/>
                  </w14:solidFill>
                </w14:textFill>
              </w:rPr>
              <w:t>》</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年，全市环境空气质量达标，二氧化硫、二氧化氮年均值、可吸入颗粒物PM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、细颗粒物 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、一氧化碳24小时平均第95百分位数和臭氧日最大8小时滑动平均值的第90百分位数共6项污染物年均值浓度均优于国家环境空气质量二级标准。本项目所在区域属于达标区。</w:t>
            </w:r>
          </w:p>
          <w:p>
            <w:pPr>
              <w:pStyle w:val="42"/>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表3-</w:t>
            </w:r>
            <w:r>
              <w:rPr>
                <w:rFonts w:hint="eastAsia"/>
                <w:b/>
                <w:color w:val="000000" w:themeColor="text1"/>
                <w:sz w:val="21"/>
                <w:szCs w:val="21"/>
                <w14:textFill>
                  <w14:solidFill>
                    <w14:schemeClr w14:val="tx1"/>
                  </w14:solidFill>
                </w14:textFill>
              </w:rPr>
              <w:t>1</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区域空气质量现状评价表 单位：ug/m</w:t>
            </w:r>
            <w:r>
              <w:rPr>
                <w:rFonts w:hint="eastAsia"/>
                <w:b/>
                <w:color w:val="000000" w:themeColor="text1"/>
                <w:sz w:val="21"/>
                <w:szCs w:val="21"/>
                <w:vertAlign w:val="superscript"/>
                <w14:textFill>
                  <w14:solidFill>
                    <w14:schemeClr w14:val="tx1"/>
                  </w14:solidFill>
                </w14:textFill>
              </w:rPr>
              <w:t>3</w:t>
            </w:r>
          </w:p>
          <w:tbl>
            <w:tblPr>
              <w:tblStyle w:val="32"/>
              <w:tblW w:w="847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1"/>
              <w:gridCol w:w="3319"/>
              <w:gridCol w:w="1050"/>
              <w:gridCol w:w="1219"/>
              <w:gridCol w:w="1002"/>
              <w:gridCol w:w="1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污染物</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年评价指标</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现状浓度/（μg/m</w:t>
                  </w:r>
                  <w:r>
                    <w:rPr>
                      <w:rFonts w:ascii="Times New Roman" w:hAnsi="Times New Roman"/>
                      <w:color w:val="000000" w:themeColor="text1"/>
                      <w:sz w:val="21"/>
                      <w:szCs w:val="21"/>
                      <w:vertAlign w:val="superscript"/>
                      <w:lang w:bidi="ar"/>
                      <w14:textFill>
                        <w14:solidFill>
                          <w14:schemeClr w14:val="tx1"/>
                        </w14:solidFill>
                      </w14:textFill>
                    </w:rPr>
                    <w:t>3</w:t>
                  </w:r>
                  <w:r>
                    <w:rPr>
                      <w:rFonts w:ascii="Times New Roman" w:hAnsi="Times New Roman"/>
                      <w:color w:val="000000" w:themeColor="text1"/>
                      <w:sz w:val="21"/>
                      <w:szCs w:val="21"/>
                      <w:lang w:bidi="ar"/>
                      <w14:textFill>
                        <w14:solidFill>
                          <w14:schemeClr w14:val="tx1"/>
                        </w14:solidFill>
                      </w14:textFill>
                    </w:rPr>
                    <w:t>）</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标准值/（μg/m</w:t>
                  </w:r>
                  <w:r>
                    <w:rPr>
                      <w:rFonts w:ascii="Times New Roman" w:hAnsi="Times New Roman"/>
                      <w:color w:val="000000" w:themeColor="text1"/>
                      <w:sz w:val="21"/>
                      <w:szCs w:val="21"/>
                      <w:vertAlign w:val="superscript"/>
                      <w:lang w:bidi="ar"/>
                      <w14:textFill>
                        <w14:solidFill>
                          <w14:schemeClr w14:val="tx1"/>
                        </w14:solidFill>
                      </w14:textFill>
                    </w:rPr>
                    <w:t>3</w:t>
                  </w:r>
                  <w:r>
                    <w:rPr>
                      <w:rFonts w:ascii="Times New Roman" w:hAnsi="Times New Roman"/>
                      <w:color w:val="000000" w:themeColor="text1"/>
                      <w:sz w:val="21"/>
                      <w:szCs w:val="21"/>
                      <w:lang w:bidi="ar"/>
                      <w14:textFill>
                        <w14:solidFill>
                          <w14:schemeClr w14:val="tx1"/>
                        </w14:solidFill>
                      </w14:textFill>
                    </w:rPr>
                    <w:t>）</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占标率/%</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PM</w:t>
                  </w:r>
                  <w:r>
                    <w:rPr>
                      <w:rFonts w:ascii="Times New Roman" w:hAnsi="Times New Roman"/>
                      <w:color w:val="000000" w:themeColor="text1"/>
                      <w:sz w:val="21"/>
                      <w:szCs w:val="21"/>
                      <w:vertAlign w:val="subscript"/>
                      <w:lang w:bidi="ar"/>
                      <w14:textFill>
                        <w14:solidFill>
                          <w14:schemeClr w14:val="tx1"/>
                        </w14:solidFill>
                      </w14:textFill>
                    </w:rPr>
                    <w:t>2.5</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24</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30</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80</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PM</w:t>
                  </w:r>
                  <w:r>
                    <w:rPr>
                      <w:rFonts w:ascii="Times New Roman" w:hAnsi="Times New Roman"/>
                      <w:color w:val="000000" w:themeColor="text1"/>
                      <w:sz w:val="21"/>
                      <w:szCs w:val="21"/>
                      <w:vertAlign w:val="subscript"/>
                      <w:lang w:bidi="ar"/>
                      <w14:textFill>
                        <w14:solidFill>
                          <w14:schemeClr w14:val="tx1"/>
                        </w14:solidFill>
                      </w14:textFill>
                    </w:rPr>
                    <w:t>10</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3</w:t>
                  </w:r>
                  <w:r>
                    <w:rPr>
                      <w:rFonts w:hint="eastAsia" w:ascii="Times New Roman" w:hAnsi="Times New Roman"/>
                      <w:color w:val="000000" w:themeColor="text1"/>
                      <w:sz w:val="21"/>
                      <w:szCs w:val="21"/>
                      <w:lang w:bidi="ar"/>
                      <w14:textFill>
                        <w14:solidFill>
                          <w14:schemeClr w14:val="tx1"/>
                        </w14:solidFill>
                      </w14:textFill>
                    </w:rPr>
                    <w:t>2</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60</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53.33</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SO</w:t>
                  </w:r>
                  <w:r>
                    <w:rPr>
                      <w:rFonts w:ascii="Times New Roman" w:hAnsi="Times New Roman"/>
                      <w:color w:val="000000" w:themeColor="text1"/>
                      <w:sz w:val="21"/>
                      <w:szCs w:val="21"/>
                      <w:vertAlign w:val="subscript"/>
                      <w:lang w:bidi="ar"/>
                      <w14:textFill>
                        <w14:solidFill>
                          <w14:schemeClr w14:val="tx1"/>
                        </w14:solidFill>
                      </w14:textFill>
                    </w:rPr>
                    <w:t>2</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5</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60</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8.33</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NO</w:t>
                  </w:r>
                  <w:r>
                    <w:rPr>
                      <w:rFonts w:ascii="Times New Roman" w:hAnsi="Times New Roman"/>
                      <w:color w:val="000000" w:themeColor="text1"/>
                      <w:sz w:val="21"/>
                      <w:szCs w:val="21"/>
                      <w:vertAlign w:val="subscript"/>
                      <w:lang w:bidi="ar"/>
                      <w14:textFill>
                        <w14:solidFill>
                          <w14:schemeClr w14:val="tx1"/>
                        </w14:solidFill>
                      </w14:textFill>
                    </w:rPr>
                    <w:t>2</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11</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40</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27.5</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CO</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第95百分位数日平均浓度（mg/m</w:t>
                  </w:r>
                  <w:r>
                    <w:rPr>
                      <w:rFonts w:ascii="Times New Roman" w:hAnsi="Times New Roman"/>
                      <w:color w:val="000000" w:themeColor="text1"/>
                      <w:sz w:val="21"/>
                      <w:szCs w:val="21"/>
                      <w:vertAlign w:val="superscript"/>
                      <w:lang w:bidi="ar"/>
                      <w14:textFill>
                        <w14:solidFill>
                          <w14:schemeClr w14:val="tx1"/>
                        </w14:solidFill>
                      </w14:textFill>
                    </w:rPr>
                    <w:t>3</w:t>
                  </w:r>
                  <w:r>
                    <w:rPr>
                      <w:rFonts w:ascii="Times New Roman" w:hAnsi="Times New Roman"/>
                      <w:color w:val="000000" w:themeColor="text1"/>
                      <w:sz w:val="21"/>
                      <w:szCs w:val="21"/>
                      <w:lang w:bidi="ar"/>
                      <w14:textFill>
                        <w14:solidFill>
                          <w14:schemeClr w14:val="tx1"/>
                        </w14:solidFill>
                      </w14:textFill>
                    </w:rPr>
                    <w:t>）</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1.0</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4.0</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2</w:t>
                  </w:r>
                  <w:r>
                    <w:rPr>
                      <w:rFonts w:hint="eastAsia" w:ascii="Times New Roman" w:hAnsi="Times New Roman"/>
                      <w:color w:val="000000" w:themeColor="text1"/>
                      <w:sz w:val="21"/>
                      <w:szCs w:val="21"/>
                      <w:lang w:bidi="ar"/>
                      <w14:textFill>
                        <w14:solidFill>
                          <w14:schemeClr w14:val="tx1"/>
                        </w14:solidFill>
                      </w14:textFill>
                    </w:rPr>
                    <w:t>5</w:t>
                  </w:r>
                  <w:r>
                    <w:rPr>
                      <w:rFonts w:ascii="Times New Roman" w:hAnsi="Times New Roman"/>
                      <w:color w:val="000000" w:themeColor="text1"/>
                      <w:sz w:val="21"/>
                      <w:szCs w:val="21"/>
                      <w:lang w:bidi="ar"/>
                      <w14:textFill>
                        <w14:solidFill>
                          <w14:schemeClr w14:val="tx1"/>
                        </w14:solidFill>
                      </w14:textFill>
                    </w:rPr>
                    <w:t>.00</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81"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O</w:t>
                  </w:r>
                  <w:r>
                    <w:rPr>
                      <w:rFonts w:ascii="Times New Roman" w:hAnsi="Times New Roman"/>
                      <w:color w:val="000000" w:themeColor="text1"/>
                      <w:sz w:val="21"/>
                      <w:szCs w:val="21"/>
                      <w:vertAlign w:val="subscript"/>
                      <w:lang w:bidi="ar"/>
                      <w14:textFill>
                        <w14:solidFill>
                          <w14:schemeClr w14:val="tx1"/>
                        </w14:solidFill>
                      </w14:textFill>
                    </w:rPr>
                    <w:t>3</w:t>
                  </w:r>
                </w:p>
              </w:tc>
              <w:tc>
                <w:tcPr>
                  <w:tcW w:w="33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第90百分位数8h平均质量浓度</w:t>
                  </w:r>
                </w:p>
              </w:tc>
              <w:tc>
                <w:tcPr>
                  <w:tcW w:w="1050"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10</w:t>
                  </w:r>
                  <w:r>
                    <w:rPr>
                      <w:rFonts w:hint="eastAsia" w:ascii="Times New Roman" w:hAnsi="Times New Roman"/>
                      <w:color w:val="000000" w:themeColor="text1"/>
                      <w:sz w:val="21"/>
                      <w:szCs w:val="21"/>
                      <w:lang w:bidi="ar"/>
                      <w14:textFill>
                        <w14:solidFill>
                          <w14:schemeClr w14:val="tx1"/>
                        </w14:solidFill>
                      </w14:textFill>
                    </w:rPr>
                    <w:t>2</w:t>
                  </w:r>
                </w:p>
              </w:tc>
              <w:tc>
                <w:tcPr>
                  <w:tcW w:w="1219"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160</w:t>
                  </w:r>
                </w:p>
              </w:tc>
              <w:tc>
                <w:tcPr>
                  <w:tcW w:w="1002"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63.75</w:t>
                  </w:r>
                </w:p>
              </w:tc>
              <w:tc>
                <w:tcPr>
                  <w:tcW w:w="1104" w:type="dxa"/>
                  <w:vAlign w:val="center"/>
                </w:tcPr>
                <w:p>
                  <w:pPr>
                    <w:pStyle w:val="28"/>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bl>
          <w:p>
            <w:pPr>
              <w:adjustRightInd w:val="0"/>
              <w:snapToGrid w:val="0"/>
              <w:spacing w:line="360" w:lineRule="auto"/>
              <w:rPr>
                <w:color w:val="000000" w:themeColor="text1"/>
                <w14:textFill>
                  <w14:solidFill>
                    <w14:schemeClr w14:val="tx1"/>
                  </w14:solidFill>
                </w14:textFill>
              </w:rPr>
            </w:pPr>
            <w:r>
              <w:rPr>
                <w:color w:val="000000" w:themeColor="text1"/>
                <w:sz w:val="18"/>
                <w:szCs w:val="18"/>
                <w14:textFill>
                  <w14:solidFill>
                    <w14:schemeClr w14:val="tx1"/>
                  </w14:solidFill>
                </w14:textFill>
              </w:rPr>
              <w:t>注：日均值第X百分位数按照《</w:t>
            </w:r>
            <w:r>
              <w:rPr>
                <w:rFonts w:hint="eastAsia"/>
                <w:color w:val="000000" w:themeColor="text1"/>
                <w:sz w:val="18"/>
                <w:szCs w:val="18"/>
                <w14:textFill>
                  <w14:solidFill>
                    <w14:schemeClr w14:val="tx1"/>
                  </w14:solidFill>
                </w14:textFill>
              </w:rPr>
              <w:t>环境空气质量评价技术规范</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HJ 663-2026</w:t>
            </w:r>
            <w:r>
              <w:rPr>
                <w:color w:val="000000" w:themeColor="text1"/>
                <w:sz w:val="18"/>
                <w:szCs w:val="18"/>
                <w14:textFill>
                  <w14:solidFill>
                    <w14:schemeClr w14:val="tx1"/>
                  </w14:solidFill>
                </w14:textFill>
              </w:rPr>
              <w:t>），二氧化氮、二氧化硫X为98，PM</w:t>
            </w:r>
            <w:r>
              <w:rPr>
                <w:color w:val="000000" w:themeColor="text1"/>
                <w:sz w:val="18"/>
                <w:szCs w:val="18"/>
                <w:vertAlign w:val="subscript"/>
                <w14:textFill>
                  <w14:solidFill>
                    <w14:schemeClr w14:val="tx1"/>
                  </w14:solidFill>
                </w14:textFill>
              </w:rPr>
              <w:t>2.5</w:t>
            </w:r>
            <w:r>
              <w:rPr>
                <w:color w:val="000000" w:themeColor="text1"/>
                <w:sz w:val="18"/>
                <w:szCs w:val="18"/>
                <w14:textFill>
                  <w14:solidFill>
                    <w14:schemeClr w14:val="tx1"/>
                  </w14:solidFill>
                </w14:textFill>
              </w:rPr>
              <w:t>、PM</w:t>
            </w:r>
            <w:r>
              <w:rPr>
                <w:color w:val="000000" w:themeColor="text1"/>
                <w:sz w:val="18"/>
                <w:szCs w:val="18"/>
                <w:vertAlign w:val="subscript"/>
                <w14:textFill>
                  <w14:solidFill>
                    <w14:schemeClr w14:val="tx1"/>
                  </w14:solidFill>
                </w14:textFill>
              </w:rPr>
              <w:t>10</w:t>
            </w:r>
            <w:r>
              <w:rPr>
                <w:color w:val="000000" w:themeColor="text1"/>
                <w:sz w:val="18"/>
                <w:szCs w:val="18"/>
                <w14:textFill>
                  <w14:solidFill>
                    <w14:schemeClr w14:val="tx1"/>
                  </w14:solidFill>
                </w14:textFill>
              </w:rPr>
              <w:t>、一氧化碳X为95，臭氧日最大8小时平均X为90。</w:t>
            </w:r>
          </w:p>
          <w:p>
            <w:pPr>
              <w:pStyle w:val="54"/>
              <w:numPr>
                <w:ilvl w:val="0"/>
                <w:numId w:val="9"/>
              </w:num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补充监测</w:t>
            </w:r>
          </w:p>
          <w:p>
            <w:pPr>
              <w:spacing w:line="360" w:lineRule="auto"/>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根据本项目污染物排放特点及拟建厂址周围的环境特征，确定补充监测因子为：TSP。本项目委托黑龙江汇川检测有限公司对现状TSP进行监测。于202</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日至202</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日进行现场采样</w:t>
            </w:r>
            <w:r>
              <w:rPr>
                <w:rFonts w:hint="eastAsia"/>
                <w:color w:val="000000" w:themeColor="text1"/>
                <w:highlight w:val="none"/>
                <w:lang w:val="en-US" w:eastAsia="zh-CN"/>
                <w14:textFill>
                  <w14:solidFill>
                    <w14:schemeClr w14:val="tx1"/>
                  </w14:solidFill>
                </w14:textFill>
              </w:rPr>
              <w:t>及</w:t>
            </w:r>
            <w:r>
              <w:rPr>
                <w:rFonts w:hint="eastAsia"/>
                <w:color w:val="000000" w:themeColor="text1"/>
                <w:highlight w:val="none"/>
                <w14:textFill>
                  <w14:solidFill>
                    <w14:schemeClr w14:val="tx1"/>
                  </w14:solidFill>
                </w14:textFill>
              </w:rPr>
              <w:t>数据检测。</w:t>
            </w:r>
          </w:p>
          <w:p>
            <w:pPr>
              <w:pStyle w:val="60"/>
              <w:numPr>
                <w:ilvl w:val="0"/>
                <w:numId w:val="0"/>
              </w:num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表3-</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 xml:space="preserve">  其它补充污染物监测点位基础信息</w:t>
            </w:r>
          </w:p>
          <w:tbl>
            <w:tblPr>
              <w:tblStyle w:val="32"/>
              <w:tblW w:w="84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295"/>
              <w:gridCol w:w="1456"/>
              <w:gridCol w:w="1417"/>
              <w:gridCol w:w="1292"/>
              <w:gridCol w:w="991"/>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32" w:type="dxa"/>
                  <w:vMerge w:val="restart"/>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监测点名称</w:t>
                  </w:r>
                </w:p>
              </w:tc>
              <w:tc>
                <w:tcPr>
                  <w:tcW w:w="2751" w:type="dxa"/>
                  <w:gridSpan w:val="2"/>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监测点坐标</w:t>
                  </w:r>
                </w:p>
              </w:tc>
              <w:tc>
                <w:tcPr>
                  <w:tcW w:w="1417" w:type="dxa"/>
                  <w:vMerge w:val="restart"/>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监测因子</w:t>
                  </w:r>
                </w:p>
              </w:tc>
              <w:tc>
                <w:tcPr>
                  <w:tcW w:w="1292" w:type="dxa"/>
                  <w:vMerge w:val="restart"/>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监测时段</w:t>
                  </w:r>
                </w:p>
              </w:tc>
              <w:tc>
                <w:tcPr>
                  <w:tcW w:w="991" w:type="dxa"/>
                  <w:vMerge w:val="restart"/>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相对厂址方位</w:t>
                  </w:r>
                </w:p>
              </w:tc>
              <w:tc>
                <w:tcPr>
                  <w:tcW w:w="987" w:type="dxa"/>
                  <w:vMerge w:val="restart"/>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1032" w:type="dxa"/>
                  <w:vMerge w:val="continue"/>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p>
              </w:tc>
              <w:tc>
                <w:tcPr>
                  <w:tcW w:w="1295" w:type="dxa"/>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东经（°）</w:t>
                  </w:r>
                </w:p>
              </w:tc>
              <w:tc>
                <w:tcPr>
                  <w:tcW w:w="1456" w:type="dxa"/>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北纬（°）</w:t>
                  </w:r>
                </w:p>
              </w:tc>
              <w:tc>
                <w:tcPr>
                  <w:tcW w:w="1417" w:type="dxa"/>
                  <w:vMerge w:val="continue"/>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p>
              </w:tc>
              <w:tc>
                <w:tcPr>
                  <w:tcW w:w="1292" w:type="dxa"/>
                  <w:vMerge w:val="continue"/>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p>
              </w:tc>
              <w:tc>
                <w:tcPr>
                  <w:tcW w:w="991" w:type="dxa"/>
                  <w:vMerge w:val="continue"/>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p>
              </w:tc>
              <w:tc>
                <w:tcPr>
                  <w:tcW w:w="987" w:type="dxa"/>
                  <w:vMerge w:val="continue"/>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32" w:type="dxa"/>
                  <w:vAlign w:val="center"/>
                </w:tcPr>
                <w:p>
                  <w:pPr>
                    <w:pBdr>
                      <w:top w:val="none" w:color="auto" w:sz="0" w:space="1"/>
                      <w:left w:val="none" w:color="auto" w:sz="0" w:space="4"/>
                      <w:bottom w:val="none" w:color="auto" w:sz="0" w:space="1"/>
                      <w:right w:val="none" w:color="auto" w:sz="0" w:space="4"/>
                    </w:pBdr>
                    <w:jc w:val="center"/>
                    <w:rPr>
                      <w:iCs/>
                      <w:color w:val="000000" w:themeColor="text1"/>
                      <w:sz w:val="21"/>
                      <w:szCs w:val="21"/>
                      <w:highlight w:val="none"/>
                      <w14:textFill>
                        <w14:solidFill>
                          <w14:schemeClr w14:val="tx1"/>
                        </w14:solidFill>
                      </w14:textFill>
                    </w:rPr>
                  </w:pPr>
                  <w:r>
                    <w:rPr>
                      <w:iCs/>
                      <w:color w:val="000000" w:themeColor="text1"/>
                      <w:sz w:val="21"/>
                      <w:szCs w:val="21"/>
                      <w:highlight w:val="none"/>
                      <w14:textFill>
                        <w14:solidFill>
                          <w14:schemeClr w14:val="tx1"/>
                        </w14:solidFill>
                      </w14:textFill>
                    </w:rPr>
                    <w:t>厂址下风向</w:t>
                  </w:r>
                </w:p>
              </w:tc>
              <w:tc>
                <w:tcPr>
                  <w:tcW w:w="1295" w:type="dxa"/>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130.42721559</w:t>
                  </w:r>
                </w:p>
              </w:tc>
              <w:tc>
                <w:tcPr>
                  <w:tcW w:w="1456" w:type="dxa"/>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rFonts w:hint="eastAsia" w:eastAsia="仿宋_GB2312"/>
                      <w:color w:val="000000" w:themeColor="text1"/>
                      <w:sz w:val="21"/>
                      <w:szCs w:val="21"/>
                      <w:highlight w:val="none"/>
                      <w14:textFill>
                        <w14:solidFill>
                          <w14:schemeClr w14:val="tx1"/>
                        </w14:solidFill>
                      </w14:textFill>
                    </w:rPr>
                    <w:t>48.89324300</w:t>
                  </w:r>
                </w:p>
              </w:tc>
              <w:tc>
                <w:tcPr>
                  <w:tcW w:w="1417" w:type="dxa"/>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总悬浮颗粒物</w:t>
                  </w:r>
                </w:p>
              </w:tc>
              <w:tc>
                <w:tcPr>
                  <w:tcW w:w="1292" w:type="dxa"/>
                  <w:vAlign w:val="center"/>
                </w:tcPr>
                <w:p>
                  <w:pPr>
                    <w:pBdr>
                      <w:top w:val="none" w:color="auto" w:sz="0" w:space="1"/>
                      <w:left w:val="none" w:color="auto" w:sz="0" w:space="4"/>
                      <w:bottom w:val="none" w:color="auto" w:sz="0" w:space="1"/>
                      <w:right w:val="none" w:color="auto" w:sz="0" w:space="4"/>
                    </w:pBdr>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10</w:t>
                  </w:r>
                  <w:r>
                    <w:rPr>
                      <w:rFonts w:hint="eastAsia"/>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12</w:t>
                  </w:r>
                </w:p>
              </w:tc>
              <w:tc>
                <w:tcPr>
                  <w:tcW w:w="991" w:type="dxa"/>
                  <w:vAlign w:val="center"/>
                </w:tcPr>
                <w:p>
                  <w:pPr>
                    <w:pBdr>
                      <w:top w:val="none" w:color="auto" w:sz="0" w:space="1"/>
                      <w:left w:val="none" w:color="auto" w:sz="0" w:space="4"/>
                      <w:bottom w:val="none" w:color="auto" w:sz="0" w:space="1"/>
                      <w:right w:val="none" w:color="auto" w:sz="0" w:space="4"/>
                    </w:pBdr>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NE</w:t>
                  </w:r>
                </w:p>
              </w:tc>
              <w:tc>
                <w:tcPr>
                  <w:tcW w:w="987" w:type="dxa"/>
                  <w:vAlign w:val="center"/>
                </w:tcPr>
                <w:p>
                  <w:pPr>
                    <w:pBdr>
                      <w:top w:val="none" w:color="auto" w:sz="0" w:space="1"/>
                      <w:left w:val="none" w:color="auto" w:sz="0" w:space="4"/>
                      <w:bottom w:val="none" w:color="auto" w:sz="0" w:space="1"/>
                      <w:right w:val="none" w:color="auto" w:sz="0" w:space="4"/>
                    </w:pBd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r>
          </w:tbl>
          <w:p>
            <w:pPr>
              <w:pStyle w:val="42"/>
              <w:ind w:left="0" w:leftChars="0" w:firstLine="0" w:firstLineChars="0"/>
              <w:rPr>
                <w:color w:val="000000" w:themeColor="text1"/>
                <w:highlight w:val="yellow"/>
                <w14:textFill>
                  <w14:solidFill>
                    <w14:schemeClr w14:val="tx1"/>
                  </w14:solidFill>
                </w14:textFill>
              </w:rPr>
            </w:pPr>
          </w:p>
          <w:p>
            <w:pPr>
              <w:pStyle w:val="42"/>
              <w:ind w:left="0" w:leftChars="0" w:firstLine="0" w:firstLineChars="0"/>
              <w:jc w:val="center"/>
              <w:rPr>
                <w:color w:val="000000" w:themeColor="text1"/>
                <w:highlight w:val="yellow"/>
                <w14:textFill>
                  <w14:solidFill>
                    <w14:schemeClr w14:val="tx1"/>
                  </w14:solidFill>
                </w14:textFill>
              </w:rPr>
            </w:pPr>
            <w:r>
              <w:drawing>
                <wp:inline distT="0" distB="0" distL="114300" distR="114300">
                  <wp:extent cx="3395980" cy="2701925"/>
                  <wp:effectExtent l="0" t="0" r="762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395980" cy="2701925"/>
                          </a:xfrm>
                          <a:prstGeom prst="rect">
                            <a:avLst/>
                          </a:prstGeom>
                          <a:noFill/>
                          <a:ln>
                            <a:noFill/>
                          </a:ln>
                        </pic:spPr>
                      </pic:pic>
                    </a:graphicData>
                  </a:graphic>
                </wp:inline>
              </w:drawing>
            </w:r>
          </w:p>
          <w:p>
            <w:pPr>
              <w:pStyle w:val="60"/>
              <w:numPr>
                <w:ilvl w:val="0"/>
                <w:numId w:val="0"/>
              </w:numPr>
              <w:rPr>
                <w:color w:val="auto"/>
                <w:sz w:val="21"/>
                <w:szCs w:val="21"/>
                <w:highlight w:val="none"/>
              </w:rPr>
            </w:pPr>
            <w:r>
              <w:rPr>
                <w:color w:val="auto"/>
                <w:sz w:val="21"/>
                <w:szCs w:val="21"/>
                <w:highlight w:val="none"/>
              </w:rPr>
              <w:t>图3-1  监测点位示意图</w:t>
            </w:r>
          </w:p>
          <w:p>
            <w:pPr>
              <w:pStyle w:val="60"/>
              <w:numPr>
                <w:ilvl w:val="0"/>
                <w:numId w:val="0"/>
              </w:numPr>
              <w:rPr>
                <w:color w:val="auto"/>
                <w:sz w:val="21"/>
                <w:szCs w:val="21"/>
                <w:highlight w:val="none"/>
              </w:rPr>
            </w:pPr>
            <w:r>
              <w:rPr>
                <w:color w:val="auto"/>
                <w:sz w:val="21"/>
                <w:szCs w:val="21"/>
                <w:highlight w:val="none"/>
              </w:rPr>
              <w:t>表3-</w:t>
            </w:r>
            <w:r>
              <w:rPr>
                <w:rFonts w:hint="eastAsia"/>
                <w:color w:val="auto"/>
                <w:sz w:val="21"/>
                <w:szCs w:val="21"/>
                <w:highlight w:val="none"/>
                <w:lang w:val="en-US" w:eastAsia="zh-CN"/>
              </w:rPr>
              <w:t>3</w:t>
            </w:r>
            <w:r>
              <w:rPr>
                <w:color w:val="auto"/>
                <w:sz w:val="21"/>
                <w:szCs w:val="21"/>
                <w:highlight w:val="none"/>
              </w:rPr>
              <w:t xml:space="preserve">  大气其他污染物环境质量现状（监测结果）表</w:t>
            </w:r>
            <w:r>
              <w:rPr>
                <w:color w:val="auto"/>
                <w:sz w:val="21"/>
                <w:szCs w:val="21"/>
                <w:highlight w:val="none"/>
              </w:rPr>
              <w:tab/>
            </w:r>
            <w:r>
              <w:rPr>
                <w:color w:val="auto"/>
                <w:sz w:val="21"/>
                <w:szCs w:val="21"/>
                <w:highlight w:val="none"/>
              </w:rPr>
              <w:t>（单位：mg/m</w:t>
            </w:r>
            <w:r>
              <w:rPr>
                <w:color w:val="auto"/>
                <w:sz w:val="21"/>
                <w:szCs w:val="21"/>
                <w:highlight w:val="none"/>
                <w:vertAlign w:val="superscript"/>
              </w:rPr>
              <w:t>3</w:t>
            </w:r>
            <w:r>
              <w:rPr>
                <w:color w:val="auto"/>
                <w:sz w:val="21"/>
                <w:szCs w:val="21"/>
                <w:highlight w:val="none"/>
              </w:rPr>
              <w:t>）</w:t>
            </w:r>
          </w:p>
          <w:tbl>
            <w:tblPr>
              <w:tblStyle w:val="32"/>
              <w:tblW w:w="844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41"/>
              <w:gridCol w:w="1247"/>
              <w:gridCol w:w="865"/>
              <w:gridCol w:w="774"/>
              <w:gridCol w:w="1323"/>
              <w:gridCol w:w="1203"/>
              <w:gridCol w:w="842"/>
              <w:gridCol w:w="8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341"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监测点位</w:t>
                  </w:r>
                </w:p>
              </w:tc>
              <w:tc>
                <w:tcPr>
                  <w:tcW w:w="1247"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污染物</w:t>
                  </w:r>
                </w:p>
              </w:tc>
              <w:tc>
                <w:tcPr>
                  <w:tcW w:w="865"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平均</w:t>
                  </w:r>
                </w:p>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时间</w:t>
                  </w:r>
                </w:p>
              </w:tc>
              <w:tc>
                <w:tcPr>
                  <w:tcW w:w="774"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评价标准</w:t>
                  </w:r>
                </w:p>
              </w:tc>
              <w:tc>
                <w:tcPr>
                  <w:tcW w:w="1323"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监测浓度范围</w:t>
                  </w:r>
                </w:p>
              </w:tc>
              <w:tc>
                <w:tcPr>
                  <w:tcW w:w="1203"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最大浓度占标率%</w:t>
                  </w:r>
                </w:p>
              </w:tc>
              <w:tc>
                <w:tcPr>
                  <w:tcW w:w="842"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超标率%</w:t>
                  </w:r>
                </w:p>
              </w:tc>
              <w:tc>
                <w:tcPr>
                  <w:tcW w:w="847" w:type="dxa"/>
                  <w:vMerge w:val="restart"/>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341"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1247"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865"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774"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1323"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1203"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842"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c>
                <w:tcPr>
                  <w:tcW w:w="847" w:type="dxa"/>
                  <w:vMerge w:val="continue"/>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341"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iCs/>
                      <w:color w:val="auto"/>
                      <w:sz w:val="21"/>
                      <w:szCs w:val="21"/>
                      <w:highlight w:val="none"/>
                    </w:rPr>
                    <w:t>厂址下风向</w:t>
                  </w:r>
                </w:p>
              </w:tc>
              <w:tc>
                <w:tcPr>
                  <w:tcW w:w="1247"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总悬浮颗粒物</w:t>
                  </w:r>
                </w:p>
              </w:tc>
              <w:tc>
                <w:tcPr>
                  <w:tcW w:w="865"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日均值</w:t>
                  </w:r>
                </w:p>
              </w:tc>
              <w:tc>
                <w:tcPr>
                  <w:tcW w:w="774"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0.3</w:t>
                  </w:r>
                </w:p>
              </w:tc>
              <w:tc>
                <w:tcPr>
                  <w:tcW w:w="1323" w:type="dxa"/>
                  <w:tcBorders>
                    <w:tl2br w:val="nil"/>
                    <w:tr2bl w:val="nil"/>
                  </w:tcBorders>
                  <w:vAlign w:val="center"/>
                </w:tcPr>
                <w:p>
                  <w:pPr>
                    <w:pBdr>
                      <w:top w:val="none" w:color="auto" w:sz="0" w:space="1"/>
                      <w:left w:val="none" w:color="auto" w:sz="0" w:space="4"/>
                      <w:bottom w:val="none" w:color="auto" w:sz="0" w:space="1"/>
                      <w:right w:val="none" w:color="auto" w:sz="0" w:space="4"/>
                    </w:pBdr>
                    <w:jc w:val="center"/>
                    <w:rPr>
                      <w:rFonts w:hint="default" w:eastAsia="宋体"/>
                      <w:color w:val="auto"/>
                      <w:sz w:val="21"/>
                      <w:szCs w:val="21"/>
                      <w:highlight w:val="none"/>
                      <w:lang w:val="en-US" w:eastAsia="zh-CN"/>
                    </w:rPr>
                  </w:pPr>
                  <w:r>
                    <w:rPr>
                      <w:color w:val="auto"/>
                      <w:sz w:val="21"/>
                      <w:szCs w:val="21"/>
                      <w:highlight w:val="none"/>
                    </w:rPr>
                    <w:t>0.</w:t>
                  </w:r>
                  <w:r>
                    <w:rPr>
                      <w:rFonts w:hint="eastAsia"/>
                      <w:color w:val="auto"/>
                      <w:sz w:val="21"/>
                      <w:szCs w:val="21"/>
                      <w:highlight w:val="none"/>
                      <w:lang w:val="en-US" w:eastAsia="zh-CN"/>
                    </w:rPr>
                    <w:t>061</w:t>
                  </w:r>
                  <w:r>
                    <w:rPr>
                      <w:color w:val="auto"/>
                      <w:sz w:val="21"/>
                      <w:szCs w:val="21"/>
                      <w:highlight w:val="none"/>
                    </w:rPr>
                    <w:t>~0.</w:t>
                  </w:r>
                  <w:r>
                    <w:rPr>
                      <w:rFonts w:hint="eastAsia"/>
                      <w:color w:val="auto"/>
                      <w:sz w:val="21"/>
                      <w:szCs w:val="21"/>
                      <w:highlight w:val="none"/>
                      <w:lang w:val="en-US" w:eastAsia="zh-CN"/>
                    </w:rPr>
                    <w:t>082</w:t>
                  </w:r>
                </w:p>
              </w:tc>
              <w:tc>
                <w:tcPr>
                  <w:tcW w:w="1203"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rFonts w:hint="eastAsia"/>
                      <w:color w:val="auto"/>
                      <w:sz w:val="21"/>
                      <w:szCs w:val="21"/>
                      <w:highlight w:val="none"/>
                      <w:lang w:val="en-US" w:eastAsia="zh-CN"/>
                    </w:rPr>
                    <w:t>20.33</w:t>
                  </w:r>
                  <w:r>
                    <w:rPr>
                      <w:color w:val="auto"/>
                      <w:sz w:val="21"/>
                      <w:szCs w:val="21"/>
                      <w:highlight w:val="none"/>
                    </w:rPr>
                    <w:t>%</w:t>
                  </w:r>
                </w:p>
              </w:tc>
              <w:tc>
                <w:tcPr>
                  <w:tcW w:w="842"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0</w:t>
                  </w:r>
                </w:p>
              </w:tc>
              <w:tc>
                <w:tcPr>
                  <w:tcW w:w="847" w:type="dxa"/>
                  <w:tcBorders>
                    <w:tl2br w:val="nil"/>
                    <w:tr2bl w:val="nil"/>
                  </w:tcBorders>
                  <w:vAlign w:val="center"/>
                </w:tcPr>
                <w:p>
                  <w:pPr>
                    <w:pStyle w:val="87"/>
                    <w:pBdr>
                      <w:top w:val="none" w:color="auto" w:sz="0" w:space="1"/>
                      <w:left w:val="none" w:color="auto" w:sz="0" w:space="4"/>
                      <w:bottom w:val="none" w:color="auto" w:sz="0" w:space="1"/>
                      <w:right w:val="none" w:color="auto" w:sz="0" w:space="4"/>
                    </w:pBdr>
                    <w:adjustRightInd/>
                    <w:snapToGrid/>
                    <w:spacing w:beforeLines="0" w:afterLines="0" w:line="240" w:lineRule="auto"/>
                    <w:rPr>
                      <w:color w:val="auto"/>
                      <w:sz w:val="21"/>
                      <w:szCs w:val="21"/>
                      <w:highlight w:val="none"/>
                    </w:rPr>
                  </w:pPr>
                  <w:r>
                    <w:rPr>
                      <w:color w:val="auto"/>
                      <w:sz w:val="21"/>
                      <w:szCs w:val="21"/>
                      <w:highlight w:val="none"/>
                    </w:rPr>
                    <w:t>达标</w:t>
                  </w:r>
                </w:p>
              </w:tc>
            </w:tr>
          </w:tbl>
          <w:p>
            <w:pPr>
              <w:pStyle w:val="54"/>
              <w:ind w:firstLine="480"/>
              <w:jc w:val="both"/>
              <w:rPr>
                <w:b/>
                <w:color w:val="auto"/>
              </w:rPr>
            </w:pPr>
            <w:r>
              <w:rPr>
                <w:color w:val="auto"/>
                <w:lang w:val="zh-CN"/>
              </w:rPr>
              <w:t>表</w:t>
            </w:r>
            <w:r>
              <w:rPr>
                <w:color w:val="auto"/>
              </w:rPr>
              <w:t>3</w:t>
            </w:r>
            <w:r>
              <w:rPr>
                <w:rFonts w:hint="eastAsia"/>
                <w:color w:val="auto"/>
                <w:lang w:val="en-US" w:eastAsia="zh-CN"/>
              </w:rPr>
              <w:t>-</w:t>
            </w:r>
            <w:r>
              <w:rPr>
                <w:color w:val="auto"/>
              </w:rPr>
              <w:t>3</w:t>
            </w:r>
            <w:r>
              <w:rPr>
                <w:color w:val="auto"/>
                <w:lang w:val="zh-CN"/>
              </w:rPr>
              <w:t>监测结果表明，</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本项目所在区域在监测时段内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，总悬浮颗粒物</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监测结果无超标</w:t>
            </w:r>
            <w:r>
              <w:rPr>
                <w:rFonts w:hint="default" w:ascii="Times New Roman" w:hAnsi="Times New Roman" w:eastAsia="宋体" w:cs="Times New Roman"/>
                <w:color w:val="auto"/>
                <w:sz w:val="24"/>
                <w:highlight w:val="none"/>
                <w:lang w:val="en-US" w:eastAsia="zh-CN"/>
              </w:rPr>
              <w:t>现象，达到了《环境空气质量标准》（GB3095-2026）过渡阶段二级标准要求</w:t>
            </w:r>
            <w:r>
              <w:rPr>
                <w:rFonts w:hint="default" w:ascii="Times New Roman" w:hAnsi="Times New Roman" w:eastAsia="宋体" w:cs="Times New Roman"/>
                <w:color w:val="auto"/>
                <w:sz w:val="24"/>
                <w:szCs w:val="24"/>
                <w:highlight w:val="none"/>
                <w:lang w:eastAsia="zh-CN"/>
              </w:rPr>
              <w:t>。</w:t>
            </w:r>
          </w:p>
          <w:p>
            <w:pPr>
              <w:pStyle w:val="54"/>
              <w:numPr>
                <w:ilvl w:val="0"/>
                <w:numId w:val="8"/>
              </w:numPr>
              <w:ind w:firstLine="482"/>
              <w:rPr>
                <w:b/>
                <w:bCs/>
                <w:color w:val="auto"/>
              </w:rPr>
            </w:pPr>
            <w:r>
              <w:rPr>
                <w:b/>
                <w:bCs/>
                <w:color w:val="auto"/>
              </w:rPr>
              <w:t>地表水环境</w:t>
            </w:r>
          </w:p>
          <w:p>
            <w:pPr>
              <w:pStyle w:val="54"/>
              <w:ind w:firstLine="480"/>
              <w:jc w:val="both"/>
              <w:rPr>
                <w:color w:val="auto"/>
                <w:highlight w:val="none"/>
              </w:rPr>
            </w:pPr>
            <w:r>
              <w:rPr>
                <w:rFonts w:hint="default" w:ascii="Times New Roman" w:hAnsi="Times New Roman" w:eastAsia="宋体" w:cs="Times New Roman"/>
                <w:color w:val="auto"/>
                <w:kern w:val="0"/>
                <w:sz w:val="24"/>
                <w:szCs w:val="24"/>
                <w:highlight w:val="none"/>
                <w:lang w:val="en-US" w:eastAsia="zh-CN"/>
              </w:rPr>
              <w:t>根据《2025年黑龙江省生态环境质量状况》，伊春市参与国家考核计算的断面共11个，Ⅰ~Ⅲ类水质比例为63.6%，无劣V类水质断面。与上年同期相比，Ⅰ~Ⅲ类水质比例上升9.1个百分点，均无劣V类水质断面。伊春市饮用水水源地扣除自然本底因素影响后水量达标率为100%。</w:t>
            </w: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ascii="Times New Roman" w:hAnsi="Times New Roman" w:eastAsia="宋体" w:cs="Times New Roman"/>
                <w:color w:val="auto"/>
                <w:kern w:val="0"/>
                <w:sz w:val="24"/>
                <w:szCs w:val="24"/>
                <w:highlight w:val="none"/>
                <w:u w:val="none" w:color="000000"/>
                <w:lang w:val="en-US" w:eastAsia="zh-CN" w:bidi="ar-SA"/>
              </w:rPr>
              <w:t>黑龙江</w:t>
            </w:r>
            <w:r>
              <w:rPr>
                <w:rFonts w:hint="default" w:ascii="Times New Roman" w:hAnsi="Times New Roman" w:eastAsia="宋体" w:cs="Times New Roman"/>
                <w:color w:val="auto"/>
                <w:kern w:val="0"/>
                <w:sz w:val="24"/>
                <w:szCs w:val="24"/>
                <w:highlight w:val="none"/>
                <w:u w:val="none" w:color="000000"/>
                <w:lang w:val="en-US" w:eastAsia="zh-CN" w:bidi="ar-SA"/>
              </w:rPr>
              <w:t>，属于黑龙江干流嘉荫断面，</w:t>
            </w:r>
            <w:r>
              <w:rPr>
                <w:rFonts w:hint="default" w:ascii="Times New Roman" w:hAnsi="Times New Roman" w:eastAsia="宋体" w:cs="Times New Roman"/>
                <w:color w:val="auto"/>
                <w:kern w:val="0"/>
                <w:sz w:val="24"/>
                <w:szCs w:val="24"/>
                <w:highlight w:val="none"/>
                <w:lang w:val="en-US" w:eastAsia="zh-CN"/>
              </w:rPr>
              <w:t>根据《2025年黑龙江省生态环境质量状况》，</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黑龙江干流嘉荫断面为</w:t>
            </w:r>
            <w:r>
              <w:rPr>
                <w:rFonts w:hint="default" w:ascii="Times New Roman" w:hAnsi="Times New Roman" w:cs="Times New Roman"/>
                <w:color w:val="auto"/>
                <w:kern w:val="0"/>
                <w:sz w:val="24"/>
                <w:szCs w:val="24"/>
                <w:highlight w:val="none"/>
                <w:u w:val="none" w:color="000000"/>
                <w:lang w:val="en-US" w:eastAsia="zh-CN" w:bidi="ar-SA"/>
              </w:rPr>
              <w:t>Ⅴ</w:t>
            </w:r>
            <w:r>
              <w:rPr>
                <w:rFonts w:hint="default" w:ascii="Times New Roman" w:hAnsi="Times New Roman" w:eastAsia="宋体" w:cs="Times New Roman"/>
                <w:color w:val="auto"/>
                <w:kern w:val="0"/>
                <w:sz w:val="24"/>
                <w:szCs w:val="24"/>
                <w:highlight w:val="none"/>
                <w:u w:val="none" w:color="000000"/>
                <w:lang w:val="en-US" w:eastAsia="zh-CN" w:bidi="ar-SA"/>
              </w:rPr>
              <w:t>类水体</w:t>
            </w:r>
            <w:r>
              <w:rPr>
                <w:rFonts w:hint="eastAsia" w:cs="Times New Roman"/>
                <w:color w:val="auto"/>
                <w:kern w:val="0"/>
                <w:sz w:val="24"/>
                <w:szCs w:val="24"/>
                <w:highlight w:val="none"/>
                <w:u w:val="none" w:color="000000"/>
                <w:lang w:val="en-US" w:eastAsia="zh-CN" w:bidi="ar-SA"/>
              </w:rPr>
              <w:t>，超标因子为化学需氧量和高锰酸盐指数，</w:t>
            </w:r>
            <w:r>
              <w:rPr>
                <w:rFonts w:hint="default" w:ascii="Times New Roman" w:hAnsi="Times New Roman" w:eastAsia="宋体" w:cs="Times New Roman"/>
                <w:color w:val="auto"/>
                <w:kern w:val="0"/>
                <w:sz w:val="24"/>
                <w:szCs w:val="24"/>
                <w:highlight w:val="none"/>
                <w:u w:val="none" w:color="000000"/>
                <w:lang w:val="en-US" w:eastAsia="zh-CN" w:bidi="ar-SA"/>
              </w:rPr>
              <w:t>该监测断面202</w:t>
            </w:r>
            <w:r>
              <w:rPr>
                <w:rFonts w:hint="default" w:ascii="Times New Roman" w:hAnsi="Times New Roman"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，超标原因是融雪化冰期和夏汛期间受本底值影响，扣除本底值后，</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满足</w:t>
            </w:r>
            <w:r>
              <w:rPr>
                <w:rFonts w:hint="default" w:ascii="Times New Roman" w:hAnsi="Times New Roman" w:eastAsia="宋体" w:cs="Times New Roman"/>
                <w:color w:val="auto"/>
                <w:kern w:val="0"/>
                <w:sz w:val="24"/>
                <w:szCs w:val="24"/>
                <w:highlight w:val="none"/>
                <w:u w:val="none" w:color="000000"/>
                <w:lang w:val="en-US" w:eastAsia="zh-CN" w:bidi="ar-SA"/>
              </w:rPr>
              <w:t>《地表水环境质量标准》（GB3838-2002）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w:t>
            </w:r>
          </w:p>
          <w:p>
            <w:pPr>
              <w:pStyle w:val="54"/>
              <w:numPr>
                <w:ilvl w:val="0"/>
                <w:numId w:val="8"/>
              </w:num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声环境</w:t>
            </w:r>
          </w:p>
          <w:p>
            <w:pPr>
              <w:shd w:val="clear"/>
              <w:autoSpaceDE w:val="0"/>
              <w:autoSpaceDN w:val="0"/>
              <w:adjustRightInd w:val="0"/>
              <w:snapToGrid w:val="0"/>
              <w:spacing w:line="360" w:lineRule="auto"/>
              <w:ind w:firstLine="480" w:firstLineChars="200"/>
              <w:rPr>
                <w:rFonts w:hint="eastAsia" w:cs="宋体"/>
                <w:color w:val="auto"/>
                <w:kern w:val="0"/>
                <w:sz w:val="24"/>
                <w:highlight w:val="none"/>
                <w:lang w:val="en-US" w:eastAsia="zh-CN"/>
              </w:rPr>
            </w:pPr>
            <w:r>
              <w:rPr>
                <w:rFonts w:hint="eastAsia" w:cs="宋体"/>
                <w:color w:val="auto"/>
                <w:kern w:val="0"/>
                <w:sz w:val="24"/>
                <w:highlight w:val="none"/>
                <w:lang w:val="en-US" w:eastAsia="zh-CN"/>
              </w:rPr>
              <w:t>项目所在区域属于居住、商业、工业混杂的区域，根据声环境功能区划分技术规范(GB/T 15190–2014)，为2类声环境功能区。根据《建设项目环境影响报告表编制技术指南（污染影响类）（试行）》，厂</w:t>
            </w:r>
            <w:r>
              <w:rPr>
                <w:rFonts w:hint="eastAsia" w:cs="宋体"/>
                <w:color w:val="auto"/>
                <w:kern w:val="0"/>
                <w:sz w:val="24"/>
                <w:highlight w:val="none"/>
              </w:rPr>
              <w:t>界外周边50米范围内存在声环境保护目标的建设项目，应监测保护目标声环境质量现状并评价达标情况。</w:t>
            </w:r>
            <w:r>
              <w:rPr>
                <w:rFonts w:cs="宋体"/>
                <w:color w:val="auto"/>
                <w:kern w:val="0"/>
                <w:sz w:val="24"/>
                <w:highlight w:val="none"/>
              </w:rPr>
              <w:t>本项目敏感点声环境质量现状来源于</w:t>
            </w:r>
            <w:r>
              <w:rPr>
                <w:rFonts w:hint="default" w:ascii="Times New Roman" w:hAnsi="Times New Roman" w:cs="Times New Roman"/>
                <w:color w:val="auto"/>
                <w:sz w:val="24"/>
                <w:szCs w:val="24"/>
                <w:highlight w:val="none"/>
                <w:lang w:val="en-US" w:eastAsia="zh-CN"/>
              </w:rPr>
              <w:t>黑龙江</w:t>
            </w:r>
            <w:r>
              <w:rPr>
                <w:rFonts w:hint="eastAsia" w:ascii="Times New Roman" w:hAnsi="Times New Roman" w:cs="Times New Roman"/>
                <w:color w:val="auto"/>
                <w:sz w:val="24"/>
                <w:szCs w:val="24"/>
                <w:highlight w:val="none"/>
                <w:lang w:val="en-US" w:eastAsia="zh-CN"/>
              </w:rPr>
              <w:t>汇川检测</w:t>
            </w:r>
            <w:r>
              <w:rPr>
                <w:rFonts w:hint="default" w:ascii="Times New Roman" w:hAnsi="Times New Roman" w:cs="Times New Roman"/>
                <w:color w:val="auto"/>
                <w:sz w:val="24"/>
                <w:szCs w:val="24"/>
                <w:highlight w:val="none"/>
                <w:lang w:val="en-US" w:eastAsia="zh-CN"/>
              </w:rPr>
              <w:t>有限公司</w:t>
            </w:r>
            <w:r>
              <w:rPr>
                <w:rFonts w:hint="eastAsia" w:cs="宋体"/>
                <w:color w:val="auto"/>
                <w:kern w:val="0"/>
                <w:sz w:val="24"/>
                <w:highlight w:val="none"/>
                <w:lang w:val="en-US" w:eastAsia="zh-CN"/>
              </w:rPr>
              <w:t>出具的</w:t>
            </w:r>
            <w:r>
              <w:rPr>
                <w:rFonts w:hint="eastAsia" w:cs="宋体"/>
                <w:color w:val="auto"/>
                <w:kern w:val="0"/>
                <w:sz w:val="24"/>
                <w:highlight w:val="none"/>
              </w:rPr>
              <w:t>监测</w:t>
            </w:r>
            <w:r>
              <w:rPr>
                <w:rFonts w:hint="eastAsia" w:cs="宋体"/>
                <w:color w:val="auto"/>
                <w:kern w:val="0"/>
                <w:sz w:val="24"/>
                <w:highlight w:val="none"/>
                <w:lang w:val="en-US" w:eastAsia="zh-CN"/>
              </w:rPr>
              <w:t>报告</w:t>
            </w:r>
            <w:r>
              <w:rPr>
                <w:rFonts w:cs="宋体"/>
                <w:color w:val="auto"/>
                <w:kern w:val="0"/>
                <w:sz w:val="24"/>
                <w:highlight w:val="none"/>
              </w:rPr>
              <w:t>。</w:t>
            </w:r>
            <w:r>
              <w:rPr>
                <w:rFonts w:hint="eastAsia" w:cs="宋体"/>
                <w:color w:val="auto"/>
                <w:kern w:val="0"/>
                <w:sz w:val="24"/>
                <w:highlight w:val="none"/>
                <w:lang w:val="en-US" w:eastAsia="zh-CN"/>
              </w:rPr>
              <w:t>环境监测点位示意图见图3-1，监测结果如下：</w:t>
            </w:r>
          </w:p>
          <w:p>
            <w:pPr>
              <w:jc w:val="center"/>
              <w:rPr>
                <w:b/>
                <w:bCs/>
                <w:color w:val="auto"/>
                <w:sz w:val="21"/>
                <w:szCs w:val="21"/>
                <w:highlight w:val="none"/>
              </w:rPr>
            </w:pPr>
            <w:r>
              <w:rPr>
                <w:b/>
                <w:bCs/>
                <w:color w:val="auto"/>
                <w:sz w:val="21"/>
                <w:szCs w:val="21"/>
                <w:highlight w:val="none"/>
              </w:rPr>
              <w:t>表3-</w:t>
            </w:r>
            <w:r>
              <w:rPr>
                <w:rFonts w:hint="eastAsia"/>
                <w:b/>
                <w:bCs/>
                <w:color w:val="auto"/>
                <w:sz w:val="21"/>
                <w:szCs w:val="21"/>
                <w:highlight w:val="none"/>
                <w:lang w:val="en-US" w:eastAsia="zh-CN"/>
              </w:rPr>
              <w:t xml:space="preserve">4 </w:t>
            </w:r>
            <w:r>
              <w:rPr>
                <w:b/>
                <w:bCs/>
                <w:color w:val="auto"/>
                <w:sz w:val="21"/>
                <w:szCs w:val="21"/>
                <w:highlight w:val="none"/>
              </w:rPr>
              <w:t>声环境质量监测结果</w:t>
            </w:r>
          </w:p>
          <w:tbl>
            <w:tblPr>
              <w:tblStyle w:val="32"/>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174"/>
              <w:gridCol w:w="2167"/>
              <w:gridCol w:w="1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615" w:type="dxa"/>
                  <w:vMerge w:val="restart"/>
                  <w:tcBorders>
                    <w:tl2br w:val="nil"/>
                    <w:tr2bl w:val="nil"/>
                  </w:tcBorders>
                  <w:vAlign w:val="center"/>
                </w:tcPr>
                <w:p>
                  <w:pPr>
                    <w:spacing w:after="0"/>
                    <w:jc w:val="center"/>
                    <w:rPr>
                      <w:rFonts w:ascii="Times New Roman" w:hAnsiTheme="minorEastAsia" w:eastAsiaTheme="minorEastAsia"/>
                      <w:b/>
                      <w:sz w:val="21"/>
                      <w:szCs w:val="21"/>
                      <w:highlight w:val="none"/>
                    </w:rPr>
                  </w:pPr>
                  <w:bookmarkStart w:id="7" w:name="_Toc6289"/>
                  <w:bookmarkStart w:id="8" w:name="_Toc746"/>
                  <w:bookmarkStart w:id="9" w:name="_Toc19416"/>
                  <w:r>
                    <w:rPr>
                      <w:rFonts w:hint="eastAsia" w:ascii="Times New Roman" w:hAnsiTheme="minorEastAsia" w:eastAsiaTheme="minorEastAsia"/>
                      <w:b/>
                      <w:sz w:val="21"/>
                      <w:szCs w:val="21"/>
                      <w:highlight w:val="none"/>
                    </w:rPr>
                    <w:t>检测点位</w:t>
                  </w:r>
                </w:p>
              </w:tc>
              <w:tc>
                <w:tcPr>
                  <w:tcW w:w="4341" w:type="dxa"/>
                  <w:gridSpan w:val="2"/>
                  <w:tcBorders>
                    <w:tl2br w:val="nil"/>
                    <w:tr2bl w:val="nil"/>
                  </w:tcBorders>
                  <w:vAlign w:val="center"/>
                </w:tcPr>
                <w:p>
                  <w:pPr>
                    <w:spacing w:after="0"/>
                    <w:jc w:val="center"/>
                    <w:rPr>
                      <w:rFonts w:ascii="Times New Roman" w:hAnsiTheme="minorEastAsia" w:eastAsiaTheme="minorEastAsia"/>
                      <w:b/>
                      <w:sz w:val="21"/>
                      <w:szCs w:val="21"/>
                      <w:highlight w:val="none"/>
                    </w:rPr>
                  </w:pPr>
                  <w:r>
                    <w:rPr>
                      <w:rFonts w:hint="eastAsia" w:ascii="Times New Roman" w:hAnsiTheme="minorEastAsia" w:eastAsiaTheme="minorEastAsia"/>
                      <w:b/>
                      <w:sz w:val="21"/>
                      <w:szCs w:val="21"/>
                      <w:highlight w:val="none"/>
                    </w:rPr>
                    <w:t>检测结果</w:t>
                  </w:r>
                </w:p>
              </w:tc>
              <w:tc>
                <w:tcPr>
                  <w:tcW w:w="1548" w:type="dxa"/>
                  <w:vMerge w:val="restart"/>
                  <w:tcBorders>
                    <w:tl2br w:val="nil"/>
                    <w:tr2bl w:val="nil"/>
                  </w:tcBorders>
                  <w:vAlign w:val="center"/>
                </w:tcPr>
                <w:p>
                  <w:pPr>
                    <w:spacing w:after="0"/>
                    <w:jc w:val="center"/>
                    <w:rPr>
                      <w:rFonts w:ascii="Times New Roman" w:hAnsiTheme="minorEastAsia" w:eastAsiaTheme="minorEastAsia"/>
                      <w:b/>
                      <w:sz w:val="21"/>
                      <w:szCs w:val="21"/>
                      <w:highlight w:val="none"/>
                    </w:rPr>
                  </w:pPr>
                  <w:r>
                    <w:rPr>
                      <w:rFonts w:hint="eastAsia" w:ascii="Times New Roman" w:hAnsiTheme="minorEastAsia" w:eastAsiaTheme="minorEastAsia"/>
                      <w:b/>
                      <w:sz w:val="21"/>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615" w:type="dxa"/>
                  <w:vMerge w:val="continue"/>
                  <w:tcBorders>
                    <w:tl2br w:val="nil"/>
                    <w:tr2bl w:val="nil"/>
                  </w:tcBorders>
                  <w:vAlign w:val="center"/>
                </w:tcPr>
                <w:p>
                  <w:pPr>
                    <w:spacing w:after="0"/>
                    <w:jc w:val="center"/>
                    <w:rPr>
                      <w:rFonts w:ascii="Times New Roman" w:hAnsiTheme="minorEastAsia" w:eastAsiaTheme="minorEastAsia"/>
                      <w:b/>
                      <w:sz w:val="21"/>
                      <w:szCs w:val="21"/>
                      <w:highlight w:val="none"/>
                    </w:rPr>
                  </w:pPr>
                </w:p>
              </w:tc>
              <w:tc>
                <w:tcPr>
                  <w:tcW w:w="4341" w:type="dxa"/>
                  <w:gridSpan w:val="2"/>
                  <w:tcBorders>
                    <w:tl2br w:val="nil"/>
                    <w:tr2bl w:val="nil"/>
                  </w:tcBorders>
                  <w:vAlign w:val="center"/>
                </w:tcPr>
                <w:p>
                  <w:pPr>
                    <w:spacing w:after="0"/>
                    <w:jc w:val="center"/>
                    <w:rPr>
                      <w:rFonts w:hint="default" w:ascii="Times New Roman" w:hAnsiTheme="minorEastAsia" w:eastAsiaTheme="minorEastAsia"/>
                      <w:b/>
                      <w:sz w:val="21"/>
                      <w:szCs w:val="21"/>
                      <w:highlight w:val="none"/>
                      <w:lang w:val="en-US" w:eastAsia="zh-CN"/>
                    </w:rPr>
                  </w:pPr>
                  <w:r>
                    <w:rPr>
                      <w:rFonts w:ascii="Times New Roman" w:hAnsiTheme="minorEastAsia" w:eastAsiaTheme="minorEastAsia"/>
                      <w:b/>
                      <w:sz w:val="21"/>
                      <w:szCs w:val="21"/>
                      <w:highlight w:val="none"/>
                    </w:rPr>
                    <w:t>2026.0</w:t>
                  </w:r>
                  <w:r>
                    <w:rPr>
                      <w:rFonts w:hint="eastAsia" w:hAnsiTheme="minorEastAsia" w:eastAsiaTheme="minorEastAsia"/>
                      <w:b/>
                      <w:sz w:val="21"/>
                      <w:szCs w:val="21"/>
                      <w:highlight w:val="none"/>
                      <w:lang w:val="en-US" w:eastAsia="zh-CN"/>
                    </w:rPr>
                    <w:t>6</w:t>
                  </w:r>
                  <w:r>
                    <w:rPr>
                      <w:rFonts w:ascii="Times New Roman" w:hAnsiTheme="minorEastAsia" w:eastAsiaTheme="minorEastAsia"/>
                      <w:b/>
                      <w:sz w:val="21"/>
                      <w:szCs w:val="21"/>
                      <w:highlight w:val="none"/>
                    </w:rPr>
                    <w:t>.</w:t>
                  </w:r>
                  <w:r>
                    <w:rPr>
                      <w:rFonts w:hint="eastAsia" w:hAnsiTheme="minorEastAsia" w:eastAsiaTheme="minorEastAsia"/>
                      <w:b/>
                      <w:sz w:val="21"/>
                      <w:szCs w:val="21"/>
                      <w:highlight w:val="none"/>
                      <w:lang w:val="en-US" w:eastAsia="zh-CN"/>
                    </w:rPr>
                    <w:t>10</w:t>
                  </w:r>
                </w:p>
              </w:tc>
              <w:tc>
                <w:tcPr>
                  <w:tcW w:w="1548" w:type="dxa"/>
                  <w:vMerge w:val="continue"/>
                  <w:tcBorders>
                    <w:tl2br w:val="nil"/>
                    <w:tr2bl w:val="nil"/>
                  </w:tcBorders>
                  <w:vAlign w:val="center"/>
                </w:tcPr>
                <w:p>
                  <w:pPr>
                    <w:spacing w:after="0"/>
                    <w:jc w:val="center"/>
                    <w:rPr>
                      <w:rFonts w:ascii="Times New Roman" w:hAnsiTheme="minorEastAsia" w:eastAsiaTheme="minorEastAsia"/>
                      <w:b/>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615" w:type="dxa"/>
                  <w:vMerge w:val="continue"/>
                  <w:tcBorders>
                    <w:tl2br w:val="nil"/>
                    <w:tr2bl w:val="nil"/>
                  </w:tcBorders>
                  <w:vAlign w:val="center"/>
                </w:tcPr>
                <w:p>
                  <w:pPr>
                    <w:spacing w:after="0"/>
                    <w:jc w:val="center"/>
                    <w:rPr>
                      <w:rFonts w:ascii="Times New Roman" w:hAnsiTheme="minorEastAsia" w:eastAsiaTheme="minorEastAsia"/>
                      <w:b/>
                      <w:sz w:val="21"/>
                      <w:szCs w:val="21"/>
                      <w:highlight w:val="none"/>
                    </w:rPr>
                  </w:pPr>
                </w:p>
              </w:tc>
              <w:tc>
                <w:tcPr>
                  <w:tcW w:w="2174" w:type="dxa"/>
                  <w:tcBorders>
                    <w:tl2br w:val="nil"/>
                    <w:tr2bl w:val="nil"/>
                  </w:tcBorders>
                  <w:vAlign w:val="center"/>
                </w:tcPr>
                <w:p>
                  <w:pPr>
                    <w:spacing w:after="0"/>
                    <w:jc w:val="center"/>
                    <w:rPr>
                      <w:rFonts w:ascii="Times New Roman" w:hAnsiTheme="minorEastAsia" w:eastAsiaTheme="minorEastAsia"/>
                      <w:b/>
                      <w:sz w:val="21"/>
                      <w:szCs w:val="21"/>
                      <w:highlight w:val="none"/>
                    </w:rPr>
                  </w:pPr>
                  <w:r>
                    <w:rPr>
                      <w:rFonts w:hint="eastAsia" w:ascii="Times New Roman" w:hAnsiTheme="minorEastAsia" w:eastAsiaTheme="minorEastAsia"/>
                      <w:b/>
                      <w:sz w:val="21"/>
                      <w:szCs w:val="21"/>
                      <w:highlight w:val="none"/>
                    </w:rPr>
                    <w:t>昼间</w:t>
                  </w:r>
                </w:p>
              </w:tc>
              <w:tc>
                <w:tcPr>
                  <w:tcW w:w="2167" w:type="dxa"/>
                  <w:tcBorders>
                    <w:tl2br w:val="nil"/>
                    <w:tr2bl w:val="nil"/>
                  </w:tcBorders>
                  <w:vAlign w:val="center"/>
                </w:tcPr>
                <w:p>
                  <w:pPr>
                    <w:spacing w:after="0"/>
                    <w:jc w:val="center"/>
                    <w:rPr>
                      <w:rFonts w:ascii="Times New Roman" w:hAnsiTheme="minorEastAsia" w:eastAsiaTheme="minorEastAsia"/>
                      <w:b/>
                      <w:sz w:val="21"/>
                      <w:szCs w:val="21"/>
                      <w:highlight w:val="none"/>
                    </w:rPr>
                  </w:pPr>
                  <w:r>
                    <w:rPr>
                      <w:rFonts w:hint="eastAsia" w:ascii="Times New Roman" w:hAnsiTheme="minorEastAsia" w:eastAsiaTheme="minorEastAsia"/>
                      <w:b/>
                      <w:sz w:val="21"/>
                      <w:szCs w:val="21"/>
                      <w:highlight w:val="none"/>
                    </w:rPr>
                    <w:t>夜间</w:t>
                  </w:r>
                </w:p>
              </w:tc>
              <w:tc>
                <w:tcPr>
                  <w:tcW w:w="1548" w:type="dxa"/>
                  <w:vMerge w:val="continue"/>
                  <w:tcBorders>
                    <w:tl2br w:val="nil"/>
                    <w:tr2bl w:val="nil"/>
                  </w:tcBorders>
                  <w:vAlign w:val="center"/>
                </w:tcPr>
                <w:p>
                  <w:pPr>
                    <w:spacing w:after="0"/>
                    <w:jc w:val="center"/>
                    <w:rPr>
                      <w:rFonts w:ascii="Times New Roman" w:hAnsiTheme="minorEastAsia" w:eastAsiaTheme="minorEastAsia"/>
                      <w:b/>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5" w:type="dxa"/>
                  <w:tcBorders>
                    <w:tl2br w:val="nil"/>
                    <w:tr2bl w:val="nil"/>
                  </w:tcBorders>
                  <w:vAlign w:val="center"/>
                </w:tcPr>
                <w:p>
                  <w:pPr>
                    <w:adjustRightInd/>
                    <w:snapToGrid/>
                    <w:spacing w:after="0"/>
                    <w:contextualSpacing/>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嘉荫县应急管理局</w:t>
                  </w:r>
                  <w:r>
                    <w:rPr>
                      <w:rFonts w:hint="eastAsia" w:ascii="Times New Roman" w:hAnsi="Times New Roman" w:eastAsia="宋体"/>
                      <w:color w:val="000000" w:themeColor="text1"/>
                      <w:sz w:val="21"/>
                      <w:szCs w:val="21"/>
                      <w:highlight w:val="none"/>
                      <w14:textFill>
                        <w14:solidFill>
                          <w14:schemeClr w14:val="tx1"/>
                        </w14:solidFill>
                      </w14:textFill>
                    </w:rPr>
                    <w:t>1#</w:t>
                  </w:r>
                </w:p>
              </w:tc>
              <w:tc>
                <w:tcPr>
                  <w:tcW w:w="2174" w:type="dxa"/>
                  <w:tcBorders>
                    <w:tl2br w:val="nil"/>
                    <w:tr2bl w:val="nil"/>
                  </w:tcBorders>
                  <w:vAlign w:val="center"/>
                </w:tcPr>
                <w:p>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sz w:val="21"/>
                      <w:szCs w:val="21"/>
                      <w:highlight w:val="none"/>
                      <w:lang w:val="en-US" w:eastAsia="zh-CN"/>
                    </w:rPr>
                    <w:t>53</w:t>
                  </w:r>
                </w:p>
              </w:tc>
              <w:tc>
                <w:tcPr>
                  <w:tcW w:w="2167" w:type="dxa"/>
                  <w:tcBorders>
                    <w:tl2br w:val="nil"/>
                    <w:tr2bl w:val="nil"/>
                  </w:tcBorders>
                  <w:vAlign w:val="center"/>
                </w:tcPr>
                <w:p>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s="Times New Roman"/>
                      <w:sz w:val="21"/>
                      <w:szCs w:val="21"/>
                      <w:highlight w:val="none"/>
                      <w:lang w:val="en-US" w:eastAsia="zh-CN"/>
                    </w:rPr>
                    <w:t>40</w:t>
                  </w:r>
                </w:p>
              </w:tc>
              <w:tc>
                <w:tcPr>
                  <w:tcW w:w="1548" w:type="dxa"/>
                  <w:tcBorders>
                    <w:tl2br w:val="nil"/>
                    <w:tr2bl w:val="nil"/>
                  </w:tcBorders>
                  <w:vAlign w:val="center"/>
                </w:tcPr>
                <w:p>
                  <w:pPr>
                    <w:spacing w:after="0"/>
                    <w:jc w:val="center"/>
                    <w:rPr>
                      <w:rFonts w:ascii="Times New Roman" w:hAnsi="Times New Roman" w:eastAsiaTheme="minorEastAsia"/>
                      <w:sz w:val="21"/>
                      <w:szCs w:val="21"/>
                      <w:highlight w:val="none"/>
                    </w:rPr>
                  </w:pPr>
                  <w:r>
                    <w:rPr>
                      <w:rFonts w:hint="eastAsia" w:ascii="Times New Roman" w:hAnsi="Times New Roman" w:eastAsiaTheme="minorEastAsia"/>
                      <w:sz w:val="21"/>
                      <w:szCs w:val="21"/>
                      <w:highlight w:val="none"/>
                    </w:rPr>
                    <w:t>dB(A)</w:t>
                  </w:r>
                </w:p>
              </w:tc>
            </w:tr>
          </w:tbl>
          <w:p>
            <w:pPr>
              <w:pStyle w:val="54"/>
              <w:ind w:firstLine="480"/>
              <w:jc w:val="both"/>
              <w:rPr>
                <w:color w:val="000000" w:themeColor="text1"/>
                <w14:textFill>
                  <w14:solidFill>
                    <w14:schemeClr w14:val="tx1"/>
                  </w14:solidFill>
                </w14:textFill>
              </w:rPr>
            </w:pPr>
            <w:r>
              <w:rPr>
                <w:rFonts w:ascii="Times New Roman" w:hAnsi="Times New Roman" w:eastAsia="宋体" w:cs="宋体"/>
                <w:b w:val="0"/>
                <w:bCs w:val="0"/>
                <w:color w:val="auto"/>
                <w:kern w:val="0"/>
                <w:sz w:val="24"/>
                <w:szCs w:val="24"/>
                <w:highlight w:val="none"/>
                <w:lang w:val="en-US" w:eastAsia="zh-CN" w:bidi="ar-SA"/>
              </w:rPr>
              <w:t>由上表可知，本项目</w:t>
            </w:r>
            <w:r>
              <w:rPr>
                <w:rFonts w:hint="eastAsia" w:eastAsia="宋体" w:cs="宋体"/>
                <w:b w:val="0"/>
                <w:bCs w:val="0"/>
                <w:color w:val="auto"/>
                <w:kern w:val="0"/>
                <w:sz w:val="24"/>
                <w:szCs w:val="24"/>
                <w:highlight w:val="none"/>
                <w:lang w:val="en-US" w:eastAsia="zh-CN" w:bidi="ar-SA"/>
              </w:rPr>
              <w:t>所在区域</w:t>
            </w:r>
            <w:r>
              <w:rPr>
                <w:rFonts w:ascii="Times New Roman" w:hAnsi="Times New Roman" w:eastAsia="宋体" w:cs="宋体"/>
                <w:b w:val="0"/>
                <w:bCs w:val="0"/>
                <w:color w:val="auto"/>
                <w:kern w:val="0"/>
                <w:sz w:val="24"/>
                <w:szCs w:val="24"/>
                <w:highlight w:val="none"/>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highlight w:val="none"/>
                <w:lang w:val="en-US" w:eastAsia="zh-CN" w:bidi="ar-SA"/>
              </w:rPr>
              <w:t>，</w:t>
            </w:r>
            <w:r>
              <w:rPr>
                <w:rFonts w:ascii="Times New Roman" w:hAnsi="Times New Roman" w:eastAsia="宋体" w:cs="宋体"/>
                <w:b w:val="0"/>
                <w:bCs w:val="0"/>
                <w:color w:val="auto"/>
                <w:kern w:val="0"/>
                <w:sz w:val="24"/>
                <w:szCs w:val="24"/>
                <w:highlight w:val="none"/>
                <w:lang w:val="en-US" w:eastAsia="zh-CN" w:bidi="ar-SA"/>
              </w:rPr>
              <w:t>评价区域声环境保护目标声环境质量现状达标。</w:t>
            </w:r>
            <w:bookmarkEnd w:id="7"/>
            <w:bookmarkEnd w:id="8"/>
            <w:bookmarkEnd w:id="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环境保护目标</w:t>
            </w:r>
          </w:p>
        </w:tc>
        <w:tc>
          <w:tcPr>
            <w:tcW w:w="8694" w:type="dxa"/>
            <w:tcBorders>
              <w:tl2br w:val="nil"/>
              <w:tr2bl w:val="nil"/>
            </w:tcBorders>
          </w:tcPr>
          <w:p>
            <w:pPr>
              <w:spacing w:line="360" w:lineRule="auto"/>
              <w:ind w:firstLine="498" w:firstLineChars="200"/>
              <w:jc w:val="left"/>
              <w:rPr>
                <w:b/>
                <w:bCs/>
                <w:color w:val="000000" w:themeColor="text1"/>
                <w:spacing w:val="4"/>
                <w:sz w:val="24"/>
                <w:highlight w:val="none"/>
                <w14:textFill>
                  <w14:solidFill>
                    <w14:schemeClr w14:val="tx1"/>
                  </w14:solidFill>
                </w14:textFill>
              </w:rPr>
            </w:pPr>
            <w:r>
              <w:rPr>
                <w:b/>
                <w:bCs/>
                <w:color w:val="000000" w:themeColor="text1"/>
                <w:spacing w:val="4"/>
                <w:sz w:val="24"/>
                <w:highlight w:val="none"/>
                <w14:textFill>
                  <w14:solidFill>
                    <w14:schemeClr w14:val="tx1"/>
                  </w14:solidFill>
                </w14:textFill>
              </w:rPr>
              <w:t>1、环境空气保护目标</w:t>
            </w:r>
          </w:p>
          <w:p>
            <w:pPr>
              <w:spacing w:line="360" w:lineRule="auto"/>
              <w:ind w:firstLine="496" w:firstLineChars="200"/>
              <w:jc w:val="left"/>
              <w:rPr>
                <w:color w:val="000000" w:themeColor="text1"/>
                <w:spacing w:val="4"/>
                <w:sz w:val="24"/>
                <w:highlight w:val="none"/>
                <w14:textFill>
                  <w14:solidFill>
                    <w14:schemeClr w14:val="tx1"/>
                  </w14:solidFill>
                </w14:textFill>
              </w:rPr>
            </w:pPr>
            <w:r>
              <w:rPr>
                <w:color w:val="000000" w:themeColor="text1"/>
                <w:spacing w:val="4"/>
                <w:sz w:val="24"/>
                <w:highlight w:val="none"/>
                <w14:textFill>
                  <w14:solidFill>
                    <w14:schemeClr w14:val="tx1"/>
                  </w14:solidFill>
                </w14:textFill>
              </w:rPr>
              <w:t>本项目厂界</w:t>
            </w:r>
            <w:r>
              <w:rPr>
                <w:rFonts w:hint="eastAsia"/>
                <w:color w:val="000000" w:themeColor="text1"/>
                <w:spacing w:val="4"/>
                <w:sz w:val="24"/>
                <w:highlight w:val="none"/>
                <w14:textFill>
                  <w14:solidFill>
                    <w14:schemeClr w14:val="tx1"/>
                  </w14:solidFill>
                </w14:textFill>
              </w:rPr>
              <w:t>外</w:t>
            </w:r>
            <w:r>
              <w:rPr>
                <w:color w:val="000000" w:themeColor="text1"/>
                <w:spacing w:val="4"/>
                <w:sz w:val="24"/>
                <w:highlight w:val="none"/>
                <w14:textFill>
                  <w14:solidFill>
                    <w14:schemeClr w14:val="tx1"/>
                  </w14:solidFill>
                </w14:textFill>
              </w:rPr>
              <w:t>500米范围内</w:t>
            </w:r>
            <w:r>
              <w:rPr>
                <w:rFonts w:hint="eastAsia"/>
                <w:color w:val="000000" w:themeColor="text1"/>
                <w:spacing w:val="4"/>
                <w:sz w:val="24"/>
                <w:highlight w:val="none"/>
                <w14:textFill>
                  <w14:solidFill>
                    <w14:schemeClr w14:val="tx1"/>
                  </w14:solidFill>
                </w14:textFill>
              </w:rPr>
              <w:t>无</w:t>
            </w:r>
            <w:r>
              <w:rPr>
                <w:color w:val="000000" w:themeColor="text1"/>
                <w:spacing w:val="4"/>
                <w:sz w:val="24"/>
                <w:highlight w:val="none"/>
                <w14:textFill>
                  <w14:solidFill>
                    <w14:schemeClr w14:val="tx1"/>
                  </w14:solidFill>
                </w14:textFill>
              </w:rPr>
              <w:t>自然保护区、风景名胜区，环境空气保护目标详见下表。</w:t>
            </w:r>
          </w:p>
          <w:p>
            <w:pPr>
              <w:pStyle w:val="106"/>
              <w:adjustRightInd/>
              <w:snapToGrid/>
              <w:spacing w:line="240" w:lineRule="auto"/>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5</w:t>
            </w:r>
            <w:r>
              <w:rPr>
                <w:rFonts w:hint="eastAsia"/>
                <w:b/>
                <w:color w:val="000000" w:themeColor="text1"/>
                <w:sz w:val="21"/>
                <w:szCs w:val="21"/>
                <w:highlight w:val="none"/>
                <w14:textFill>
                  <w14:solidFill>
                    <w14:schemeClr w14:val="tx1"/>
                  </w14:solidFill>
                </w14:textFill>
              </w:rPr>
              <w:t xml:space="preserve"> 环境空气保护目标一览表</w:t>
            </w:r>
          </w:p>
          <w:tbl>
            <w:tblPr>
              <w:tblStyle w:val="32"/>
              <w:tblW w:w="84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13"/>
              <w:gridCol w:w="1316"/>
              <w:gridCol w:w="1391"/>
              <w:gridCol w:w="714"/>
              <w:gridCol w:w="912"/>
              <w:gridCol w:w="861"/>
              <w:gridCol w:w="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43" w:type="dxa"/>
                  <w:vMerge w:val="restart"/>
                  <w:vAlign w:val="center"/>
                </w:tcPr>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名称</w:t>
                  </w:r>
                </w:p>
              </w:tc>
              <w:tc>
                <w:tcPr>
                  <w:tcW w:w="2629" w:type="dxa"/>
                  <w:gridSpan w:val="2"/>
                  <w:vAlign w:val="center"/>
                </w:tcPr>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坐标</w:t>
                  </w:r>
                </w:p>
              </w:tc>
              <w:tc>
                <w:tcPr>
                  <w:tcW w:w="1391" w:type="dxa"/>
                  <w:vMerge w:val="restart"/>
                  <w:vAlign w:val="center"/>
                </w:tcPr>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保护</w:t>
                  </w:r>
                </w:p>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对象</w:t>
                  </w:r>
                </w:p>
              </w:tc>
              <w:tc>
                <w:tcPr>
                  <w:tcW w:w="714" w:type="dxa"/>
                  <w:vMerge w:val="restart"/>
                  <w:vAlign w:val="center"/>
                </w:tcPr>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保护</w:t>
                  </w:r>
                </w:p>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内容</w:t>
                  </w:r>
                </w:p>
              </w:tc>
              <w:tc>
                <w:tcPr>
                  <w:tcW w:w="912" w:type="dxa"/>
                  <w:vMerge w:val="restart"/>
                  <w:vAlign w:val="center"/>
                </w:tcPr>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环境</w:t>
                  </w:r>
                </w:p>
                <w:p>
                  <w:pPr>
                    <w:pStyle w:val="49"/>
                    <w:spacing w:before="24" w:after="24" w:line="240" w:lineRule="auto"/>
                    <w:ind w:left="-3" w:firstLine="3"/>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功能区</w:t>
                  </w:r>
                </w:p>
              </w:tc>
              <w:tc>
                <w:tcPr>
                  <w:tcW w:w="861" w:type="dxa"/>
                  <w:vMerge w:val="restart"/>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相对厂址方位</w:t>
                  </w:r>
                </w:p>
              </w:tc>
              <w:tc>
                <w:tcPr>
                  <w:tcW w:w="928" w:type="dxa"/>
                  <w:vMerge w:val="restart"/>
                  <w:vAlign w:val="center"/>
                </w:tcPr>
                <w:p>
                  <w:pPr>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相对厂界距离</w:t>
                  </w:r>
                  <w:r>
                    <w:rPr>
                      <w:rFonts w:hint="eastAsia"/>
                      <w:color w:val="000000" w:themeColor="text1"/>
                      <w:sz w:val="21"/>
                      <w:szCs w:val="21"/>
                      <w:highlight w:val="none"/>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43" w:type="dxa"/>
                  <w:vMerge w:val="continue"/>
                  <w:vAlign w:val="center"/>
                </w:tcPr>
                <w:p>
                  <w:pPr>
                    <w:pStyle w:val="49"/>
                    <w:spacing w:before="24" w:after="24" w:line="240" w:lineRule="auto"/>
                    <w:ind w:left="-3"/>
                    <w:jc w:val="center"/>
                    <w:rPr>
                      <w:rFonts w:ascii="Times New Roman"/>
                      <w:bCs/>
                      <w:color w:val="000000" w:themeColor="text1"/>
                      <w:sz w:val="21"/>
                      <w:szCs w:val="21"/>
                      <w:highlight w:val="none"/>
                      <w14:textFill>
                        <w14:solidFill>
                          <w14:schemeClr w14:val="tx1"/>
                        </w14:solidFill>
                      </w14:textFill>
                    </w:rPr>
                  </w:pPr>
                </w:p>
              </w:tc>
              <w:tc>
                <w:tcPr>
                  <w:tcW w:w="1313" w:type="dxa"/>
                  <w:vAlign w:val="center"/>
                </w:tcPr>
                <w:p>
                  <w:pPr>
                    <w:pStyle w:val="49"/>
                    <w:adjustRightInd/>
                    <w:snapToGrid/>
                    <w:spacing w:beforeLines="0" w:afterLines="0" w:line="240" w:lineRule="auto"/>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X</w:t>
                  </w:r>
                </w:p>
              </w:tc>
              <w:tc>
                <w:tcPr>
                  <w:tcW w:w="1316" w:type="dxa"/>
                  <w:vAlign w:val="center"/>
                </w:tcPr>
                <w:p>
                  <w:pPr>
                    <w:pStyle w:val="49"/>
                    <w:adjustRightInd/>
                    <w:snapToGrid/>
                    <w:spacing w:beforeLines="0" w:afterLines="0" w:line="240" w:lineRule="auto"/>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Y</w:t>
                  </w:r>
                </w:p>
              </w:tc>
              <w:tc>
                <w:tcPr>
                  <w:tcW w:w="1391" w:type="dxa"/>
                  <w:vMerge w:val="continue"/>
                  <w:vAlign w:val="center"/>
                </w:tcPr>
                <w:p>
                  <w:pPr>
                    <w:jc w:val="center"/>
                    <w:rPr>
                      <w:color w:val="000000" w:themeColor="text1"/>
                      <w:sz w:val="21"/>
                      <w:szCs w:val="21"/>
                      <w:highlight w:val="none"/>
                      <w14:textFill>
                        <w14:solidFill>
                          <w14:schemeClr w14:val="tx1"/>
                        </w14:solidFill>
                      </w14:textFill>
                    </w:rPr>
                  </w:pPr>
                </w:p>
              </w:tc>
              <w:tc>
                <w:tcPr>
                  <w:tcW w:w="714" w:type="dxa"/>
                  <w:vMerge w:val="continue"/>
                  <w:vAlign w:val="center"/>
                </w:tcPr>
                <w:p>
                  <w:pPr>
                    <w:jc w:val="center"/>
                    <w:rPr>
                      <w:color w:val="000000" w:themeColor="text1"/>
                      <w:sz w:val="21"/>
                      <w:szCs w:val="21"/>
                      <w:highlight w:val="none"/>
                      <w14:textFill>
                        <w14:solidFill>
                          <w14:schemeClr w14:val="tx1"/>
                        </w14:solidFill>
                      </w14:textFill>
                    </w:rPr>
                  </w:pPr>
                </w:p>
              </w:tc>
              <w:tc>
                <w:tcPr>
                  <w:tcW w:w="912" w:type="dxa"/>
                  <w:vMerge w:val="continue"/>
                  <w:vAlign w:val="center"/>
                </w:tcPr>
                <w:p>
                  <w:pPr>
                    <w:jc w:val="center"/>
                    <w:rPr>
                      <w:color w:val="000000" w:themeColor="text1"/>
                      <w:sz w:val="21"/>
                      <w:szCs w:val="21"/>
                      <w:highlight w:val="none"/>
                      <w14:textFill>
                        <w14:solidFill>
                          <w14:schemeClr w14:val="tx1"/>
                        </w14:solidFill>
                      </w14:textFill>
                    </w:rPr>
                  </w:pPr>
                </w:p>
              </w:tc>
              <w:tc>
                <w:tcPr>
                  <w:tcW w:w="861" w:type="dxa"/>
                  <w:vMerge w:val="continue"/>
                  <w:vAlign w:val="center"/>
                </w:tcPr>
                <w:p>
                  <w:pPr>
                    <w:jc w:val="center"/>
                    <w:rPr>
                      <w:color w:val="000000" w:themeColor="text1"/>
                      <w:sz w:val="21"/>
                      <w:szCs w:val="21"/>
                      <w:highlight w:val="none"/>
                      <w14:textFill>
                        <w14:solidFill>
                          <w14:schemeClr w14:val="tx1"/>
                        </w14:solidFill>
                      </w14:textFill>
                    </w:rPr>
                  </w:pPr>
                </w:p>
              </w:tc>
              <w:tc>
                <w:tcPr>
                  <w:tcW w:w="928" w:type="dxa"/>
                  <w:vMerge w:val="continue"/>
                  <w:vAlign w:val="center"/>
                </w:tcPr>
                <w:p>
                  <w:pPr>
                    <w:jc w:val="center"/>
                    <w:rPr>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43" w:type="dxa"/>
                  <w:vAlign w:val="center"/>
                </w:tcPr>
                <w:p>
                  <w:pPr>
                    <w:pStyle w:val="49"/>
                    <w:adjustRightInd/>
                    <w:snapToGrid/>
                    <w:spacing w:beforeLines="0" w:afterLines="0" w:line="240" w:lineRule="auto"/>
                    <w:jc w:val="center"/>
                    <w:rPr>
                      <w:rFonts w:ascii="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佛山村</w:t>
                  </w:r>
                  <w:r>
                    <w:rPr>
                      <w:rFonts w:hint="eastAsia" w:ascii="Times New Roman" w:hAnsi="Times New Roman" w:eastAsia="宋体"/>
                      <w:color w:val="000000" w:themeColor="text1"/>
                      <w:sz w:val="21"/>
                      <w:szCs w:val="21"/>
                      <w:highlight w:val="none"/>
                      <w14:textFill>
                        <w14:solidFill>
                          <w14:schemeClr w14:val="tx1"/>
                        </w14:solidFill>
                      </w14:textFill>
                    </w:rPr>
                    <w:t>居民</w:t>
                  </w:r>
                </w:p>
              </w:tc>
              <w:tc>
                <w:tcPr>
                  <w:tcW w:w="1313" w:type="dxa"/>
                  <w:vAlign w:val="center"/>
                </w:tcPr>
                <w:p>
                  <w:pPr>
                    <w:pStyle w:val="49"/>
                    <w:adjustRightInd/>
                    <w:snapToGrid/>
                    <w:spacing w:beforeLines="0" w:afterLines="0" w:line="240" w:lineRule="auto"/>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130.41421047</w:t>
                  </w:r>
                </w:p>
              </w:tc>
              <w:tc>
                <w:tcPr>
                  <w:tcW w:w="1316" w:type="dxa"/>
                  <w:vAlign w:val="center"/>
                </w:tcPr>
                <w:p>
                  <w:pPr>
                    <w:pStyle w:val="49"/>
                    <w:adjustRightInd/>
                    <w:snapToGrid/>
                    <w:spacing w:beforeLines="0" w:afterLines="0" w:line="240" w:lineRule="auto"/>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48.89645859</w:t>
                  </w:r>
                </w:p>
              </w:tc>
              <w:tc>
                <w:tcPr>
                  <w:tcW w:w="1391" w:type="dxa"/>
                  <w:shd w:val="clear" w:color="auto" w:fill="auto"/>
                  <w:vAlign w:val="center"/>
                </w:tcPr>
                <w:p>
                  <w:pPr>
                    <w:pStyle w:val="49"/>
                    <w:adjustRightInd/>
                    <w:snapToGrid/>
                    <w:spacing w:beforeLines="0" w:afterLines="0" w:line="240" w:lineRule="auto"/>
                    <w:jc w:val="center"/>
                    <w:rPr>
                      <w:rFonts w:ascii="Times New Roman"/>
                      <w:bCs/>
                      <w:color w:val="000000" w:themeColor="text1"/>
                      <w:kern w:val="2"/>
                      <w:sz w:val="21"/>
                      <w:szCs w:val="21"/>
                      <w:highlight w:val="none"/>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农村地区中人群较集中的区域</w:t>
                  </w:r>
                </w:p>
              </w:tc>
              <w:tc>
                <w:tcPr>
                  <w:tcW w:w="714" w:type="dxa"/>
                  <w:vAlign w:val="center"/>
                </w:tcPr>
                <w:p>
                  <w:pPr>
                    <w:pStyle w:val="49"/>
                    <w:adjustRightInd/>
                    <w:snapToGrid/>
                    <w:spacing w:beforeLines="0" w:afterLines="0" w:line="240" w:lineRule="auto"/>
                    <w:jc w:val="center"/>
                    <w:rPr>
                      <w:rFonts w:ascii="Times New Roman"/>
                      <w:bCs/>
                      <w:color w:val="000000" w:themeColor="text1"/>
                      <w:kern w:val="2"/>
                      <w:sz w:val="21"/>
                      <w:szCs w:val="21"/>
                      <w:highlight w:val="none"/>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人群</w:t>
                  </w:r>
                </w:p>
              </w:tc>
              <w:tc>
                <w:tcPr>
                  <w:tcW w:w="912" w:type="dxa"/>
                  <w:vAlign w:val="center"/>
                </w:tcPr>
                <w:p>
                  <w:pPr>
                    <w:pStyle w:val="49"/>
                    <w:spacing w:before="24" w:after="24" w:line="240" w:lineRule="auto"/>
                    <w:ind w:left="-3" w:firstLine="3"/>
                    <w:jc w:val="center"/>
                    <w:rPr>
                      <w:rFonts w:ascii="Times New Roman"/>
                      <w:bCs/>
                      <w:color w:val="000000" w:themeColor="text1"/>
                      <w:sz w:val="21"/>
                      <w:szCs w:val="21"/>
                      <w:highlight w:val="none"/>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二类区</w:t>
                  </w:r>
                </w:p>
              </w:tc>
              <w:tc>
                <w:tcPr>
                  <w:tcW w:w="861" w:type="dxa"/>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NW</w:t>
                  </w:r>
                </w:p>
              </w:tc>
              <w:tc>
                <w:tcPr>
                  <w:tcW w:w="928" w:type="dxa"/>
                  <w:vAlign w:val="center"/>
                </w:tcPr>
                <w:p>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43" w:type="dxa"/>
                  <w:vAlign w:val="center"/>
                </w:tcPr>
                <w:p>
                  <w:pPr>
                    <w:pStyle w:val="49"/>
                    <w:adjustRightInd/>
                    <w:snapToGrid/>
                    <w:spacing w:beforeLines="0" w:afterLines="0" w:line="240" w:lineRule="auto"/>
                    <w:jc w:val="center"/>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金源御景湾</w:t>
                  </w:r>
                </w:p>
              </w:tc>
              <w:tc>
                <w:tcPr>
                  <w:tcW w:w="1313" w:type="dxa"/>
                  <w:vAlign w:val="center"/>
                </w:tcPr>
                <w:p>
                  <w:pPr>
                    <w:pStyle w:val="49"/>
                    <w:adjustRightInd/>
                    <w:snapToGrid/>
                    <w:spacing w:beforeLines="0" w:afterLines="0" w:line="240" w:lineRule="auto"/>
                    <w:jc w:val="center"/>
                    <w:rPr>
                      <w:rFonts w:hint="eastAsia"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130.41672955</w:t>
                  </w:r>
                </w:p>
              </w:tc>
              <w:tc>
                <w:tcPr>
                  <w:tcW w:w="1316" w:type="dxa"/>
                  <w:vAlign w:val="center"/>
                </w:tcPr>
                <w:p>
                  <w:pPr>
                    <w:pStyle w:val="49"/>
                    <w:adjustRightInd/>
                    <w:snapToGrid/>
                    <w:spacing w:beforeLines="0" w:afterLines="0" w:line="240" w:lineRule="auto"/>
                    <w:jc w:val="center"/>
                    <w:rPr>
                      <w:rFonts w:hint="eastAsia"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48.88996726</w:t>
                  </w:r>
                </w:p>
              </w:tc>
              <w:tc>
                <w:tcPr>
                  <w:tcW w:w="1391" w:type="dxa"/>
                  <w:shd w:val="clear" w:color="auto" w:fill="auto"/>
                  <w:vAlign w:val="center"/>
                </w:tcPr>
                <w:p>
                  <w:pPr>
                    <w:pStyle w:val="49"/>
                    <w:adjustRightInd/>
                    <w:snapToGrid/>
                    <w:spacing w:beforeLines="0" w:afterLines="0" w:line="240" w:lineRule="auto"/>
                    <w:jc w:val="center"/>
                    <w:rPr>
                      <w:rFonts w:hint="default" w:ascii="Times New Roman"/>
                      <w:bCs/>
                      <w:color w:val="000000" w:themeColor="text1"/>
                      <w:sz w:val="21"/>
                      <w:szCs w:val="21"/>
                      <w:highlight w:val="none"/>
                      <w:lang w:val="en-US" w:eastAsia="zh-CN"/>
                      <w14:textFill>
                        <w14:solidFill>
                          <w14:schemeClr w14:val="tx1"/>
                        </w14:solidFill>
                      </w14:textFill>
                    </w:rPr>
                  </w:pPr>
                  <w:r>
                    <w:rPr>
                      <w:rFonts w:hint="eastAsia" w:ascii="Times New Roman"/>
                      <w:bCs/>
                      <w:color w:val="000000" w:themeColor="text1"/>
                      <w:sz w:val="21"/>
                      <w:szCs w:val="21"/>
                      <w:highlight w:val="none"/>
                      <w:lang w:val="en-US" w:eastAsia="zh-CN"/>
                      <w14:textFill>
                        <w14:solidFill>
                          <w14:schemeClr w14:val="tx1"/>
                        </w14:solidFill>
                      </w14:textFill>
                    </w:rPr>
                    <w:t>居住区</w:t>
                  </w:r>
                </w:p>
              </w:tc>
              <w:tc>
                <w:tcPr>
                  <w:tcW w:w="714" w:type="dxa"/>
                  <w:shd w:val="clear" w:color="auto" w:fill="auto"/>
                  <w:vAlign w:val="center"/>
                </w:tcPr>
                <w:p>
                  <w:pPr>
                    <w:pStyle w:val="49"/>
                    <w:adjustRightInd/>
                    <w:snapToGrid/>
                    <w:spacing w:beforeLines="0" w:afterLines="0" w:line="240" w:lineRule="auto"/>
                    <w:jc w:val="center"/>
                    <w:rPr>
                      <w:rFonts w:ascii="Times New Roman" w:hAnsiTheme="minorHAnsi" w:eastAsiaTheme="minorEastAsia" w:cstheme="minorBidi"/>
                      <w:bCs/>
                      <w:color w:val="000000" w:themeColor="text1"/>
                      <w:kern w:val="2"/>
                      <w:sz w:val="21"/>
                      <w:szCs w:val="21"/>
                      <w:highlight w:val="none"/>
                      <w:lang w:val="en-US" w:eastAsia="zh-CN" w:bidi="ar-SA"/>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人群</w:t>
                  </w:r>
                </w:p>
              </w:tc>
              <w:tc>
                <w:tcPr>
                  <w:tcW w:w="912" w:type="dxa"/>
                  <w:shd w:val="clear" w:color="auto" w:fill="auto"/>
                  <w:vAlign w:val="center"/>
                </w:tcPr>
                <w:p>
                  <w:pPr>
                    <w:pStyle w:val="49"/>
                    <w:spacing w:before="24" w:after="24" w:line="240" w:lineRule="auto"/>
                    <w:ind w:left="-3" w:leftChars="0" w:firstLine="3" w:firstLineChars="0"/>
                    <w:jc w:val="center"/>
                    <w:rPr>
                      <w:rFonts w:ascii="Times New Roman" w:hAnsiTheme="minorHAnsi" w:eastAsiaTheme="minorEastAsia" w:cstheme="minorBidi"/>
                      <w:bCs/>
                      <w:color w:val="000000" w:themeColor="text1"/>
                      <w:kern w:val="2"/>
                      <w:sz w:val="21"/>
                      <w:szCs w:val="21"/>
                      <w:highlight w:val="none"/>
                      <w:lang w:val="en-US" w:eastAsia="zh-CN" w:bidi="ar-SA"/>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二类区</w:t>
                  </w:r>
                </w:p>
              </w:tc>
              <w:tc>
                <w:tcPr>
                  <w:tcW w:w="861" w:type="dxa"/>
                  <w:shd w:val="clear" w:color="auto" w:fill="auto"/>
                  <w:vAlign w:val="center"/>
                </w:tcPr>
                <w:p>
                  <w:pPr>
                    <w:jc w:val="center"/>
                    <w:rPr>
                      <w:rFonts w:hint="default"/>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SW</w:t>
                  </w:r>
                </w:p>
              </w:tc>
              <w:tc>
                <w:tcPr>
                  <w:tcW w:w="928" w:type="dxa"/>
                  <w:shd w:val="clear" w:color="auto" w:fill="auto"/>
                  <w:vAlign w:val="center"/>
                </w:tcPr>
                <w:p>
                  <w:pPr>
                    <w:jc w:val="center"/>
                    <w:rPr>
                      <w:rFonts w:hint="default"/>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043" w:type="dxa"/>
                  <w:vAlign w:val="center"/>
                </w:tcPr>
                <w:p>
                  <w:pPr>
                    <w:pStyle w:val="49"/>
                    <w:adjustRightInd/>
                    <w:snapToGrid/>
                    <w:spacing w:beforeLines="0" w:afterLines="0" w:line="240" w:lineRule="auto"/>
                    <w:jc w:val="center"/>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嘉荫县第一中学</w:t>
                  </w:r>
                </w:p>
              </w:tc>
              <w:tc>
                <w:tcPr>
                  <w:tcW w:w="1313" w:type="dxa"/>
                  <w:vAlign w:val="center"/>
                </w:tcPr>
                <w:p>
                  <w:pPr>
                    <w:pStyle w:val="49"/>
                    <w:adjustRightInd/>
                    <w:snapToGrid/>
                    <w:spacing w:beforeLines="0" w:afterLines="0" w:line="240" w:lineRule="auto"/>
                    <w:jc w:val="center"/>
                    <w:rPr>
                      <w:rFonts w:hint="eastAsia"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130.41412355</w:t>
                  </w:r>
                </w:p>
              </w:tc>
              <w:tc>
                <w:tcPr>
                  <w:tcW w:w="1316" w:type="dxa"/>
                  <w:vAlign w:val="center"/>
                </w:tcPr>
                <w:p>
                  <w:pPr>
                    <w:pStyle w:val="49"/>
                    <w:adjustRightInd/>
                    <w:snapToGrid/>
                    <w:spacing w:beforeLines="0" w:afterLines="0" w:line="240" w:lineRule="auto"/>
                    <w:jc w:val="center"/>
                    <w:rPr>
                      <w:rFonts w:hint="eastAsia"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48.89161877</w:t>
                  </w:r>
                </w:p>
              </w:tc>
              <w:tc>
                <w:tcPr>
                  <w:tcW w:w="1391" w:type="dxa"/>
                  <w:shd w:val="clear" w:color="auto" w:fill="auto"/>
                  <w:vAlign w:val="center"/>
                </w:tcPr>
                <w:p>
                  <w:pPr>
                    <w:pStyle w:val="49"/>
                    <w:adjustRightInd/>
                    <w:snapToGrid/>
                    <w:spacing w:beforeLines="0" w:afterLines="0" w:line="240" w:lineRule="auto"/>
                    <w:jc w:val="center"/>
                    <w:rPr>
                      <w:rFonts w:hint="eastAsia" w:ascii="Times New Roman" w:eastAsia="宋体" w:hAnsiTheme="minorHAnsi" w:cstheme="minorBidi"/>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sz w:val="21"/>
                      <w:szCs w:val="21"/>
                      <w:highlight w:val="none"/>
                      <w:lang w:val="en-US" w:eastAsia="zh-CN"/>
                      <w14:textFill>
                        <w14:solidFill>
                          <w14:schemeClr w14:val="tx1"/>
                        </w14:solidFill>
                      </w14:textFill>
                    </w:rPr>
                    <w:t>文化区</w:t>
                  </w:r>
                </w:p>
              </w:tc>
              <w:tc>
                <w:tcPr>
                  <w:tcW w:w="714" w:type="dxa"/>
                  <w:shd w:val="clear" w:color="auto" w:fill="auto"/>
                  <w:vAlign w:val="center"/>
                </w:tcPr>
                <w:p>
                  <w:pPr>
                    <w:pStyle w:val="49"/>
                    <w:adjustRightInd/>
                    <w:snapToGrid/>
                    <w:spacing w:beforeLines="0" w:afterLines="0" w:line="240" w:lineRule="auto"/>
                    <w:jc w:val="center"/>
                    <w:rPr>
                      <w:rFonts w:ascii="Times New Roman" w:hAnsiTheme="minorHAnsi" w:eastAsiaTheme="minorEastAsia" w:cstheme="minorBidi"/>
                      <w:bCs/>
                      <w:color w:val="000000" w:themeColor="text1"/>
                      <w:kern w:val="2"/>
                      <w:sz w:val="21"/>
                      <w:szCs w:val="21"/>
                      <w:highlight w:val="none"/>
                      <w:lang w:val="en-US" w:eastAsia="zh-CN" w:bidi="ar-SA"/>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人群</w:t>
                  </w:r>
                </w:p>
              </w:tc>
              <w:tc>
                <w:tcPr>
                  <w:tcW w:w="912" w:type="dxa"/>
                  <w:shd w:val="clear" w:color="auto" w:fill="auto"/>
                  <w:vAlign w:val="center"/>
                </w:tcPr>
                <w:p>
                  <w:pPr>
                    <w:pStyle w:val="49"/>
                    <w:spacing w:before="24" w:after="24" w:line="240" w:lineRule="auto"/>
                    <w:ind w:left="-3" w:leftChars="0" w:firstLine="3" w:firstLineChars="0"/>
                    <w:jc w:val="center"/>
                    <w:rPr>
                      <w:rFonts w:ascii="Times New Roman" w:hAnsiTheme="minorHAnsi" w:eastAsiaTheme="minorEastAsia" w:cstheme="minorBidi"/>
                      <w:bCs/>
                      <w:color w:val="000000" w:themeColor="text1"/>
                      <w:kern w:val="2"/>
                      <w:sz w:val="21"/>
                      <w:szCs w:val="21"/>
                      <w:highlight w:val="none"/>
                      <w:lang w:val="en-US" w:eastAsia="zh-CN" w:bidi="ar-SA"/>
                      <w14:textFill>
                        <w14:solidFill>
                          <w14:schemeClr w14:val="tx1"/>
                        </w14:solidFill>
                      </w14:textFill>
                    </w:rPr>
                  </w:pPr>
                  <w:r>
                    <w:rPr>
                      <w:rFonts w:ascii="Times New Roman"/>
                      <w:bCs/>
                      <w:color w:val="000000" w:themeColor="text1"/>
                      <w:sz w:val="21"/>
                      <w:szCs w:val="21"/>
                      <w:highlight w:val="none"/>
                      <w14:textFill>
                        <w14:solidFill>
                          <w14:schemeClr w14:val="tx1"/>
                        </w14:solidFill>
                      </w14:textFill>
                    </w:rPr>
                    <w:t>二类区</w:t>
                  </w:r>
                </w:p>
              </w:tc>
              <w:tc>
                <w:tcPr>
                  <w:tcW w:w="861" w:type="dxa"/>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W</w:t>
                  </w:r>
                </w:p>
              </w:tc>
              <w:tc>
                <w:tcPr>
                  <w:tcW w:w="928" w:type="dxa"/>
                  <w:shd w:val="clear" w:color="auto" w:fill="auto"/>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270</w:t>
                  </w:r>
                </w:p>
              </w:tc>
            </w:tr>
          </w:tbl>
          <w:p>
            <w:pPr>
              <w:spacing w:line="360" w:lineRule="auto"/>
              <w:ind w:firstLine="498" w:firstLineChars="200"/>
              <w:jc w:val="left"/>
              <w:rPr>
                <w:color w:val="000000" w:themeColor="text1"/>
                <w:spacing w:val="4"/>
                <w:sz w:val="24"/>
                <w:highlight w:val="none"/>
                <w14:textFill>
                  <w14:solidFill>
                    <w14:schemeClr w14:val="tx1"/>
                  </w14:solidFill>
                </w14:textFill>
              </w:rPr>
            </w:pPr>
            <w:r>
              <w:rPr>
                <w:rFonts w:hint="eastAsia"/>
                <w:b/>
                <w:bCs/>
                <w:color w:val="000000" w:themeColor="text1"/>
                <w:spacing w:val="4"/>
                <w:sz w:val="24"/>
                <w:highlight w:val="none"/>
                <w:lang w:val="en-US" w:eastAsia="zh-CN"/>
                <w14:textFill>
                  <w14:solidFill>
                    <w14:schemeClr w14:val="tx1"/>
                  </w14:solidFill>
                </w14:textFill>
              </w:rPr>
              <w:t>2</w:t>
            </w:r>
            <w:r>
              <w:rPr>
                <w:b/>
                <w:bCs/>
                <w:color w:val="000000" w:themeColor="text1"/>
                <w:spacing w:val="4"/>
                <w:sz w:val="24"/>
                <w:highlight w:val="none"/>
                <w14:textFill>
                  <w14:solidFill>
                    <w14:schemeClr w14:val="tx1"/>
                  </w14:solidFill>
                </w14:textFill>
              </w:rPr>
              <w:t>、声环境保护目标</w:t>
            </w:r>
            <w:r>
              <w:rPr>
                <w:color w:val="000000" w:themeColor="text1"/>
                <w:spacing w:val="4"/>
                <w:sz w:val="24"/>
                <w:highlight w:val="none"/>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本项目50m范围内声环境保护目标见下表</w:t>
            </w:r>
          </w:p>
          <w:p>
            <w:pPr>
              <w:jc w:val="center"/>
              <w:rPr>
                <w:b/>
                <w:bCs/>
                <w:color w:val="auto"/>
                <w:sz w:val="21"/>
                <w:szCs w:val="21"/>
                <w:highlight w:val="none"/>
              </w:rPr>
            </w:pPr>
            <w:r>
              <w:rPr>
                <w:b/>
                <w:bCs/>
                <w:color w:val="auto"/>
                <w:sz w:val="21"/>
                <w:szCs w:val="21"/>
                <w:highlight w:val="none"/>
              </w:rPr>
              <w:t>表</w:t>
            </w:r>
            <w:r>
              <w:rPr>
                <w:rFonts w:hint="eastAsia"/>
                <w:b/>
                <w:bCs/>
                <w:color w:val="auto"/>
                <w:sz w:val="21"/>
                <w:szCs w:val="21"/>
                <w:highlight w:val="none"/>
              </w:rPr>
              <w:t>3-</w:t>
            </w:r>
            <w:r>
              <w:rPr>
                <w:rFonts w:hint="eastAsia"/>
                <w:b/>
                <w:bCs/>
                <w:color w:val="auto"/>
                <w:sz w:val="21"/>
                <w:szCs w:val="21"/>
                <w:highlight w:val="none"/>
                <w:lang w:val="en-US" w:eastAsia="zh-CN"/>
              </w:rPr>
              <w:t>6</w:t>
            </w:r>
            <w:r>
              <w:rPr>
                <w:b/>
                <w:bCs/>
                <w:color w:val="auto"/>
                <w:sz w:val="21"/>
                <w:szCs w:val="21"/>
                <w:highlight w:val="none"/>
              </w:rPr>
              <w:t xml:space="preserve"> </w:t>
            </w:r>
            <w:r>
              <w:rPr>
                <w:rFonts w:hint="eastAsia"/>
                <w:b/>
                <w:bCs/>
                <w:color w:val="auto"/>
                <w:sz w:val="21"/>
                <w:szCs w:val="21"/>
                <w:highlight w:val="none"/>
              </w:rPr>
              <w:t>声</w:t>
            </w:r>
            <w:r>
              <w:rPr>
                <w:b/>
                <w:bCs/>
                <w:color w:val="auto"/>
                <w:sz w:val="21"/>
                <w:szCs w:val="21"/>
                <w:highlight w:val="none"/>
              </w:rPr>
              <w:t>环境保护目标</w:t>
            </w:r>
          </w:p>
          <w:tbl>
            <w:tblPr>
              <w:tblStyle w:val="32"/>
              <w:tblW w:w="84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951"/>
              <w:gridCol w:w="1033"/>
              <w:gridCol w:w="838"/>
              <w:gridCol w:w="926"/>
              <w:gridCol w:w="2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14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环境元素</w:t>
                  </w:r>
                </w:p>
              </w:tc>
              <w:tc>
                <w:tcPr>
                  <w:tcW w:w="195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环境保护目标</w:t>
                  </w:r>
                </w:p>
              </w:tc>
              <w:tc>
                <w:tcPr>
                  <w:tcW w:w="103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方位</w:t>
                  </w:r>
                </w:p>
              </w:tc>
              <w:tc>
                <w:tcPr>
                  <w:tcW w:w="83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color w:val="auto"/>
                      <w:sz w:val="21"/>
                      <w:szCs w:val="21"/>
                      <w:highlight w:val="none"/>
                    </w:rPr>
                    <w:t>距离</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rPr>
                    <w:t>人数</w:t>
                  </w:r>
                </w:p>
              </w:tc>
              <w:tc>
                <w:tcPr>
                  <w:tcW w:w="25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14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声环境</w:t>
                  </w:r>
                </w:p>
              </w:tc>
              <w:tc>
                <w:tcPr>
                  <w:tcW w:w="195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嘉荫县应急管理局</w:t>
                  </w:r>
                </w:p>
              </w:tc>
              <w:tc>
                <w:tcPr>
                  <w:tcW w:w="103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西</w:t>
                  </w:r>
                </w:p>
              </w:tc>
              <w:tc>
                <w:tcPr>
                  <w:tcW w:w="83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s="Times New Roman"/>
                      <w:color w:val="auto"/>
                      <w:sz w:val="21"/>
                      <w:szCs w:val="21"/>
                      <w:highlight w:val="none"/>
                      <w:lang w:val="en-US" w:eastAsia="zh-CN"/>
                    </w:rPr>
                    <w:t>35</w:t>
                  </w:r>
                </w:p>
              </w:tc>
              <w:tc>
                <w:tcPr>
                  <w:tcW w:w="92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rPr>
                  </w:pPr>
                  <w:r>
                    <w:rPr>
                      <w:rFonts w:hint="eastAsia"/>
                      <w:color w:val="auto"/>
                      <w:sz w:val="21"/>
                      <w:szCs w:val="21"/>
                      <w:highlight w:val="none"/>
                      <w:lang w:val="en-US" w:eastAsia="zh-CN"/>
                    </w:rPr>
                    <w:t>75</w:t>
                  </w:r>
                </w:p>
              </w:tc>
              <w:tc>
                <w:tcPr>
                  <w:tcW w:w="25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《声环境质量标准》（GB3096-2008）</w:t>
                  </w:r>
                  <w:r>
                    <w:rPr>
                      <w:rFonts w:hint="eastAsia"/>
                      <w:color w:val="auto"/>
                      <w:sz w:val="21"/>
                      <w:szCs w:val="21"/>
                      <w:highlight w:val="none"/>
                      <w:lang w:val="en-US" w:eastAsia="zh-CN"/>
                    </w:rPr>
                    <w:t>2</w:t>
                  </w:r>
                  <w:r>
                    <w:rPr>
                      <w:color w:val="auto"/>
                      <w:sz w:val="21"/>
                      <w:szCs w:val="21"/>
                      <w:highlight w:val="none"/>
                    </w:rPr>
                    <w:t>类区</w:t>
                  </w:r>
                </w:p>
              </w:tc>
            </w:tr>
          </w:tbl>
          <w:p>
            <w:pPr>
              <w:pStyle w:val="26"/>
              <w:spacing w:line="360" w:lineRule="auto"/>
              <w:ind w:left="0" w:leftChars="0" w:firstLine="498" w:firstLineChars="200"/>
              <w:jc w:val="left"/>
              <w:rPr>
                <w:rFonts w:hint="default" w:ascii="Times New Roman" w:hAnsi="Times New Roman" w:cs="Times New Roman"/>
                <w:color w:val="000000" w:themeColor="text1"/>
                <w:spacing w:val="4"/>
                <w:sz w:val="24"/>
                <w:highlight w:val="none"/>
                <w14:textFill>
                  <w14:solidFill>
                    <w14:schemeClr w14:val="tx1"/>
                  </w14:solidFill>
                </w14:textFill>
              </w:rPr>
            </w:pPr>
            <w:r>
              <w:rPr>
                <w:rFonts w:hint="default" w:ascii="Times New Roman" w:hAnsi="Times New Roman" w:cs="Times New Roman"/>
                <w:b/>
                <w:bCs/>
                <w:color w:val="000000" w:themeColor="text1"/>
                <w:spacing w:val="4"/>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pacing w:val="4"/>
                <w:sz w:val="24"/>
                <w:highlight w:val="none"/>
                <w14:textFill>
                  <w14:solidFill>
                    <w14:schemeClr w14:val="tx1"/>
                  </w14:solidFill>
                </w14:textFill>
              </w:rPr>
              <w:t>、地下水保护目标</w:t>
            </w:r>
            <w:r>
              <w:rPr>
                <w:rFonts w:hint="default" w:ascii="Times New Roman" w:hAnsi="Times New Roman" w:cs="Times New Roman"/>
                <w:color w:val="000000" w:themeColor="text1"/>
                <w:spacing w:val="4"/>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pacing w:val="4"/>
                <w:sz w:val="24"/>
                <w:highlight w:val="none"/>
                <w14:textFill>
                  <w14:solidFill>
                    <w14:schemeClr w14:val="tx1"/>
                  </w14:solidFill>
                </w14:textFill>
              </w:rPr>
              <w:t>厂界外500m范围内无地下水集中式饮用水水源和热水、矿泉水、温泉等特殊地下水资源。</w:t>
            </w:r>
          </w:p>
          <w:p>
            <w:pPr>
              <w:spacing w:line="360" w:lineRule="auto"/>
              <w:ind w:firstLine="480" w:firstLineChars="200"/>
              <w:jc w:val="center"/>
            </w:pPr>
            <w:r>
              <w:rPr>
                <w:rFonts w:hint="eastAsia"/>
                <w:color w:val="000000" w:themeColor="text1"/>
                <w:sz w:val="24"/>
                <w:highlight w:val="yellow"/>
                <w14:textFill>
                  <w14:solidFill>
                    <w14:schemeClr w14:val="tx1"/>
                  </w14:solidFill>
                </w14:textFill>
              </w:rPr>
              <w:drawing>
                <wp:anchor distT="0" distB="0" distL="114300" distR="114300" simplePos="0" relativeHeight="251667456" behindDoc="0" locked="0" layoutInCell="1" allowOverlap="1">
                  <wp:simplePos x="0" y="0"/>
                  <wp:positionH relativeFrom="column">
                    <wp:posOffset>4298950</wp:posOffset>
                  </wp:positionH>
                  <wp:positionV relativeFrom="paragraph">
                    <wp:posOffset>6350</wp:posOffset>
                  </wp:positionV>
                  <wp:extent cx="759460" cy="836930"/>
                  <wp:effectExtent l="0" t="0" r="2540" b="1270"/>
                  <wp:wrapNone/>
                  <wp:docPr id="47" name="图片 6" descr="ccff2cfdb4e5c4eb98dd252b682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ccff2cfdb4e5c4eb98dd252b68231328"/>
                          <pic:cNvPicPr>
                            <a:picLocks noChangeAspect="1"/>
                          </pic:cNvPicPr>
                        </pic:nvPicPr>
                        <pic:blipFill>
                          <a:blip r:embed="rId15"/>
                          <a:stretch>
                            <a:fillRect/>
                          </a:stretch>
                        </pic:blipFill>
                        <pic:spPr>
                          <a:xfrm>
                            <a:off x="0" y="0"/>
                            <a:ext cx="759460" cy="836930"/>
                          </a:xfrm>
                          <a:prstGeom prst="rect">
                            <a:avLst/>
                          </a:prstGeom>
                          <a:noFill/>
                          <a:ln>
                            <a:noFill/>
                          </a:ln>
                        </pic:spPr>
                      </pic:pic>
                    </a:graphicData>
                  </a:graphic>
                </wp:anchor>
              </w:drawing>
            </w:r>
            <w:r>
              <w:rPr>
                <w:sz w:val="24"/>
                <w:highlight w:val="yellow"/>
              </w:rPr>
              <mc:AlternateContent>
                <mc:Choice Requires="wps">
                  <w:drawing>
                    <wp:anchor distT="0" distB="0" distL="114300" distR="114300" simplePos="0" relativeHeight="251670528" behindDoc="0" locked="0" layoutInCell="1" allowOverlap="1">
                      <wp:simplePos x="0" y="0"/>
                      <wp:positionH relativeFrom="column">
                        <wp:posOffset>3972560</wp:posOffset>
                      </wp:positionH>
                      <wp:positionV relativeFrom="paragraph">
                        <wp:posOffset>3136900</wp:posOffset>
                      </wp:positionV>
                      <wp:extent cx="184785" cy="137795"/>
                      <wp:effectExtent l="12700" t="12700" r="18415" b="14605"/>
                      <wp:wrapNone/>
                      <wp:docPr id="45" name="矩形 45"/>
                      <wp:cNvGraphicFramePr/>
                      <a:graphic xmlns:a="http://schemas.openxmlformats.org/drawingml/2006/main">
                        <a:graphicData uri="http://schemas.microsoft.com/office/word/2010/wordprocessingShape">
                          <wps:wsp>
                            <wps:cNvSpPr/>
                            <wps:spPr>
                              <a:xfrm>
                                <a:off x="5788660" y="7150100"/>
                                <a:ext cx="184785" cy="137795"/>
                              </a:xfrm>
                              <a:prstGeom prst="rect">
                                <a:avLst/>
                              </a:prstGeom>
                              <a:gradFill>
                                <a:gsLst>
                                  <a:gs pos="50000">
                                    <a:schemeClr val="accent4"/>
                                  </a:gs>
                                  <a:gs pos="0">
                                    <a:schemeClr val="accent4">
                                      <a:lumMod val="25000"/>
                                      <a:lumOff val="75000"/>
                                    </a:schemeClr>
                                  </a:gs>
                                  <a:gs pos="100000">
                                    <a:schemeClr val="accent4">
                                      <a:lumMod val="85000"/>
                                    </a:schemeClr>
                                  </a:gs>
                                </a:gsLst>
                                <a:lin ang="5400000" scaled="1"/>
                              </a:gradFill>
                              <a:ln>
                                <a:gradFill>
                                  <a:gsLst>
                                    <a:gs pos="50000">
                                      <a:schemeClr val="accent4"/>
                                    </a:gs>
                                    <a:gs pos="0">
                                      <a:schemeClr val="accent4">
                                        <a:lumMod val="25000"/>
                                        <a:lumOff val="75000"/>
                                      </a:schemeClr>
                                    </a:gs>
                                    <a:gs pos="100000">
                                      <a:schemeClr val="accent4">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8pt;margin-top:247pt;height:10.85pt;width:14.55pt;z-index:251670528;v-text-anchor:middle;mso-width-relative:page;mso-height-relative:page;" fillcolor="#DFD8E8 [823]" filled="t" stroked="t" coordsize="21600,21600" o:gfxdata="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xN8sXbAAAACwEAAA8AAAAA&#10;AAAAAQAgAAAAIgAAAGRycy9kb3ducmV2LnhtbFBLAQIUABQAAAAIAIdO4kBa3R3FvAIAAKoGAAAO&#10;AAAAAAAAAAEAIAAAACoBAABkcnMvZTJvRG9jLnhtbFBLBQYAAAAABgAGAFkBAABYBgAAAAA=&#10;">
                      <v:fill type="gradient" on="t" color2="#6D548B [2727]" colors="0f #DFD8E8;32768f #8064A2;65536f #6D548B" focus="100%" focussize="0,0" rotate="t"/>
                      <v:stroke weight="2pt" color="#000000" joinstyle="round"/>
                      <v:imagedata o:title=""/>
                      <o:lock v:ext="edit" aspectratio="f"/>
                    </v:rect>
                  </w:pict>
                </mc:Fallback>
              </mc:AlternateContent>
            </w:r>
            <w:r>
              <w:rPr>
                <w:color w:val="000000" w:themeColor="text1"/>
                <w:highlight w:val="yellow"/>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4192270</wp:posOffset>
                      </wp:positionH>
                      <wp:positionV relativeFrom="paragraph">
                        <wp:posOffset>3110865</wp:posOffset>
                      </wp:positionV>
                      <wp:extent cx="764540" cy="224155"/>
                      <wp:effectExtent l="0" t="0" r="16510" b="4445"/>
                      <wp:wrapNone/>
                      <wp:docPr id="21" name="文本框 21"/>
                      <wp:cNvGraphicFramePr/>
                      <a:graphic xmlns:a="http://schemas.openxmlformats.org/drawingml/2006/main">
                        <a:graphicData uri="http://schemas.microsoft.com/office/word/2010/wordprocessingShape">
                          <wps:wsp>
                            <wps:cNvSpPr txBox="1"/>
                            <wps:spPr>
                              <a:xfrm>
                                <a:off x="0" y="0"/>
                                <a:ext cx="764540" cy="224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sz w:val="18"/>
                                      <w:szCs w:val="21"/>
                                    </w:rPr>
                                    <w:t>敏感目标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1pt;margin-top:244.95pt;height:17.65pt;width:60.2pt;z-index:251668480;mso-width-relative:page;mso-height-relative:page;" fillcolor="#FFFFFF [3201]" filled="t" stroked="f" coordsize="21600,21600" o:gfxdata="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CE409cAAAALAQAADwAAAAAAAAABACAAAAAiAAAAZHJzL2Rvd25yZXYueG1s&#10;UEsBAhQAFAAAAAgAh07iQNbXnKMyAgAAQgQAAA4AAAAAAAAAAQAgAAAAJgEAAGRycy9lMm9Eb2Mu&#10;eG1sUEsFBgAAAAAGAAYAWQEAAMoFAAAAAA==&#10;">
                      <v:fill on="t" focussize="0,0"/>
                      <v:stroke on="f" weight="0.5pt"/>
                      <v:imagedata o:title=""/>
                      <o:lock v:ext="edit" aspectratio="f"/>
                      <v:textbox>
                        <w:txbxContent>
                          <w:p>
                            <w:pPr>
                              <w:rPr>
                                <w:sz w:val="18"/>
                                <w:szCs w:val="21"/>
                              </w:rPr>
                            </w:pPr>
                            <w:r>
                              <w:rPr>
                                <w:rFonts w:hint="eastAsia"/>
                                <w:sz w:val="18"/>
                                <w:szCs w:val="21"/>
                              </w:rPr>
                              <w:t>敏感目标</w:t>
                            </w:r>
                          </w:p>
                        </w:txbxContent>
                      </v:textbox>
                    </v:shape>
                  </w:pict>
                </mc:Fallback>
              </mc:AlternateContent>
            </w:r>
            <w:r>
              <w:rPr>
                <w:color w:val="000000" w:themeColor="text1"/>
                <w:highlight w:val="yellow"/>
                <w14:textFill>
                  <w14:solidFill>
                    <w14:schemeClr w14:val="tx1"/>
                  </w14:solidFill>
                </w14:textFill>
              </w:rPr>
              <w:drawing>
                <wp:anchor distT="0" distB="0" distL="114300" distR="114300" simplePos="0" relativeHeight="251666432" behindDoc="0" locked="0" layoutInCell="1" allowOverlap="1">
                  <wp:simplePos x="0" y="0"/>
                  <wp:positionH relativeFrom="column">
                    <wp:posOffset>3914140</wp:posOffset>
                  </wp:positionH>
                  <wp:positionV relativeFrom="paragraph">
                    <wp:posOffset>2540000</wp:posOffset>
                  </wp:positionV>
                  <wp:extent cx="1114425" cy="1076325"/>
                  <wp:effectExtent l="0" t="0" r="9525" b="952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a:stretch>
                            <a:fillRect/>
                          </a:stretch>
                        </pic:blipFill>
                        <pic:spPr>
                          <a:xfrm>
                            <a:off x="0" y="0"/>
                            <a:ext cx="1114425" cy="1076325"/>
                          </a:xfrm>
                          <a:prstGeom prst="rect">
                            <a:avLst/>
                          </a:prstGeom>
                          <a:noFill/>
                          <a:ln>
                            <a:noFill/>
                          </a:ln>
                        </pic:spPr>
                      </pic:pic>
                    </a:graphicData>
                  </a:graphic>
                </wp:anchor>
              </w:drawing>
            </w:r>
            <w:r>
              <w:drawing>
                <wp:inline distT="0" distB="0" distL="114300" distR="114300">
                  <wp:extent cx="4448175" cy="3597910"/>
                  <wp:effectExtent l="0" t="0" r="9525" b="889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7"/>
                          <a:stretch>
                            <a:fillRect/>
                          </a:stretch>
                        </pic:blipFill>
                        <pic:spPr>
                          <a:xfrm>
                            <a:off x="0" y="0"/>
                            <a:ext cx="4448175" cy="3597910"/>
                          </a:xfrm>
                          <a:prstGeom prst="rect">
                            <a:avLst/>
                          </a:prstGeom>
                          <a:noFill/>
                          <a:ln>
                            <a:noFill/>
                          </a:ln>
                        </pic:spPr>
                      </pic:pic>
                    </a:graphicData>
                  </a:graphic>
                </wp:inline>
              </w:drawing>
            </w:r>
          </w:p>
          <w:p>
            <w:pPr>
              <w:spacing w:line="360" w:lineRule="auto"/>
              <w:ind w:firstLine="420" w:firstLineChars="200"/>
              <w:jc w:val="center"/>
              <w:rPr>
                <w:color w:val="000000" w:themeColor="text1"/>
                <w14:textFill>
                  <w14:solidFill>
                    <w14:schemeClr w14:val="tx1"/>
                  </w14:solidFill>
                </w14:textFill>
              </w:rPr>
            </w:pPr>
            <w:r>
              <w:rPr>
                <w:sz w:val="21"/>
                <w:highlight w:val="none"/>
              </w:rPr>
              <mc:AlternateContent>
                <mc:Choice Requires="wps">
                  <w:drawing>
                    <wp:anchor distT="0" distB="0" distL="114300" distR="114300" simplePos="0" relativeHeight="251669504" behindDoc="0" locked="0" layoutInCell="1" allowOverlap="1">
                      <wp:simplePos x="0" y="0"/>
                      <wp:positionH relativeFrom="column">
                        <wp:posOffset>2305685</wp:posOffset>
                      </wp:positionH>
                      <wp:positionV relativeFrom="paragraph">
                        <wp:posOffset>3511550</wp:posOffset>
                      </wp:positionV>
                      <wp:extent cx="0" cy="0"/>
                      <wp:effectExtent l="0" t="0" r="0" b="0"/>
                      <wp:wrapNone/>
                      <wp:docPr id="48" name="直接连接符 48"/>
                      <wp:cNvGraphicFramePr/>
                      <a:graphic xmlns:a="http://schemas.openxmlformats.org/drawingml/2006/main">
                        <a:graphicData uri="http://schemas.microsoft.com/office/word/2010/wordprocessingShape">
                          <wps:wsp>
                            <wps:cNvCnPr/>
                            <wps:spPr>
                              <a:xfrm>
                                <a:off x="3533775" y="7960360"/>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1.55pt;margin-top:276.5pt;height:0pt;width:0pt;z-index:251669504;mso-width-relative:page;mso-height-relative:page;" filled="f" stroked="t" coordsize="21600,21600" o:gfxdata="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HmAJ0gAAAAsBAAAPAAAAAAAAAAEAIAAAACIAAABkcnMvZG93bnJl&#10;di54bWxQSwECFAAUAAAACACHTuJAUtQVNcoBAABVAwAADgAAAAAAAAABACAAAAAhAQAAZHJzL2Uy&#10;b0RvYy54bWxQSwUGAAAAAAYABgBZAQAAXQUAAAAA&#10;">
                      <v:fill on="f" focussize="0,0"/>
                      <v:stroke weight="2pt" color="#4F81BD [3204]" joinstyle="round"/>
                      <v:imagedata o:title=""/>
                      <o:lock v:ext="edit" aspectratio="f"/>
                    </v:line>
                  </w:pict>
                </mc:Fallback>
              </mc:AlternateContent>
            </w:r>
            <w:r>
              <w:rPr>
                <w:rFonts w:hint="eastAsia"/>
                <w:b/>
                <w:color w:val="000000" w:themeColor="text1"/>
                <w:kern w:val="0"/>
                <w:sz w:val="21"/>
                <w:szCs w:val="21"/>
                <w:highlight w:val="none"/>
                <w14:textFill>
                  <w14:solidFill>
                    <w14:schemeClr w14:val="tx1"/>
                  </w14:solidFill>
                </w14:textFill>
              </w:rPr>
              <w:t>图3-2  环境保护目标分布图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污染物排放控制标准</w:t>
            </w:r>
          </w:p>
        </w:tc>
        <w:tc>
          <w:tcPr>
            <w:tcW w:w="8694" w:type="dxa"/>
            <w:tcBorders>
              <w:tl2br w:val="nil"/>
              <w:tr2bl w:val="nil"/>
            </w:tcBorders>
          </w:tcPr>
          <w:p>
            <w:pPr>
              <w:pStyle w:val="54"/>
              <w:numPr>
                <w:ilvl w:val="0"/>
                <w:numId w:val="10"/>
              </w:numPr>
              <w:ind w:firstLine="482"/>
              <w:rPr>
                <w:b/>
                <w:bCs/>
                <w:color w:val="auto"/>
              </w:rPr>
            </w:pPr>
            <w:r>
              <w:rPr>
                <w:b/>
                <w:bCs/>
                <w:color w:val="auto"/>
              </w:rPr>
              <w:t>大气</w:t>
            </w:r>
          </w:p>
          <w:p>
            <w:pPr>
              <w:spacing w:line="360" w:lineRule="auto"/>
              <w:ind w:firstLine="480" w:firstLineChars="200"/>
              <w:rPr>
                <w:color w:val="auto"/>
              </w:rPr>
            </w:pPr>
            <w:r>
              <w:rPr>
                <w:color w:val="auto"/>
              </w:rPr>
              <w:t>施工期无组织颗粒物浓度执行《大气污染物综合排放标准》（GB16297-1996）表2中无组织颗粒物浓度限值；运营期废气执行《水泥工业大气污染物排放标准》（GB4915-2013）中</w:t>
            </w:r>
            <w:r>
              <w:rPr>
                <w:rFonts w:hint="eastAsia" w:cs="Times New Roman"/>
                <w:b w:val="0"/>
                <w:bCs/>
                <w:color w:val="auto"/>
                <w:sz w:val="24"/>
                <w:szCs w:val="24"/>
                <w:highlight w:val="none"/>
                <w:lang w:eastAsia="zh-CN"/>
              </w:rPr>
              <w:t>表2大气污染物特别排放限值及表3大气污染物无组织排放限值</w:t>
            </w:r>
            <w:r>
              <w:rPr>
                <w:rFonts w:hint="eastAsia"/>
                <w:color w:val="auto"/>
              </w:rPr>
              <w:t>，</w:t>
            </w:r>
            <w:r>
              <w:rPr>
                <w:color w:val="auto"/>
              </w:rPr>
              <w:t>详见表3-</w:t>
            </w:r>
            <w:r>
              <w:rPr>
                <w:rFonts w:hint="eastAsia"/>
                <w:color w:val="auto"/>
                <w:lang w:val="en-US" w:eastAsia="zh-CN"/>
              </w:rPr>
              <w:t>7、3-8</w:t>
            </w:r>
            <w:r>
              <w:rPr>
                <w:color w:val="auto"/>
              </w:rPr>
              <w:t>。</w:t>
            </w:r>
          </w:p>
          <w:p>
            <w:pPr>
              <w:pStyle w:val="60"/>
              <w:numPr>
                <w:ilvl w:val="0"/>
                <w:numId w:val="0"/>
              </w:numPr>
              <w:rPr>
                <w:color w:val="auto"/>
                <w:sz w:val="21"/>
                <w:szCs w:val="21"/>
              </w:rPr>
            </w:pPr>
            <w:r>
              <w:rPr>
                <w:color w:val="auto"/>
                <w:sz w:val="21"/>
                <w:szCs w:val="21"/>
              </w:rPr>
              <w:t>表3-</w:t>
            </w:r>
            <w:r>
              <w:rPr>
                <w:rFonts w:hint="eastAsia"/>
                <w:color w:val="auto"/>
                <w:sz w:val="21"/>
                <w:szCs w:val="21"/>
                <w:lang w:val="en-US" w:eastAsia="zh-CN"/>
              </w:rPr>
              <w:t>7</w:t>
            </w:r>
            <w:r>
              <w:rPr>
                <w:color w:val="auto"/>
                <w:sz w:val="21"/>
                <w:szCs w:val="21"/>
              </w:rPr>
              <w:t xml:space="preserve">  污染物</w:t>
            </w:r>
            <w:r>
              <w:rPr>
                <w:rFonts w:hint="eastAsia"/>
                <w:color w:val="auto"/>
                <w:sz w:val="21"/>
                <w:szCs w:val="21"/>
                <w:lang w:val="en-US" w:eastAsia="zh-CN"/>
              </w:rPr>
              <w:t>无组织</w:t>
            </w:r>
            <w:r>
              <w:rPr>
                <w:color w:val="auto"/>
                <w:sz w:val="21"/>
                <w:szCs w:val="21"/>
              </w:rPr>
              <w:t>排放标准值</w:t>
            </w:r>
          </w:p>
          <w:tbl>
            <w:tblPr>
              <w:tblStyle w:val="32"/>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3089"/>
              <w:gridCol w:w="3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24" w:type="dxa"/>
                  <w:vAlign w:val="center"/>
                </w:tcPr>
                <w:p>
                  <w:pPr>
                    <w:spacing w:line="240" w:lineRule="auto"/>
                    <w:jc w:val="center"/>
                    <w:rPr>
                      <w:color w:val="auto"/>
                      <w:sz w:val="21"/>
                      <w:szCs w:val="21"/>
                    </w:rPr>
                  </w:pPr>
                  <w:r>
                    <w:rPr>
                      <w:color w:val="auto"/>
                      <w:sz w:val="21"/>
                      <w:szCs w:val="21"/>
                    </w:rPr>
                    <w:t>污染物</w:t>
                  </w:r>
                </w:p>
              </w:tc>
              <w:tc>
                <w:tcPr>
                  <w:tcW w:w="3089" w:type="dxa"/>
                  <w:vAlign w:val="center"/>
                </w:tcPr>
                <w:p>
                  <w:pPr>
                    <w:spacing w:line="240" w:lineRule="auto"/>
                    <w:jc w:val="center"/>
                    <w:rPr>
                      <w:color w:val="auto"/>
                      <w:sz w:val="21"/>
                      <w:szCs w:val="21"/>
                    </w:rPr>
                  </w:pPr>
                  <w:r>
                    <w:rPr>
                      <w:color w:val="auto"/>
                      <w:sz w:val="21"/>
                      <w:szCs w:val="21"/>
                    </w:rPr>
                    <w:t>排放标准</w:t>
                  </w:r>
                </w:p>
              </w:tc>
              <w:tc>
                <w:tcPr>
                  <w:tcW w:w="3991" w:type="dxa"/>
                  <w:vAlign w:val="center"/>
                </w:tcPr>
                <w:p>
                  <w:pPr>
                    <w:spacing w:line="240" w:lineRule="auto"/>
                    <w:jc w:val="center"/>
                    <w:rPr>
                      <w:color w:val="auto"/>
                      <w:sz w:val="21"/>
                      <w:szCs w:val="21"/>
                    </w:rPr>
                  </w:pPr>
                  <w:r>
                    <w:rPr>
                      <w:color w:val="auto"/>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424" w:type="dxa"/>
                  <w:vAlign w:val="center"/>
                </w:tcPr>
                <w:p>
                  <w:pPr>
                    <w:spacing w:line="240" w:lineRule="auto"/>
                    <w:jc w:val="center"/>
                    <w:rPr>
                      <w:color w:val="auto"/>
                      <w:sz w:val="21"/>
                      <w:szCs w:val="21"/>
                    </w:rPr>
                  </w:pPr>
                  <w:r>
                    <w:rPr>
                      <w:color w:val="auto"/>
                      <w:sz w:val="21"/>
                      <w:szCs w:val="21"/>
                    </w:rPr>
                    <w:t>颗粒物</w:t>
                  </w:r>
                </w:p>
                <w:p>
                  <w:pPr>
                    <w:spacing w:line="240" w:lineRule="auto"/>
                    <w:jc w:val="center"/>
                    <w:rPr>
                      <w:color w:val="auto"/>
                      <w:sz w:val="21"/>
                      <w:szCs w:val="21"/>
                    </w:rPr>
                  </w:pPr>
                  <w:r>
                    <w:rPr>
                      <w:color w:val="auto"/>
                      <w:sz w:val="21"/>
                      <w:szCs w:val="21"/>
                    </w:rPr>
                    <w:t>（施工期）</w:t>
                  </w:r>
                </w:p>
              </w:tc>
              <w:tc>
                <w:tcPr>
                  <w:tcW w:w="3089" w:type="dxa"/>
                  <w:vAlign w:val="center"/>
                </w:tcPr>
                <w:p>
                  <w:pPr>
                    <w:spacing w:line="240" w:lineRule="auto"/>
                    <w:jc w:val="center"/>
                    <w:rPr>
                      <w:color w:val="auto"/>
                      <w:sz w:val="21"/>
                      <w:szCs w:val="21"/>
                    </w:rPr>
                  </w:pPr>
                  <w:r>
                    <w:rPr>
                      <w:bCs/>
                      <w:color w:val="auto"/>
                      <w:sz w:val="21"/>
                      <w:szCs w:val="21"/>
                    </w:rPr>
                    <w:t>《大气污染物综合排放标准》（GB16297-1996）表2中无组织颗粒物浓度限值</w:t>
                  </w:r>
                </w:p>
              </w:tc>
              <w:tc>
                <w:tcPr>
                  <w:tcW w:w="3991" w:type="dxa"/>
                  <w:vAlign w:val="center"/>
                </w:tcPr>
                <w:p>
                  <w:pPr>
                    <w:spacing w:line="240" w:lineRule="auto"/>
                    <w:jc w:val="center"/>
                    <w:rPr>
                      <w:color w:val="auto"/>
                      <w:sz w:val="21"/>
                      <w:szCs w:val="21"/>
                    </w:rPr>
                  </w:pPr>
                  <w:r>
                    <w:rPr>
                      <w:color w:val="auto"/>
                      <w:sz w:val="21"/>
                      <w:szCs w:val="21"/>
                    </w:rPr>
                    <w:t>1.0mg/m</w:t>
                  </w:r>
                  <w:r>
                    <w:rPr>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1424" w:type="dxa"/>
                  <w:vAlign w:val="center"/>
                </w:tcPr>
                <w:p>
                  <w:pPr>
                    <w:spacing w:line="240" w:lineRule="auto"/>
                    <w:jc w:val="center"/>
                    <w:rPr>
                      <w:color w:val="auto"/>
                      <w:sz w:val="21"/>
                      <w:szCs w:val="21"/>
                    </w:rPr>
                  </w:pPr>
                  <w:r>
                    <w:rPr>
                      <w:color w:val="auto"/>
                      <w:sz w:val="21"/>
                      <w:szCs w:val="21"/>
                    </w:rPr>
                    <w:t>颗粒物</w:t>
                  </w:r>
                </w:p>
                <w:p>
                  <w:pPr>
                    <w:spacing w:line="240" w:lineRule="auto"/>
                    <w:jc w:val="center"/>
                    <w:rPr>
                      <w:color w:val="auto"/>
                      <w:sz w:val="21"/>
                      <w:szCs w:val="21"/>
                    </w:rPr>
                  </w:pPr>
                  <w:r>
                    <w:rPr>
                      <w:color w:val="auto"/>
                      <w:sz w:val="21"/>
                      <w:szCs w:val="21"/>
                    </w:rPr>
                    <w:t>（运营期）</w:t>
                  </w:r>
                </w:p>
              </w:tc>
              <w:tc>
                <w:tcPr>
                  <w:tcW w:w="3089" w:type="dxa"/>
                  <w:vAlign w:val="center"/>
                </w:tcPr>
                <w:p>
                  <w:pPr>
                    <w:spacing w:line="240" w:lineRule="auto"/>
                    <w:jc w:val="center"/>
                    <w:rPr>
                      <w:color w:val="auto"/>
                      <w:sz w:val="21"/>
                      <w:szCs w:val="21"/>
                    </w:rPr>
                  </w:pPr>
                  <w:r>
                    <w:rPr>
                      <w:color w:val="auto"/>
                      <w:sz w:val="21"/>
                      <w:szCs w:val="21"/>
                    </w:rPr>
                    <w:t>《水泥工业大气污染物排放标准》（GB4915-2013）表3</w:t>
                  </w:r>
                </w:p>
              </w:tc>
              <w:tc>
                <w:tcPr>
                  <w:tcW w:w="3991" w:type="dxa"/>
                  <w:vAlign w:val="center"/>
                </w:tcPr>
                <w:p>
                  <w:pPr>
                    <w:spacing w:line="240" w:lineRule="auto"/>
                    <w:jc w:val="center"/>
                    <w:rPr>
                      <w:color w:val="auto"/>
                      <w:sz w:val="21"/>
                      <w:szCs w:val="21"/>
                    </w:rPr>
                  </w:pPr>
                  <w:r>
                    <w:rPr>
                      <w:color w:val="auto"/>
                      <w:sz w:val="21"/>
                      <w:szCs w:val="21"/>
                    </w:rPr>
                    <w:t>0.5mg/m</w:t>
                  </w:r>
                  <w:r>
                    <w:rPr>
                      <w:color w:val="auto"/>
                      <w:sz w:val="21"/>
                      <w:szCs w:val="21"/>
                      <w:vertAlign w:val="superscript"/>
                    </w:rPr>
                    <w:t>3</w:t>
                  </w:r>
                  <w:r>
                    <w:rPr>
                      <w:color w:val="auto"/>
                      <w:sz w:val="21"/>
                      <w:szCs w:val="21"/>
                    </w:rPr>
                    <w:t>（监控点与参照点总悬浮颗粒物小时浓度值的差值，厂界外20m处上风向设参照点，下风向设监控点）</w:t>
                  </w:r>
                </w:p>
              </w:tc>
            </w:tr>
          </w:tbl>
          <w:p>
            <w:pPr>
              <w:pStyle w:val="7"/>
              <w:rPr>
                <w:rFonts w:hint="default" w:ascii="Times New Roman" w:hAnsi="Times New Roman" w:eastAsia="宋体" w:cs="Times New Roman"/>
                <w:b/>
                <w:color w:val="auto"/>
                <w:kern w:val="2"/>
                <w:sz w:val="22"/>
                <w:szCs w:val="22"/>
                <w:highlight w:val="none"/>
                <w:lang w:val="en-US" w:eastAsia="zh-CN" w:bidi="ar-SA"/>
              </w:rPr>
            </w:pPr>
            <w:r>
              <w:rPr>
                <w:rFonts w:hint="default" w:ascii="Times New Roman" w:hAnsi="Times New Roman" w:eastAsia="宋体" w:cs="Times New Roman"/>
                <w:b/>
                <w:color w:val="auto"/>
                <w:kern w:val="2"/>
                <w:sz w:val="22"/>
                <w:szCs w:val="22"/>
                <w:highlight w:val="none"/>
                <w:lang w:val="en-GB" w:eastAsia="zh-CN" w:bidi="ar-SA"/>
              </w:rPr>
              <w:t>表3</w:t>
            </w:r>
            <w:r>
              <w:rPr>
                <w:rFonts w:hint="eastAsia" w:ascii="Times New Roman" w:hAnsi="Times New Roman" w:eastAsia="宋体" w:cs="Times New Roman"/>
                <w:b/>
                <w:color w:val="auto"/>
                <w:kern w:val="2"/>
                <w:sz w:val="22"/>
                <w:szCs w:val="22"/>
                <w:highlight w:val="none"/>
                <w:lang w:val="en-US" w:eastAsia="zh-CN" w:bidi="ar-SA"/>
              </w:rPr>
              <w:t>-</w:t>
            </w:r>
            <w:r>
              <w:rPr>
                <w:rFonts w:hint="eastAsia" w:cs="Times New Roman"/>
                <w:b/>
                <w:color w:val="auto"/>
                <w:kern w:val="2"/>
                <w:sz w:val="22"/>
                <w:szCs w:val="22"/>
                <w:highlight w:val="none"/>
                <w:lang w:val="en-US" w:eastAsia="zh-CN" w:bidi="ar-SA"/>
              </w:rPr>
              <w:t>8</w:t>
            </w:r>
            <w:r>
              <w:rPr>
                <w:rFonts w:hint="eastAsia" w:ascii="Times New Roman" w:hAnsi="Times New Roman" w:eastAsia="宋体" w:cs="Times New Roman"/>
                <w:b/>
                <w:color w:val="auto"/>
                <w:kern w:val="2"/>
                <w:sz w:val="22"/>
                <w:szCs w:val="22"/>
                <w:highlight w:val="none"/>
                <w:lang w:val="en-US" w:eastAsia="zh-CN" w:bidi="ar-SA"/>
              </w:rPr>
              <w:t xml:space="preserve"> 水泥工业大气污染物排放标准</w:t>
            </w:r>
            <w:r>
              <w:rPr>
                <w:rFonts w:hint="eastAsia" w:cs="Times New Roman"/>
                <w:b/>
                <w:color w:val="auto"/>
                <w:kern w:val="2"/>
                <w:sz w:val="22"/>
                <w:szCs w:val="22"/>
                <w:highlight w:val="none"/>
                <w:lang w:val="en-US" w:eastAsia="zh-CN" w:bidi="ar-SA"/>
              </w:rPr>
              <w:t>（有组织）</w:t>
            </w:r>
            <w:r>
              <w:rPr>
                <w:rFonts w:hint="eastAsia" w:ascii="Times New Roman" w:hAnsi="Times New Roman" w:eastAsia="宋体" w:cs="Times New Roman"/>
                <w:b/>
                <w:color w:val="auto"/>
                <w:kern w:val="2"/>
                <w:sz w:val="22"/>
                <w:szCs w:val="22"/>
                <w:highlight w:val="none"/>
                <w:lang w:val="en-US" w:eastAsia="zh-CN" w:bidi="ar-SA"/>
              </w:rPr>
              <w:t xml:space="preserve"> 单位：mg/m³</w:t>
            </w:r>
          </w:p>
          <w:tbl>
            <w:tblPr>
              <w:tblStyle w:val="33"/>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t>产生环节</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t>排气筒编号</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t>污染物</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t>最高允许排放浓度（mg/m</w:t>
                  </w:r>
                  <w:r>
                    <w:rPr>
                      <w:rFonts w:hint="eastAsia" w:ascii="Times New Roman" w:hAnsi="Times New Roman" w:eastAsia="宋体" w:cs="Times New Roman"/>
                      <w:b/>
                      <w:bCs w:val="0"/>
                      <w:i w:val="0"/>
                      <w:iCs w:val="0"/>
                      <w:caps w:val="0"/>
                      <w:color w:val="auto"/>
                      <w:spacing w:val="0"/>
                      <w:sz w:val="21"/>
                      <w:szCs w:val="21"/>
                      <w:highlight w:val="none"/>
                      <w:vertAlign w:val="superscript"/>
                      <w:lang w:val="en-US" w:eastAsia="zh-CN"/>
                    </w:rPr>
                    <w:t>3</w:t>
                  </w:r>
                  <w:r>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t>）</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bCs w:val="0"/>
                      <w:i w:val="0"/>
                      <w:iCs w:val="0"/>
                      <w:caps w:val="0"/>
                      <w:color w:val="auto"/>
                      <w:spacing w:val="0"/>
                      <w:sz w:val="21"/>
                      <w:szCs w:val="21"/>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700" w:type="dxa"/>
                  <w:vMerge w:val="restart"/>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搅拌工序</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DA004</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left="113" w:leftChars="0" w:right="113" w:rightChars="0"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颗粒物</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10</w:t>
                  </w:r>
                </w:p>
              </w:tc>
              <w:tc>
                <w:tcPr>
                  <w:tcW w:w="1701" w:type="dxa"/>
                  <w:vMerge w:val="restart"/>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《水泥工业大气污染物排放标准》（GB4915-2013）表2大气污染物特别排放限值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700"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c>
                <w:tcPr>
                  <w:tcW w:w="1701" w:type="dxa"/>
                  <w:tcBorders>
                    <w:tl2br w:val="nil"/>
                    <w:tr2bl w:val="nil"/>
                  </w:tcBorders>
                  <w:shd w:val="clear" w:color="auto" w:fill="auto"/>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kern w:val="2"/>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DA005</w:t>
                  </w:r>
                </w:p>
              </w:tc>
              <w:tc>
                <w:tcPr>
                  <w:tcW w:w="1701" w:type="dxa"/>
                  <w:tcBorders>
                    <w:tl2br w:val="nil"/>
                    <w:tr2bl w:val="nil"/>
                  </w:tcBorders>
                  <w:shd w:val="clear" w:color="auto" w:fill="auto"/>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kern w:val="2"/>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颗粒物</w:t>
                  </w:r>
                </w:p>
              </w:tc>
              <w:tc>
                <w:tcPr>
                  <w:tcW w:w="1701" w:type="dxa"/>
                  <w:tcBorders>
                    <w:tl2br w:val="nil"/>
                    <w:tr2bl w:val="nil"/>
                  </w:tcBorders>
                  <w:shd w:val="clear" w:color="auto" w:fill="auto"/>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snapToGrid w:val="0"/>
                      <w:color w:val="auto"/>
                      <w:spacing w:val="0"/>
                      <w:kern w:val="44"/>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10</w:t>
                  </w:r>
                </w:p>
              </w:tc>
              <w:tc>
                <w:tcPr>
                  <w:tcW w:w="1701"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jc w:val="center"/>
              </w:trPr>
              <w:tc>
                <w:tcPr>
                  <w:tcW w:w="1700" w:type="dxa"/>
                  <w:vMerge w:val="restart"/>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t>筒仓贮存</w:t>
                  </w:r>
                </w:p>
              </w:tc>
              <w:tc>
                <w:tcPr>
                  <w:tcW w:w="1701"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DA001</w:t>
                  </w:r>
                </w:p>
              </w:tc>
              <w:tc>
                <w:tcPr>
                  <w:tcW w:w="1701"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颗粒物</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10</w:t>
                  </w:r>
                </w:p>
              </w:tc>
              <w:tc>
                <w:tcPr>
                  <w:tcW w:w="1701"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1700"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c>
                <w:tcPr>
                  <w:tcW w:w="1701"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DA002</w:t>
                  </w:r>
                </w:p>
              </w:tc>
              <w:tc>
                <w:tcPr>
                  <w:tcW w:w="1701"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颗粒物</w:t>
                  </w:r>
                </w:p>
              </w:tc>
              <w:tc>
                <w:tcPr>
                  <w:tcW w:w="1701" w:type="dxa"/>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highlight w:val="none"/>
                      <w:vertAlign w:val="baseline"/>
                      <w:lang w:val="en-US" w:eastAsia="zh-CN"/>
                    </w:rPr>
                  </w:pPr>
                  <w:r>
                    <w:rPr>
                      <w:rFonts w:hint="eastAsia" w:cs="Times New Roman"/>
                      <w:b w:val="0"/>
                      <w:bCs/>
                      <w:i w:val="0"/>
                      <w:iCs w:val="0"/>
                      <w:caps w:val="0"/>
                      <w:color w:val="auto"/>
                      <w:spacing w:val="0"/>
                      <w:sz w:val="21"/>
                      <w:szCs w:val="21"/>
                      <w:highlight w:val="none"/>
                      <w:vertAlign w:val="baseline"/>
                      <w:lang w:val="en-US" w:eastAsia="zh-CN"/>
                    </w:rPr>
                    <w:t>10</w:t>
                  </w:r>
                </w:p>
              </w:tc>
              <w:tc>
                <w:tcPr>
                  <w:tcW w:w="1701"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700"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c>
                <w:tcPr>
                  <w:tcW w:w="1701" w:type="dxa"/>
                  <w:tcBorders>
                    <w:tl2br w:val="nil"/>
                    <w:tr2bl w:val="nil"/>
                  </w:tcBorders>
                  <w:shd w:val="clear" w:color="auto" w:fill="auto"/>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kern w:val="2"/>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DA003</w:t>
                  </w:r>
                </w:p>
              </w:tc>
              <w:tc>
                <w:tcPr>
                  <w:tcW w:w="1701" w:type="dxa"/>
                  <w:tcBorders>
                    <w:tl2br w:val="nil"/>
                    <w:tr2bl w:val="nil"/>
                  </w:tcBorders>
                  <w:shd w:val="clear" w:color="auto" w:fill="auto"/>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kern w:val="2"/>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颗粒物</w:t>
                  </w:r>
                </w:p>
              </w:tc>
              <w:tc>
                <w:tcPr>
                  <w:tcW w:w="1701" w:type="dxa"/>
                  <w:tcBorders>
                    <w:tl2br w:val="nil"/>
                    <w:tr2bl w:val="nil"/>
                  </w:tcBorders>
                  <w:shd w:val="clear" w:color="auto" w:fill="auto"/>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snapToGrid w:val="0"/>
                      <w:color w:val="auto"/>
                      <w:spacing w:val="0"/>
                      <w:kern w:val="44"/>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10</w:t>
                  </w:r>
                </w:p>
              </w:tc>
              <w:tc>
                <w:tcPr>
                  <w:tcW w:w="1701"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1700"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c>
                <w:tcPr>
                  <w:tcW w:w="1701" w:type="dxa"/>
                  <w:tcBorders>
                    <w:tl2br w:val="nil"/>
                    <w:tr2bl w:val="nil"/>
                  </w:tcBorders>
                  <w:shd w:val="clear" w:color="auto" w:fill="auto"/>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kern w:val="2"/>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DA006</w:t>
                  </w:r>
                </w:p>
              </w:tc>
              <w:tc>
                <w:tcPr>
                  <w:tcW w:w="1701" w:type="dxa"/>
                  <w:tcBorders>
                    <w:tl2br w:val="nil"/>
                    <w:tr2bl w:val="nil"/>
                  </w:tcBorders>
                  <w:shd w:val="clear" w:color="auto" w:fill="auto"/>
                  <w:vAlign w:val="center"/>
                </w:tcPr>
                <w:p>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kern w:val="2"/>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颗粒物</w:t>
                  </w:r>
                </w:p>
              </w:tc>
              <w:tc>
                <w:tcPr>
                  <w:tcW w:w="1701" w:type="dxa"/>
                  <w:tcBorders>
                    <w:tl2br w:val="nil"/>
                    <w:tr2bl w:val="nil"/>
                  </w:tcBorders>
                  <w:shd w:val="clear" w:color="auto" w:fill="auto"/>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snapToGrid w:val="0"/>
                      <w:color w:val="auto"/>
                      <w:spacing w:val="0"/>
                      <w:kern w:val="44"/>
                      <w:sz w:val="21"/>
                      <w:szCs w:val="21"/>
                      <w:highlight w:val="none"/>
                      <w:vertAlign w:val="baseline"/>
                      <w:lang w:val="en-US" w:eastAsia="zh-CN" w:bidi="ar-SA"/>
                    </w:rPr>
                  </w:pPr>
                  <w:r>
                    <w:rPr>
                      <w:rFonts w:hint="eastAsia" w:cs="Times New Roman"/>
                      <w:b w:val="0"/>
                      <w:bCs/>
                      <w:i w:val="0"/>
                      <w:iCs w:val="0"/>
                      <w:caps w:val="0"/>
                      <w:color w:val="auto"/>
                      <w:spacing w:val="0"/>
                      <w:sz w:val="21"/>
                      <w:szCs w:val="21"/>
                      <w:highlight w:val="none"/>
                      <w:vertAlign w:val="baseline"/>
                      <w:lang w:val="en-US" w:eastAsia="zh-CN"/>
                    </w:rPr>
                    <w:t>10</w:t>
                  </w:r>
                </w:p>
              </w:tc>
              <w:tc>
                <w:tcPr>
                  <w:tcW w:w="1701" w:type="dxa"/>
                  <w:vMerge w:val="continue"/>
                  <w:tcBorders>
                    <w:tl2br w:val="nil"/>
                    <w:tr2bl w:val="nil"/>
                  </w:tcBorders>
                  <w:vAlign w:val="center"/>
                </w:tcPr>
                <w:p>
                  <w:pPr>
                    <w:pStyle w:val="88"/>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highlight w:val="none"/>
                      <w:vertAlign w:val="baseline"/>
                      <w:lang w:val="en-US" w:eastAsia="zh-CN"/>
                    </w:rPr>
                  </w:pPr>
                </w:p>
              </w:tc>
            </w:tr>
          </w:tbl>
          <w:p>
            <w:pPr>
              <w:pStyle w:val="54"/>
              <w:numPr>
                <w:ilvl w:val="0"/>
                <w:numId w:val="10"/>
              </w:numPr>
              <w:ind w:firstLine="482"/>
              <w:rPr>
                <w:b/>
                <w:bCs/>
                <w:color w:val="auto"/>
              </w:rPr>
            </w:pPr>
            <w:r>
              <w:rPr>
                <w:b/>
                <w:bCs/>
                <w:color w:val="auto"/>
              </w:rPr>
              <w:t>噪声</w:t>
            </w:r>
          </w:p>
          <w:p>
            <w:pPr>
              <w:spacing w:line="360" w:lineRule="auto"/>
              <w:ind w:firstLine="480" w:firstLineChars="200"/>
              <w:rPr>
                <w:color w:val="auto"/>
              </w:rPr>
            </w:pPr>
            <w:r>
              <w:rPr>
                <w:color w:val="auto"/>
              </w:rPr>
              <w:t>施工期噪声执行《建筑施工噪声排放标准》(GB12523-20</w:t>
            </w:r>
            <w:r>
              <w:rPr>
                <w:rFonts w:hint="eastAsia"/>
                <w:color w:val="auto"/>
                <w:lang w:val="en-US" w:eastAsia="zh-CN"/>
              </w:rPr>
              <w:t>25</w:t>
            </w:r>
            <w:r>
              <w:rPr>
                <w:color w:val="auto"/>
              </w:rPr>
              <w:t>)。</w:t>
            </w:r>
          </w:p>
          <w:p>
            <w:pPr>
              <w:spacing w:line="360" w:lineRule="exact"/>
              <w:ind w:firstLine="48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w:t>
            </w:r>
            <w:r>
              <w:rPr>
                <w:rFonts w:hint="eastAsia" w:cs="Times New Roman"/>
                <w:b/>
                <w:color w:val="auto"/>
                <w:sz w:val="21"/>
                <w:szCs w:val="21"/>
                <w:lang w:val="en-US" w:eastAsia="zh-CN"/>
              </w:rPr>
              <w:t>9</w:t>
            </w:r>
            <w:r>
              <w:rPr>
                <w:rFonts w:hint="default" w:ascii="Times New Roman" w:hAnsi="Times New Roman" w:cs="Times New Roman"/>
                <w:b/>
                <w:color w:val="auto"/>
                <w:sz w:val="21"/>
                <w:szCs w:val="21"/>
              </w:rPr>
              <w:t xml:space="preserve">  建筑施工噪声排放标准    单位：dB(A)</w:t>
            </w:r>
          </w:p>
          <w:tbl>
            <w:tblPr>
              <w:tblStyle w:val="32"/>
              <w:tblW w:w="847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238"/>
              <w:gridCol w:w="3120"/>
              <w:gridCol w:w="312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283" w:hRule="atLeast"/>
                <w:jc w:val="center"/>
              </w:trPr>
              <w:tc>
                <w:tcPr>
                  <w:tcW w:w="2238" w:type="dxa"/>
                  <w:tcBorders>
                    <w:right w:val="single" w:color="auto" w:sz="4" w:space="0"/>
                  </w:tcBorders>
                  <w:tcMar>
                    <w:top w:w="17" w:type="dxa"/>
                    <w:left w:w="17" w:type="dxa"/>
                    <w:bottom w:w="0" w:type="dxa"/>
                    <w:right w:w="17" w:type="dxa"/>
                  </w:tcMar>
                  <w:vAlign w:val="center"/>
                </w:tcPr>
                <w:p>
                  <w:pPr>
                    <w:pStyle w:val="9"/>
                    <w:spacing w:line="300" w:lineRule="exact"/>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3120" w:type="dxa"/>
                  <w:tcBorders>
                    <w:left w:val="single" w:color="auto" w:sz="4" w:space="0"/>
                  </w:tcBorders>
                  <w:vAlign w:val="center"/>
                </w:tcPr>
                <w:p>
                  <w:pPr>
                    <w:pStyle w:val="9"/>
                    <w:spacing w:line="300" w:lineRule="exact"/>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3120" w:type="dxa"/>
                  <w:tcMar>
                    <w:top w:w="17" w:type="dxa"/>
                    <w:left w:w="17" w:type="dxa"/>
                    <w:bottom w:w="0" w:type="dxa"/>
                    <w:right w:w="17" w:type="dxa"/>
                  </w:tcMar>
                  <w:vAlign w:val="center"/>
                </w:tcPr>
                <w:p>
                  <w:pPr>
                    <w:pStyle w:val="9"/>
                    <w:spacing w:line="300" w:lineRule="exact"/>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trHeight w:val="283" w:hRule="atLeast"/>
                <w:jc w:val="center"/>
              </w:trPr>
              <w:tc>
                <w:tcPr>
                  <w:tcW w:w="2238" w:type="dxa"/>
                  <w:tcBorders>
                    <w:right w:val="single" w:color="auto" w:sz="4" w:space="0"/>
                  </w:tcBorders>
                  <w:tcMar>
                    <w:top w:w="17" w:type="dxa"/>
                    <w:left w:w="17" w:type="dxa"/>
                    <w:bottom w:w="0" w:type="dxa"/>
                    <w:right w:w="17" w:type="dxa"/>
                  </w:tcMar>
                  <w:vAlign w:val="center"/>
                </w:tcPr>
                <w:p>
                  <w:pPr>
                    <w:pStyle w:val="9"/>
                    <w:spacing w:line="3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3120" w:type="dxa"/>
                  <w:tcBorders>
                    <w:left w:val="single" w:color="auto" w:sz="4" w:space="0"/>
                  </w:tcBorders>
                  <w:vAlign w:val="center"/>
                </w:tcPr>
                <w:p>
                  <w:pPr>
                    <w:pStyle w:val="9"/>
                    <w:spacing w:line="3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3120" w:type="dxa"/>
                  <w:tcMar>
                    <w:top w:w="17" w:type="dxa"/>
                    <w:left w:w="17" w:type="dxa"/>
                    <w:bottom w:w="0" w:type="dxa"/>
                    <w:right w:w="17" w:type="dxa"/>
                  </w:tcMar>
                  <w:vAlign w:val="center"/>
                </w:tcPr>
                <w:p>
                  <w:pPr>
                    <w:pStyle w:val="9"/>
                    <w:spacing w:line="300" w:lineRule="exact"/>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pStyle w:val="90"/>
              <w:keepNext w:val="0"/>
              <w:keepLines w:val="0"/>
              <w:pageBreakBefore w:val="0"/>
              <w:widowControl w:val="0"/>
              <w:kinsoku/>
              <w:wordWrap/>
              <w:overflowPunct/>
              <w:topLinePunct w:val="0"/>
              <w:autoSpaceDE/>
              <w:autoSpaceDN/>
              <w:bidi w:val="0"/>
              <w:adjustRightInd/>
              <w:snapToGrid/>
              <w:spacing w:before="0" w:after="0" w:line="360" w:lineRule="auto"/>
              <w:ind w:firstLine="480"/>
              <w:textAlignment w:val="auto"/>
              <w:rPr>
                <w:color w:val="auto"/>
                <w:spacing w:val="0"/>
                <w:szCs w:val="28"/>
                <w:highlight w:val="none"/>
              </w:rPr>
            </w:pPr>
            <w:r>
              <w:rPr>
                <w:rFonts w:hint="eastAsia"/>
                <w:color w:val="auto"/>
                <w:spacing w:val="0"/>
                <w:highlight w:val="none"/>
              </w:rPr>
              <w:t>项目</w:t>
            </w:r>
            <w:r>
              <w:rPr>
                <w:rFonts w:hint="eastAsia"/>
                <w:color w:val="auto"/>
                <w:spacing w:val="0"/>
                <w:highlight w:val="none"/>
                <w:lang w:val="en-US" w:eastAsia="zh-CN"/>
              </w:rPr>
              <w:t>南侧</w:t>
            </w:r>
            <w:r>
              <w:rPr>
                <w:rFonts w:hint="eastAsia"/>
                <w:color w:val="auto"/>
                <w:spacing w:val="0"/>
                <w:highlight w:val="none"/>
              </w:rPr>
              <w:t>侧厂界紧</w:t>
            </w:r>
            <w:r>
              <w:rPr>
                <w:rFonts w:hint="eastAsia"/>
                <w:color w:val="auto"/>
                <w:spacing w:val="0"/>
                <w:highlight w:val="none"/>
                <w:lang w:val="en-US" w:eastAsia="zh-CN"/>
              </w:rPr>
              <w:t>恐龙大道</w:t>
            </w:r>
            <w:r>
              <w:rPr>
                <w:rFonts w:hint="eastAsia"/>
                <w:color w:val="auto"/>
                <w:spacing w:val="0"/>
                <w:highlight w:val="none"/>
              </w:rPr>
              <w:t>（</w:t>
            </w:r>
            <w:r>
              <w:rPr>
                <w:rFonts w:hint="eastAsia"/>
                <w:color w:val="auto"/>
                <w:spacing w:val="0"/>
                <w:highlight w:val="none"/>
                <w:lang w:val="en-US" w:eastAsia="zh-CN"/>
              </w:rPr>
              <w:t>城市主干路</w:t>
            </w:r>
            <w:r>
              <w:rPr>
                <w:rFonts w:hint="eastAsia"/>
                <w:color w:val="auto"/>
                <w:spacing w:val="0"/>
                <w:highlight w:val="none"/>
              </w:rPr>
              <w:t>），执行《工业企业厂界</w:t>
            </w:r>
            <w:r>
              <w:rPr>
                <w:color w:val="auto"/>
                <w:spacing w:val="0"/>
                <w:highlight w:val="none"/>
              </w:rPr>
              <w:t>环境噪声排放标准》（GB12348</w:t>
            </w:r>
            <w:r>
              <w:rPr>
                <w:color w:val="auto"/>
                <w:spacing w:val="0"/>
                <w:highlight w:val="none"/>
              </w:rPr>
              <w:sym w:font="Symbol" w:char="F02D"/>
            </w:r>
            <w:r>
              <w:rPr>
                <w:color w:val="auto"/>
                <w:spacing w:val="0"/>
                <w:highlight w:val="none"/>
              </w:rPr>
              <w:t>2008）中的4类标准</w:t>
            </w:r>
            <w:r>
              <w:rPr>
                <w:rFonts w:hint="eastAsia"/>
                <w:color w:val="auto"/>
                <w:spacing w:val="0"/>
                <w:highlight w:val="none"/>
              </w:rPr>
              <w:t>，</w:t>
            </w:r>
            <w:r>
              <w:rPr>
                <w:rFonts w:hint="eastAsia"/>
                <w:color w:val="auto"/>
                <w:spacing w:val="0"/>
                <w:highlight w:val="none"/>
                <w:lang w:val="en-US" w:eastAsia="zh-CN"/>
              </w:rPr>
              <w:t>其余</w:t>
            </w:r>
            <w:r>
              <w:rPr>
                <w:rFonts w:hint="eastAsia"/>
                <w:color w:val="auto"/>
                <w:spacing w:val="0"/>
                <w:highlight w:val="none"/>
              </w:rPr>
              <w:t>厂界噪声执行</w:t>
            </w:r>
            <w:r>
              <w:rPr>
                <w:color w:val="auto"/>
                <w:spacing w:val="0"/>
                <w:highlight w:val="none"/>
              </w:rPr>
              <w:t>《工业企业厂界环境噪声排放标准》（GB12348</w:t>
            </w:r>
            <w:r>
              <w:rPr>
                <w:color w:val="auto"/>
                <w:spacing w:val="0"/>
                <w:highlight w:val="none"/>
              </w:rPr>
              <w:sym w:font="Symbol" w:char="F02D"/>
            </w:r>
            <w:r>
              <w:rPr>
                <w:color w:val="auto"/>
                <w:spacing w:val="0"/>
                <w:highlight w:val="none"/>
              </w:rPr>
              <w:t>2008）中的2类标准；标准值见表3-</w:t>
            </w:r>
            <w:r>
              <w:rPr>
                <w:rFonts w:hint="eastAsia"/>
                <w:color w:val="auto"/>
                <w:spacing w:val="0"/>
                <w:highlight w:val="none"/>
                <w:lang w:val="en-US" w:eastAsia="zh-CN"/>
              </w:rPr>
              <w:t>10</w:t>
            </w:r>
            <w:r>
              <w:rPr>
                <w:color w:val="auto"/>
                <w:spacing w:val="0"/>
                <w:szCs w:val="28"/>
                <w:highlight w:val="none"/>
              </w:rPr>
              <w:t>。</w:t>
            </w:r>
            <w:bookmarkStart w:id="10" w:name="_Ref196743448"/>
          </w:p>
          <w:p>
            <w:pPr>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color w:val="auto"/>
                <w:sz w:val="21"/>
                <w:szCs w:val="21"/>
                <w:highlight w:val="none"/>
              </w:rPr>
            </w:pPr>
            <w:r>
              <w:rPr>
                <w:b/>
                <w:bCs/>
                <w:color w:val="auto"/>
                <w:sz w:val="21"/>
                <w:szCs w:val="21"/>
                <w:highlight w:val="none"/>
              </w:rPr>
              <w:t>表3-</w:t>
            </w:r>
            <w:r>
              <w:rPr>
                <w:rFonts w:hint="eastAsia"/>
                <w:b/>
                <w:bCs/>
                <w:color w:val="auto"/>
                <w:sz w:val="21"/>
                <w:szCs w:val="21"/>
                <w:highlight w:val="none"/>
                <w:lang w:val="en-US" w:eastAsia="zh-CN"/>
              </w:rPr>
              <w:t>10</w:t>
            </w:r>
            <w:r>
              <w:rPr>
                <w:b/>
                <w:bCs/>
                <w:color w:val="auto"/>
                <w:sz w:val="21"/>
                <w:szCs w:val="21"/>
                <w:highlight w:val="none"/>
              </w:rPr>
              <w:t xml:space="preserve">  </w:t>
            </w:r>
            <w:r>
              <w:rPr>
                <w:b/>
                <w:color w:val="auto"/>
                <w:sz w:val="21"/>
                <w:szCs w:val="21"/>
                <w:highlight w:val="none"/>
              </w:rPr>
              <w:t xml:space="preserve">工业企业厂界环境噪声排放标准     </w:t>
            </w:r>
            <w:r>
              <w:rPr>
                <w:bCs/>
                <w:color w:val="auto"/>
                <w:sz w:val="21"/>
                <w:szCs w:val="21"/>
                <w:highlight w:val="none"/>
              </w:rPr>
              <w:t xml:space="preserve"> </w:t>
            </w:r>
            <w:r>
              <w:rPr>
                <w:b/>
                <w:color w:val="auto"/>
                <w:sz w:val="21"/>
                <w:szCs w:val="21"/>
                <w:highlight w:val="none"/>
              </w:rPr>
              <w:t>单位：dB(A)</w:t>
            </w:r>
          </w:p>
          <w:tbl>
            <w:tblPr>
              <w:tblStyle w:val="32"/>
              <w:tblW w:w="84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963"/>
              <w:gridCol w:w="1204"/>
              <w:gridCol w:w="1723"/>
              <w:gridCol w:w="1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939" w:type="dxa"/>
                  <w:vMerge w:val="restart"/>
                  <w:tcBorders>
                    <w:tl2br w:val="nil"/>
                    <w:tr2bl w:val="nil"/>
                  </w:tcBorders>
                  <w:vAlign w:val="center"/>
                </w:tcPr>
                <w:p>
                  <w:pPr>
                    <w:jc w:val="center"/>
                    <w:rPr>
                      <w:b/>
                      <w:bCs/>
                      <w:color w:val="auto"/>
                      <w:sz w:val="21"/>
                      <w:szCs w:val="21"/>
                      <w:highlight w:val="none"/>
                    </w:rPr>
                  </w:pPr>
                  <w:r>
                    <w:rPr>
                      <w:b/>
                      <w:bCs/>
                      <w:color w:val="auto"/>
                      <w:sz w:val="21"/>
                      <w:szCs w:val="21"/>
                      <w:highlight w:val="none"/>
                    </w:rPr>
                    <w:t>时段</w:t>
                  </w:r>
                </w:p>
              </w:tc>
              <w:tc>
                <w:tcPr>
                  <w:tcW w:w="2963" w:type="dxa"/>
                  <w:vMerge w:val="restart"/>
                  <w:tcBorders>
                    <w:tl2br w:val="nil"/>
                    <w:tr2bl w:val="nil"/>
                  </w:tcBorders>
                  <w:vAlign w:val="center"/>
                </w:tcPr>
                <w:p>
                  <w:pPr>
                    <w:jc w:val="center"/>
                    <w:rPr>
                      <w:b/>
                      <w:bCs/>
                      <w:color w:val="auto"/>
                      <w:sz w:val="21"/>
                      <w:szCs w:val="21"/>
                      <w:highlight w:val="none"/>
                    </w:rPr>
                  </w:pPr>
                  <w:r>
                    <w:rPr>
                      <w:b/>
                      <w:bCs/>
                      <w:color w:val="auto"/>
                      <w:sz w:val="21"/>
                      <w:szCs w:val="21"/>
                      <w:highlight w:val="none"/>
                    </w:rPr>
                    <w:t>声源类型</w:t>
                  </w:r>
                </w:p>
              </w:tc>
              <w:tc>
                <w:tcPr>
                  <w:tcW w:w="1204" w:type="dxa"/>
                  <w:vMerge w:val="restart"/>
                  <w:tcBorders>
                    <w:tl2br w:val="nil"/>
                    <w:tr2bl w:val="nil"/>
                  </w:tcBorders>
                  <w:vAlign w:val="center"/>
                </w:tcPr>
                <w:p>
                  <w:pPr>
                    <w:jc w:val="center"/>
                    <w:rPr>
                      <w:b/>
                      <w:bCs/>
                      <w:color w:val="auto"/>
                      <w:sz w:val="21"/>
                      <w:szCs w:val="21"/>
                      <w:highlight w:val="none"/>
                    </w:rPr>
                  </w:pPr>
                  <w:r>
                    <w:rPr>
                      <w:b/>
                      <w:bCs/>
                      <w:color w:val="auto"/>
                      <w:sz w:val="21"/>
                      <w:szCs w:val="21"/>
                      <w:highlight w:val="none"/>
                    </w:rPr>
                    <w:t>标准类别</w:t>
                  </w:r>
                </w:p>
              </w:tc>
              <w:tc>
                <w:tcPr>
                  <w:tcW w:w="3372" w:type="dxa"/>
                  <w:gridSpan w:val="2"/>
                  <w:tcBorders>
                    <w:tl2br w:val="nil"/>
                    <w:tr2bl w:val="nil"/>
                  </w:tcBorders>
                  <w:vAlign w:val="center"/>
                </w:tcPr>
                <w:p>
                  <w:pPr>
                    <w:jc w:val="center"/>
                    <w:rPr>
                      <w:b/>
                      <w:bCs/>
                      <w:color w:val="auto"/>
                      <w:sz w:val="21"/>
                      <w:szCs w:val="21"/>
                      <w:highlight w:val="none"/>
                    </w:rPr>
                  </w:pPr>
                  <w:r>
                    <w:rPr>
                      <w:b/>
                      <w:bCs/>
                      <w:color w:val="auto"/>
                      <w:sz w:val="21"/>
                      <w:szCs w:val="21"/>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939" w:type="dxa"/>
                  <w:vMerge w:val="continue"/>
                  <w:tcBorders>
                    <w:tl2br w:val="nil"/>
                    <w:tr2bl w:val="nil"/>
                  </w:tcBorders>
                  <w:vAlign w:val="center"/>
                </w:tcPr>
                <w:p>
                  <w:pPr>
                    <w:jc w:val="center"/>
                    <w:rPr>
                      <w:b/>
                      <w:bCs/>
                      <w:color w:val="auto"/>
                      <w:sz w:val="21"/>
                      <w:szCs w:val="21"/>
                      <w:highlight w:val="none"/>
                    </w:rPr>
                  </w:pPr>
                </w:p>
              </w:tc>
              <w:tc>
                <w:tcPr>
                  <w:tcW w:w="2963" w:type="dxa"/>
                  <w:vMerge w:val="continue"/>
                  <w:tcBorders>
                    <w:tl2br w:val="nil"/>
                    <w:tr2bl w:val="nil"/>
                  </w:tcBorders>
                  <w:vAlign w:val="center"/>
                </w:tcPr>
                <w:p>
                  <w:pPr>
                    <w:jc w:val="center"/>
                    <w:rPr>
                      <w:b/>
                      <w:bCs/>
                      <w:color w:val="auto"/>
                      <w:sz w:val="21"/>
                      <w:szCs w:val="21"/>
                      <w:highlight w:val="none"/>
                    </w:rPr>
                  </w:pPr>
                </w:p>
              </w:tc>
              <w:tc>
                <w:tcPr>
                  <w:tcW w:w="1204" w:type="dxa"/>
                  <w:vMerge w:val="continue"/>
                  <w:tcBorders>
                    <w:tl2br w:val="nil"/>
                    <w:tr2bl w:val="nil"/>
                  </w:tcBorders>
                  <w:vAlign w:val="center"/>
                </w:tcPr>
                <w:p>
                  <w:pPr>
                    <w:jc w:val="center"/>
                    <w:rPr>
                      <w:b/>
                      <w:bCs/>
                      <w:color w:val="auto"/>
                      <w:sz w:val="21"/>
                      <w:szCs w:val="21"/>
                      <w:highlight w:val="none"/>
                    </w:rPr>
                  </w:pPr>
                </w:p>
              </w:tc>
              <w:tc>
                <w:tcPr>
                  <w:tcW w:w="1723" w:type="dxa"/>
                  <w:tcBorders>
                    <w:tl2br w:val="nil"/>
                    <w:tr2bl w:val="nil"/>
                  </w:tcBorders>
                  <w:vAlign w:val="center"/>
                </w:tcPr>
                <w:p>
                  <w:pPr>
                    <w:jc w:val="center"/>
                    <w:rPr>
                      <w:b/>
                      <w:bCs/>
                      <w:color w:val="auto"/>
                      <w:sz w:val="21"/>
                      <w:szCs w:val="21"/>
                      <w:highlight w:val="none"/>
                    </w:rPr>
                  </w:pPr>
                  <w:r>
                    <w:rPr>
                      <w:b/>
                      <w:bCs/>
                      <w:color w:val="auto"/>
                      <w:sz w:val="21"/>
                      <w:szCs w:val="21"/>
                      <w:highlight w:val="none"/>
                    </w:rPr>
                    <w:t>昼间</w:t>
                  </w:r>
                </w:p>
              </w:tc>
              <w:tc>
                <w:tcPr>
                  <w:tcW w:w="1649" w:type="dxa"/>
                  <w:tcBorders>
                    <w:tl2br w:val="nil"/>
                    <w:tr2bl w:val="nil"/>
                  </w:tcBorders>
                  <w:vAlign w:val="center"/>
                </w:tcPr>
                <w:p>
                  <w:pPr>
                    <w:jc w:val="center"/>
                    <w:rPr>
                      <w:b/>
                      <w:bCs/>
                      <w:color w:val="auto"/>
                      <w:sz w:val="21"/>
                      <w:szCs w:val="21"/>
                      <w:highlight w:val="none"/>
                    </w:rPr>
                  </w:pPr>
                  <w:r>
                    <w:rPr>
                      <w:b/>
                      <w:bCs/>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939" w:type="dxa"/>
                  <w:vMerge w:val="restart"/>
                  <w:tcBorders>
                    <w:tl2br w:val="nil"/>
                    <w:tr2bl w:val="nil"/>
                  </w:tcBorders>
                  <w:vAlign w:val="center"/>
                </w:tcPr>
                <w:p>
                  <w:pPr>
                    <w:jc w:val="center"/>
                    <w:rPr>
                      <w:color w:val="auto"/>
                      <w:sz w:val="21"/>
                      <w:szCs w:val="21"/>
                      <w:highlight w:val="none"/>
                    </w:rPr>
                  </w:pPr>
                  <w:r>
                    <w:rPr>
                      <w:color w:val="auto"/>
                      <w:sz w:val="21"/>
                      <w:szCs w:val="21"/>
                      <w:highlight w:val="none"/>
                    </w:rPr>
                    <w:t>运营期</w:t>
                  </w:r>
                </w:p>
              </w:tc>
              <w:tc>
                <w:tcPr>
                  <w:tcW w:w="2963" w:type="dxa"/>
                  <w:tcBorders>
                    <w:tl2br w:val="nil"/>
                    <w:tr2bl w:val="nil"/>
                  </w:tcBorders>
                  <w:vAlign w:val="center"/>
                </w:tcPr>
                <w:p>
                  <w:pPr>
                    <w:jc w:val="center"/>
                    <w:rPr>
                      <w:color w:val="auto"/>
                      <w:sz w:val="21"/>
                      <w:szCs w:val="21"/>
                      <w:highlight w:val="none"/>
                    </w:rPr>
                  </w:pPr>
                  <w:r>
                    <w:rPr>
                      <w:rFonts w:hint="eastAsia"/>
                      <w:color w:val="auto"/>
                      <w:sz w:val="21"/>
                      <w:szCs w:val="21"/>
                      <w:highlight w:val="none"/>
                    </w:rPr>
                    <w:t>西</w:t>
                  </w:r>
                  <w:r>
                    <w:rPr>
                      <w:color w:val="auto"/>
                      <w:sz w:val="21"/>
                      <w:szCs w:val="21"/>
                      <w:highlight w:val="none"/>
                    </w:rPr>
                    <w:t>侧、</w:t>
                  </w:r>
                  <w:r>
                    <w:rPr>
                      <w:rFonts w:hint="eastAsia"/>
                      <w:color w:val="auto"/>
                      <w:sz w:val="21"/>
                      <w:szCs w:val="21"/>
                      <w:highlight w:val="none"/>
                      <w:lang w:val="en-US" w:eastAsia="zh-CN"/>
                    </w:rPr>
                    <w:t>东</w:t>
                  </w:r>
                  <w:r>
                    <w:rPr>
                      <w:color w:val="auto"/>
                      <w:sz w:val="21"/>
                      <w:szCs w:val="21"/>
                      <w:highlight w:val="none"/>
                    </w:rPr>
                    <w:t>侧、</w:t>
                  </w:r>
                  <w:r>
                    <w:rPr>
                      <w:rFonts w:hint="eastAsia"/>
                      <w:color w:val="auto"/>
                      <w:sz w:val="21"/>
                      <w:szCs w:val="21"/>
                      <w:highlight w:val="none"/>
                    </w:rPr>
                    <w:t>北侧</w:t>
                  </w:r>
                  <w:r>
                    <w:rPr>
                      <w:color w:val="auto"/>
                      <w:sz w:val="21"/>
                      <w:szCs w:val="21"/>
                      <w:highlight w:val="none"/>
                    </w:rPr>
                    <w:t>厂界噪声</w:t>
                  </w:r>
                </w:p>
              </w:tc>
              <w:tc>
                <w:tcPr>
                  <w:tcW w:w="1204" w:type="dxa"/>
                  <w:tcBorders>
                    <w:tl2br w:val="nil"/>
                    <w:tr2bl w:val="nil"/>
                  </w:tcBorders>
                  <w:vAlign w:val="center"/>
                </w:tcPr>
                <w:p>
                  <w:pPr>
                    <w:jc w:val="center"/>
                    <w:rPr>
                      <w:color w:val="auto"/>
                      <w:sz w:val="21"/>
                      <w:szCs w:val="21"/>
                      <w:highlight w:val="none"/>
                    </w:rPr>
                  </w:pPr>
                  <w:r>
                    <w:rPr>
                      <w:color w:val="auto"/>
                      <w:sz w:val="21"/>
                      <w:szCs w:val="21"/>
                      <w:highlight w:val="none"/>
                    </w:rPr>
                    <w:t>2类</w:t>
                  </w:r>
                </w:p>
              </w:tc>
              <w:tc>
                <w:tcPr>
                  <w:tcW w:w="1723" w:type="dxa"/>
                  <w:tcBorders>
                    <w:tl2br w:val="nil"/>
                    <w:tr2bl w:val="nil"/>
                  </w:tcBorders>
                  <w:vAlign w:val="center"/>
                </w:tcPr>
                <w:p>
                  <w:pPr>
                    <w:jc w:val="center"/>
                    <w:rPr>
                      <w:color w:val="auto"/>
                      <w:sz w:val="21"/>
                      <w:szCs w:val="21"/>
                      <w:highlight w:val="none"/>
                    </w:rPr>
                  </w:pPr>
                  <w:r>
                    <w:rPr>
                      <w:color w:val="auto"/>
                      <w:sz w:val="21"/>
                      <w:szCs w:val="21"/>
                      <w:highlight w:val="none"/>
                    </w:rPr>
                    <w:t>60</w:t>
                  </w:r>
                </w:p>
              </w:tc>
              <w:tc>
                <w:tcPr>
                  <w:tcW w:w="1649" w:type="dxa"/>
                  <w:tcBorders>
                    <w:tl2br w:val="nil"/>
                    <w:tr2bl w:val="nil"/>
                  </w:tcBorders>
                  <w:vAlign w:val="center"/>
                </w:tcPr>
                <w:p>
                  <w:pPr>
                    <w:jc w:val="center"/>
                    <w:rPr>
                      <w:color w:val="auto"/>
                      <w:sz w:val="21"/>
                      <w:szCs w:val="21"/>
                      <w:highlight w:val="none"/>
                    </w:rPr>
                  </w:pPr>
                  <w:r>
                    <w:rPr>
                      <w:color w:val="auto"/>
                      <w:sz w:val="21"/>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939" w:type="dxa"/>
                  <w:vMerge w:val="continue"/>
                  <w:tcBorders>
                    <w:tl2br w:val="nil"/>
                    <w:tr2bl w:val="nil"/>
                  </w:tcBorders>
                  <w:vAlign w:val="center"/>
                </w:tcPr>
                <w:p>
                  <w:pPr>
                    <w:jc w:val="center"/>
                    <w:rPr>
                      <w:color w:val="auto"/>
                      <w:sz w:val="21"/>
                      <w:szCs w:val="21"/>
                      <w:highlight w:val="none"/>
                    </w:rPr>
                  </w:pPr>
                </w:p>
              </w:tc>
              <w:tc>
                <w:tcPr>
                  <w:tcW w:w="2963" w:type="dxa"/>
                  <w:tcBorders>
                    <w:tl2br w:val="nil"/>
                    <w:tr2bl w:val="nil"/>
                  </w:tcBorders>
                  <w:vAlign w:val="center"/>
                </w:tcPr>
                <w:p>
                  <w:pPr>
                    <w:jc w:val="center"/>
                    <w:rPr>
                      <w:color w:val="auto"/>
                      <w:sz w:val="21"/>
                      <w:szCs w:val="21"/>
                      <w:highlight w:val="none"/>
                    </w:rPr>
                  </w:pPr>
                  <w:r>
                    <w:rPr>
                      <w:rFonts w:hint="eastAsia"/>
                      <w:color w:val="auto"/>
                      <w:sz w:val="21"/>
                      <w:szCs w:val="21"/>
                      <w:highlight w:val="none"/>
                      <w:lang w:val="en-US" w:eastAsia="zh-CN"/>
                    </w:rPr>
                    <w:t>南侧</w:t>
                  </w:r>
                  <w:r>
                    <w:rPr>
                      <w:color w:val="auto"/>
                      <w:sz w:val="21"/>
                      <w:szCs w:val="21"/>
                      <w:highlight w:val="none"/>
                    </w:rPr>
                    <w:t>厂界噪声</w:t>
                  </w:r>
                </w:p>
              </w:tc>
              <w:tc>
                <w:tcPr>
                  <w:tcW w:w="1204" w:type="dxa"/>
                  <w:tcBorders>
                    <w:tl2br w:val="nil"/>
                    <w:tr2bl w:val="nil"/>
                  </w:tcBorders>
                  <w:vAlign w:val="center"/>
                </w:tcPr>
                <w:p>
                  <w:pPr>
                    <w:jc w:val="center"/>
                    <w:rPr>
                      <w:color w:val="auto"/>
                      <w:sz w:val="21"/>
                      <w:szCs w:val="21"/>
                      <w:highlight w:val="none"/>
                    </w:rPr>
                  </w:pPr>
                  <w:r>
                    <w:rPr>
                      <w:color w:val="auto"/>
                      <w:sz w:val="21"/>
                      <w:szCs w:val="21"/>
                      <w:highlight w:val="none"/>
                    </w:rPr>
                    <w:t>4类</w:t>
                  </w:r>
                </w:p>
              </w:tc>
              <w:tc>
                <w:tcPr>
                  <w:tcW w:w="1723" w:type="dxa"/>
                  <w:tcBorders>
                    <w:tl2br w:val="nil"/>
                    <w:tr2bl w:val="nil"/>
                  </w:tcBorders>
                  <w:vAlign w:val="center"/>
                </w:tcPr>
                <w:p>
                  <w:pPr>
                    <w:jc w:val="center"/>
                    <w:rPr>
                      <w:color w:val="auto"/>
                      <w:sz w:val="21"/>
                      <w:szCs w:val="21"/>
                      <w:highlight w:val="none"/>
                    </w:rPr>
                  </w:pPr>
                  <w:r>
                    <w:rPr>
                      <w:color w:val="auto"/>
                      <w:sz w:val="21"/>
                      <w:szCs w:val="21"/>
                      <w:highlight w:val="none"/>
                    </w:rPr>
                    <w:t>70</w:t>
                  </w:r>
                </w:p>
              </w:tc>
              <w:tc>
                <w:tcPr>
                  <w:tcW w:w="1649" w:type="dxa"/>
                  <w:tcBorders>
                    <w:tl2br w:val="nil"/>
                    <w:tr2bl w:val="nil"/>
                  </w:tcBorders>
                  <w:vAlign w:val="center"/>
                </w:tcPr>
                <w:p>
                  <w:pPr>
                    <w:jc w:val="center"/>
                    <w:rPr>
                      <w:color w:val="auto"/>
                      <w:sz w:val="21"/>
                      <w:szCs w:val="21"/>
                      <w:highlight w:val="none"/>
                    </w:rPr>
                  </w:pPr>
                  <w:r>
                    <w:rPr>
                      <w:color w:val="auto"/>
                      <w:sz w:val="21"/>
                      <w:szCs w:val="21"/>
                      <w:highlight w:val="none"/>
                    </w:rPr>
                    <w:t>55</w:t>
                  </w:r>
                </w:p>
              </w:tc>
            </w:tr>
            <w:bookmarkEnd w:id="10"/>
          </w:tbl>
          <w:p>
            <w:pPr>
              <w:pStyle w:val="54"/>
              <w:numPr>
                <w:ilvl w:val="0"/>
                <w:numId w:val="10"/>
              </w:numPr>
              <w:ind w:firstLine="482"/>
              <w:rPr>
                <w:b/>
                <w:bCs/>
                <w:color w:val="auto"/>
              </w:rPr>
            </w:pPr>
            <w:r>
              <w:rPr>
                <w:b/>
                <w:bCs/>
                <w:color w:val="auto"/>
              </w:rPr>
              <w:t>固体废物</w:t>
            </w:r>
          </w:p>
          <w:p>
            <w:pPr>
              <w:spacing w:line="360" w:lineRule="auto"/>
              <w:ind w:firstLine="480" w:firstLineChars="200"/>
              <w:rPr>
                <w:color w:val="auto"/>
              </w:rPr>
            </w:pPr>
            <w:r>
              <w:rPr>
                <w:rFonts w:hint="default" w:ascii="Times New Roman" w:hAnsi="Times New Roman" w:eastAsia="宋体" w:cs="Times New Roman"/>
                <w:bCs/>
                <w:color w:val="auto"/>
                <w:highlight w:val="none"/>
              </w:rPr>
              <w:t>一般固废的暂存和处置执行《一般工业固体废物贮存和填埋污染控制标准》（GB18599-2020）及《</w:t>
            </w:r>
            <w:r>
              <w:rPr>
                <w:rFonts w:hint="default" w:ascii="Times New Roman" w:hAnsi="Times New Roman" w:eastAsia="宋体" w:cs="Times New Roman"/>
                <w:bCs/>
                <w:color w:val="auto"/>
                <w:highlight w:val="none"/>
                <w:lang w:val="en-US" w:eastAsia="zh-CN"/>
              </w:rPr>
              <w:t>固体废物分类与代码目录</w:t>
            </w:r>
            <w:r>
              <w:rPr>
                <w:rFonts w:hint="default" w:ascii="Times New Roman" w:hAnsi="Times New Roman" w:eastAsia="宋体" w:cs="Times New Roman"/>
                <w:bCs/>
                <w:color w:val="auto"/>
                <w:highlight w:val="none"/>
              </w:rPr>
              <w:t>》</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公告2024年第4号</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要求</w:t>
            </w:r>
            <w:r>
              <w:rPr>
                <w:rFonts w:hint="default" w:ascii="Times New Roman" w:hAnsi="Times New Roman" w:eastAsia="宋体" w:cs="Times New Roman"/>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0" w:hRule="atLeast"/>
          <w:jc w:val="center"/>
        </w:trPr>
        <w:tc>
          <w:tcPr>
            <w:tcW w:w="944"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总量控制指标</w:t>
            </w:r>
          </w:p>
        </w:tc>
        <w:tc>
          <w:tcPr>
            <w:tcW w:w="8694" w:type="dxa"/>
            <w:tcBorders>
              <w:tl2br w:val="nil"/>
              <w:tr2bl w:val="nil"/>
            </w:tcBorders>
            <w:vAlign w:val="center"/>
          </w:tcPr>
          <w:p>
            <w:pPr>
              <w:spacing w:line="360" w:lineRule="auto"/>
              <w:ind w:firstLine="480" w:firstLineChars="200"/>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本项目颗粒物总量控制指标详见</w:t>
            </w:r>
            <w:r>
              <w:rPr>
                <w:rFonts w:hint="eastAsia" w:cs="Times New Roman"/>
                <w:bCs/>
                <w:color w:val="auto"/>
                <w:highlight w:val="none"/>
                <w:lang w:val="en-US" w:eastAsia="zh-CN"/>
              </w:rPr>
              <w:t>下表</w:t>
            </w:r>
            <w:r>
              <w:rPr>
                <w:rFonts w:hint="default" w:ascii="Times New Roman" w:hAnsi="Times New Roman" w:eastAsia="宋体" w:cs="Times New Roman"/>
                <w:bCs/>
                <w:color w:val="auto"/>
                <w:highlight w:val="none"/>
                <w:lang w:val="en-US" w:eastAsia="zh-CN"/>
              </w:rPr>
              <w:t>。</w:t>
            </w:r>
          </w:p>
          <w:p>
            <w:pPr>
              <w:spacing w:line="360" w:lineRule="auto"/>
              <w:ind w:firstLine="480" w:firstLineChars="200"/>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颗粒物无组织排放源暂无总量核定的具体要求，核定排放总量与预测排放总量一致。预测排放总量计算过程详见无组织污染源强计算过程，各源强年排放量为：</w:t>
            </w:r>
          </w:p>
          <w:p>
            <w:pPr>
              <w:spacing w:before="120" w:beforeLines="50"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总量控制指标表</w:t>
            </w:r>
          </w:p>
          <w:tbl>
            <w:tblPr>
              <w:tblStyle w:val="32"/>
              <w:tblW w:w="84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3120"/>
              <w:gridCol w:w="3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2238" w:type="dxa"/>
                  <w:vAlign w:val="center"/>
                </w:tcPr>
                <w:p>
                  <w:pPr>
                    <w:pStyle w:val="49"/>
                    <w:spacing w:beforeLines="0" w:afterLines="0" w:line="300" w:lineRule="exac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w:t>
                  </w:r>
                </w:p>
              </w:tc>
              <w:tc>
                <w:tcPr>
                  <w:tcW w:w="3120" w:type="dxa"/>
                  <w:vAlign w:val="center"/>
                </w:tcPr>
                <w:p>
                  <w:pPr>
                    <w:pStyle w:val="49"/>
                    <w:spacing w:beforeLines="0" w:afterLines="0" w:line="300" w:lineRule="exac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预测排放量t/a</w:t>
                  </w:r>
                </w:p>
              </w:tc>
              <w:tc>
                <w:tcPr>
                  <w:tcW w:w="3120" w:type="dxa"/>
                  <w:vAlign w:val="center"/>
                </w:tcPr>
                <w:p>
                  <w:pPr>
                    <w:pStyle w:val="49"/>
                    <w:spacing w:beforeLines="0" w:afterLines="0" w:line="300" w:lineRule="exac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核定排放量t/a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2238" w:type="dxa"/>
                  <w:vAlign w:val="center"/>
                </w:tcPr>
                <w:p>
                  <w:pPr>
                    <w:pStyle w:val="49"/>
                    <w:spacing w:beforeLines="0" w:afterLines="0" w:line="30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120" w:type="dxa"/>
                  <w:vAlign w:val="center"/>
                </w:tcPr>
                <w:p>
                  <w:pPr>
                    <w:pStyle w:val="49"/>
                    <w:spacing w:beforeLines="0" w:afterLines="0" w:line="300" w:lineRule="exac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0.101</w:t>
                  </w:r>
                </w:p>
              </w:tc>
              <w:tc>
                <w:tcPr>
                  <w:tcW w:w="3120" w:type="dxa"/>
                  <w:vAlign w:val="center"/>
                </w:tcPr>
                <w:p>
                  <w:pPr>
                    <w:pStyle w:val="49"/>
                    <w:spacing w:beforeLines="0" w:afterLines="0" w:line="300" w:lineRule="exact"/>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sz w:val="21"/>
                      <w:szCs w:val="21"/>
                      <w:highlight w:val="none"/>
                      <w:u w:val="none"/>
                      <w:lang w:val="en-US" w:eastAsia="zh-CN"/>
                    </w:rPr>
                    <w:t>0.66</w:t>
                  </w:r>
                </w:p>
              </w:tc>
            </w:tr>
          </w:tbl>
          <w:p>
            <w:pPr>
              <w:autoSpaceDE w:val="0"/>
              <w:autoSpaceDN w:val="0"/>
              <w:adjustRightInd w:val="0"/>
              <w:snapToGrid w:val="0"/>
              <w:jc w:val="center"/>
              <w:rPr>
                <w:b/>
                <w:bCs/>
                <w:kern w:val="0"/>
                <w:sz w:val="21"/>
                <w:szCs w:val="21"/>
              </w:rPr>
            </w:pPr>
            <w:r>
              <w:rPr>
                <w:b/>
                <w:bCs/>
                <w:kern w:val="0"/>
                <w:sz w:val="21"/>
                <w:szCs w:val="21"/>
              </w:rPr>
              <w:t>表3-</w:t>
            </w:r>
            <w:r>
              <w:rPr>
                <w:rFonts w:hint="eastAsia"/>
                <w:b/>
                <w:bCs/>
                <w:kern w:val="0"/>
                <w:sz w:val="21"/>
                <w:szCs w:val="21"/>
              </w:rPr>
              <w:t>1</w:t>
            </w:r>
            <w:r>
              <w:rPr>
                <w:rFonts w:hint="eastAsia"/>
                <w:b/>
                <w:bCs/>
                <w:kern w:val="0"/>
                <w:sz w:val="21"/>
                <w:szCs w:val="21"/>
                <w:lang w:val="en-US" w:eastAsia="zh-CN"/>
              </w:rPr>
              <w:t>2</w:t>
            </w:r>
            <w:r>
              <w:rPr>
                <w:b/>
                <w:bCs/>
                <w:kern w:val="0"/>
                <w:sz w:val="21"/>
                <w:szCs w:val="21"/>
              </w:rPr>
              <w:t xml:space="preserve">  项目实施前后“</w:t>
            </w:r>
            <w:r>
              <w:rPr>
                <w:rFonts w:hint="eastAsia"/>
                <w:b/>
                <w:bCs/>
                <w:kern w:val="0"/>
                <w:sz w:val="21"/>
                <w:szCs w:val="21"/>
              </w:rPr>
              <w:t>三本账</w:t>
            </w:r>
            <w:r>
              <w:rPr>
                <w:b/>
                <w:bCs/>
                <w:kern w:val="0"/>
                <w:sz w:val="21"/>
                <w:szCs w:val="21"/>
              </w:rPr>
              <w:t>”            单位：t/a</w:t>
            </w:r>
          </w:p>
          <w:tbl>
            <w:tblPr>
              <w:tblStyle w:val="32"/>
              <w:tblW w:w="847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06"/>
              <w:gridCol w:w="1167"/>
              <w:gridCol w:w="1410"/>
              <w:gridCol w:w="1226"/>
              <w:gridCol w:w="1484"/>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695" w:type="dxa"/>
                  <w:vAlign w:val="center"/>
                </w:tcPr>
                <w:p>
                  <w:pPr>
                    <w:adjustRightInd w:val="0"/>
                    <w:snapToGrid w:val="0"/>
                    <w:jc w:val="center"/>
                    <w:rPr>
                      <w:bCs/>
                      <w:color w:val="auto"/>
                      <w:sz w:val="21"/>
                      <w:szCs w:val="21"/>
                    </w:rPr>
                  </w:pPr>
                  <w:r>
                    <w:rPr>
                      <w:bCs/>
                      <w:color w:val="auto"/>
                      <w:sz w:val="21"/>
                      <w:szCs w:val="21"/>
                    </w:rPr>
                    <w:t>项目</w:t>
                  </w:r>
                </w:p>
              </w:tc>
              <w:tc>
                <w:tcPr>
                  <w:tcW w:w="1006" w:type="dxa"/>
                  <w:vAlign w:val="center"/>
                </w:tcPr>
                <w:p>
                  <w:pPr>
                    <w:adjustRightInd w:val="0"/>
                    <w:snapToGrid w:val="0"/>
                    <w:jc w:val="center"/>
                    <w:rPr>
                      <w:bCs/>
                      <w:color w:val="auto"/>
                      <w:sz w:val="21"/>
                      <w:szCs w:val="21"/>
                    </w:rPr>
                  </w:pPr>
                  <w:r>
                    <w:rPr>
                      <w:rFonts w:hint="eastAsia"/>
                      <w:bCs/>
                      <w:color w:val="auto"/>
                      <w:sz w:val="21"/>
                      <w:szCs w:val="21"/>
                    </w:rPr>
                    <w:t>污染物名称</w:t>
                  </w:r>
                </w:p>
              </w:tc>
              <w:tc>
                <w:tcPr>
                  <w:tcW w:w="1167" w:type="dxa"/>
                  <w:vAlign w:val="center"/>
                </w:tcPr>
                <w:p>
                  <w:pPr>
                    <w:adjustRightInd w:val="0"/>
                    <w:snapToGrid w:val="0"/>
                    <w:jc w:val="center"/>
                    <w:rPr>
                      <w:bCs/>
                      <w:color w:val="auto"/>
                      <w:sz w:val="21"/>
                      <w:szCs w:val="21"/>
                    </w:rPr>
                  </w:pPr>
                  <w:r>
                    <w:rPr>
                      <w:rFonts w:hint="eastAsia"/>
                      <w:bCs/>
                      <w:color w:val="auto"/>
                      <w:sz w:val="21"/>
                      <w:szCs w:val="21"/>
                    </w:rPr>
                    <w:t>现有工程排放量</w:t>
                  </w:r>
                </w:p>
              </w:tc>
              <w:tc>
                <w:tcPr>
                  <w:tcW w:w="1410" w:type="dxa"/>
                  <w:vAlign w:val="center"/>
                </w:tcPr>
                <w:p>
                  <w:pPr>
                    <w:adjustRightInd w:val="0"/>
                    <w:snapToGrid w:val="0"/>
                    <w:jc w:val="center"/>
                    <w:rPr>
                      <w:bCs/>
                      <w:color w:val="auto"/>
                      <w:sz w:val="21"/>
                      <w:szCs w:val="21"/>
                    </w:rPr>
                  </w:pPr>
                  <w:r>
                    <w:rPr>
                      <w:rFonts w:hint="eastAsia"/>
                      <w:bCs/>
                      <w:color w:val="auto"/>
                      <w:sz w:val="21"/>
                      <w:szCs w:val="21"/>
                    </w:rPr>
                    <w:t>以新带老削减量</w:t>
                  </w:r>
                </w:p>
              </w:tc>
              <w:tc>
                <w:tcPr>
                  <w:tcW w:w="1226" w:type="dxa"/>
                  <w:vAlign w:val="center"/>
                </w:tcPr>
                <w:p>
                  <w:pPr>
                    <w:adjustRightInd w:val="0"/>
                    <w:snapToGrid w:val="0"/>
                    <w:jc w:val="center"/>
                    <w:rPr>
                      <w:bCs/>
                      <w:color w:val="auto"/>
                      <w:sz w:val="21"/>
                      <w:szCs w:val="21"/>
                    </w:rPr>
                  </w:pPr>
                  <w:r>
                    <w:rPr>
                      <w:rFonts w:hint="eastAsia"/>
                      <w:bCs/>
                      <w:color w:val="auto"/>
                      <w:sz w:val="21"/>
                      <w:szCs w:val="21"/>
                    </w:rPr>
                    <w:t>拟建工程排放量</w:t>
                  </w:r>
                </w:p>
              </w:tc>
              <w:tc>
                <w:tcPr>
                  <w:tcW w:w="1484" w:type="dxa"/>
                  <w:vAlign w:val="center"/>
                </w:tcPr>
                <w:p>
                  <w:pPr>
                    <w:adjustRightInd w:val="0"/>
                    <w:snapToGrid w:val="0"/>
                    <w:jc w:val="center"/>
                    <w:rPr>
                      <w:bCs/>
                      <w:color w:val="auto"/>
                      <w:sz w:val="21"/>
                      <w:szCs w:val="21"/>
                    </w:rPr>
                  </w:pPr>
                  <w:r>
                    <w:rPr>
                      <w:rFonts w:hint="eastAsia"/>
                      <w:bCs/>
                      <w:color w:val="auto"/>
                      <w:sz w:val="21"/>
                      <w:szCs w:val="21"/>
                      <w:lang w:val="en-US" w:eastAsia="zh-CN"/>
                    </w:rPr>
                    <w:t>建成后</w:t>
                  </w:r>
                  <w:r>
                    <w:rPr>
                      <w:rFonts w:hint="eastAsia"/>
                      <w:bCs/>
                      <w:color w:val="auto"/>
                      <w:sz w:val="21"/>
                      <w:szCs w:val="21"/>
                    </w:rPr>
                    <w:t>全厂排放量</w:t>
                  </w:r>
                </w:p>
              </w:tc>
              <w:tc>
                <w:tcPr>
                  <w:tcW w:w="1485" w:type="dxa"/>
                  <w:vAlign w:val="center"/>
                </w:tcPr>
                <w:p>
                  <w:pPr>
                    <w:adjustRightInd w:val="0"/>
                    <w:snapToGrid w:val="0"/>
                    <w:jc w:val="center"/>
                    <w:rPr>
                      <w:bCs/>
                      <w:color w:val="auto"/>
                      <w:sz w:val="21"/>
                      <w:szCs w:val="21"/>
                    </w:rPr>
                  </w:pPr>
                  <w:r>
                    <w:rPr>
                      <w:rFonts w:hint="eastAsia"/>
                      <w:bCs/>
                      <w:color w:val="auto"/>
                      <w:sz w:val="21"/>
                      <w:szCs w:val="21"/>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2" w:hRule="atLeast"/>
                <w:jc w:val="center"/>
              </w:trPr>
              <w:tc>
                <w:tcPr>
                  <w:tcW w:w="695" w:type="dxa"/>
                  <w:vAlign w:val="center"/>
                </w:tcPr>
                <w:p>
                  <w:pPr>
                    <w:adjustRightInd w:val="0"/>
                    <w:snapToGrid w:val="0"/>
                    <w:jc w:val="center"/>
                    <w:rPr>
                      <w:bCs/>
                      <w:color w:val="auto"/>
                      <w:sz w:val="21"/>
                      <w:szCs w:val="21"/>
                    </w:rPr>
                  </w:pPr>
                  <w:r>
                    <w:rPr>
                      <w:bCs/>
                      <w:color w:val="auto"/>
                      <w:sz w:val="21"/>
                      <w:szCs w:val="21"/>
                    </w:rPr>
                    <w:t>废气</w:t>
                  </w:r>
                </w:p>
              </w:tc>
              <w:tc>
                <w:tcPr>
                  <w:tcW w:w="1006" w:type="dxa"/>
                  <w:vAlign w:val="center"/>
                </w:tcPr>
                <w:p>
                  <w:pPr>
                    <w:adjustRightInd w:val="0"/>
                    <w:snapToGrid w:val="0"/>
                    <w:jc w:val="center"/>
                    <w:rPr>
                      <w:bCs/>
                      <w:color w:val="auto"/>
                      <w:sz w:val="21"/>
                      <w:szCs w:val="21"/>
                    </w:rPr>
                  </w:pPr>
                  <w:r>
                    <w:rPr>
                      <w:bCs/>
                      <w:color w:val="auto"/>
                      <w:sz w:val="21"/>
                      <w:szCs w:val="21"/>
                    </w:rPr>
                    <w:t>颗粒物</w:t>
                  </w:r>
                </w:p>
              </w:tc>
              <w:tc>
                <w:tcPr>
                  <w:tcW w:w="1167" w:type="dxa"/>
                  <w:shd w:val="clear" w:color="auto" w:fill="auto"/>
                  <w:vAlign w:val="center"/>
                </w:tcPr>
                <w:p>
                  <w:pPr>
                    <w:pStyle w:val="49"/>
                    <w:spacing w:beforeLines="0" w:afterLines="0" w:line="240" w:lineRule="auto"/>
                    <w:jc w:val="center"/>
                    <w:rPr>
                      <w:rFonts w:hint="default" w:ascii="Times New Roman" w:eastAsiaTheme="minorEastAsia"/>
                      <w:snapToGrid w:val="0"/>
                      <w:color w:val="auto"/>
                      <w:kern w:val="21"/>
                      <w:sz w:val="21"/>
                      <w:szCs w:val="21"/>
                      <w:lang w:val="en-US" w:eastAsia="zh-CN"/>
                    </w:rPr>
                  </w:pPr>
                  <w:r>
                    <w:rPr>
                      <w:rFonts w:hint="eastAsia" w:ascii="Times New Roman"/>
                      <w:snapToGrid w:val="0"/>
                      <w:color w:val="auto"/>
                      <w:kern w:val="21"/>
                      <w:sz w:val="21"/>
                      <w:szCs w:val="21"/>
                      <w:lang w:val="en-US" w:eastAsia="zh-CN"/>
                    </w:rPr>
                    <w:t>0.071</w:t>
                  </w:r>
                </w:p>
              </w:tc>
              <w:tc>
                <w:tcPr>
                  <w:tcW w:w="1410" w:type="dxa"/>
                  <w:shd w:val="clear" w:color="auto" w:fill="auto"/>
                  <w:vAlign w:val="center"/>
                </w:tcPr>
                <w:p>
                  <w:pPr>
                    <w:pStyle w:val="49"/>
                    <w:spacing w:beforeLines="0" w:afterLines="0" w:line="240" w:lineRule="auto"/>
                    <w:jc w:val="center"/>
                    <w:rPr>
                      <w:rFonts w:hint="eastAsia" w:ascii="Times New Roman" w:eastAsiaTheme="minorEastAsia"/>
                      <w:snapToGrid w:val="0"/>
                      <w:color w:val="auto"/>
                      <w:kern w:val="21"/>
                      <w:sz w:val="21"/>
                      <w:szCs w:val="21"/>
                      <w:lang w:eastAsia="zh-CN"/>
                    </w:rPr>
                  </w:pPr>
                  <w:r>
                    <w:rPr>
                      <w:rFonts w:hint="eastAsia" w:ascii="Times New Roman"/>
                      <w:snapToGrid w:val="0"/>
                      <w:color w:val="auto"/>
                      <w:kern w:val="21"/>
                      <w:sz w:val="21"/>
                      <w:szCs w:val="21"/>
                      <w:lang w:val="en-US" w:eastAsia="zh-CN"/>
                    </w:rPr>
                    <w:t>0</w:t>
                  </w:r>
                </w:p>
              </w:tc>
              <w:tc>
                <w:tcPr>
                  <w:tcW w:w="1226" w:type="dxa"/>
                  <w:shd w:val="clear" w:color="auto" w:fill="auto"/>
                  <w:vAlign w:val="center"/>
                </w:tcPr>
                <w:p>
                  <w:pPr>
                    <w:widowControl/>
                    <w:jc w:val="center"/>
                    <w:textAlignment w:val="center"/>
                    <w:rPr>
                      <w:rFonts w:hint="default" w:eastAsia="宋体"/>
                      <w:snapToGrid w:val="0"/>
                      <w:color w:val="auto"/>
                      <w:kern w:val="21"/>
                      <w:sz w:val="21"/>
                      <w:szCs w:val="21"/>
                      <w:lang w:val="en-US" w:eastAsia="zh-CN"/>
                    </w:rPr>
                  </w:pPr>
                  <w:r>
                    <w:rPr>
                      <w:rFonts w:hint="eastAsia"/>
                      <w:color w:val="auto"/>
                      <w:kern w:val="0"/>
                      <w:sz w:val="21"/>
                      <w:szCs w:val="21"/>
                      <w:lang w:val="en-US" w:eastAsia="zh-CN" w:bidi="ar"/>
                    </w:rPr>
                    <w:t>0.101</w:t>
                  </w:r>
                </w:p>
              </w:tc>
              <w:tc>
                <w:tcPr>
                  <w:tcW w:w="1484" w:type="dxa"/>
                  <w:shd w:val="clear" w:color="auto" w:fill="auto"/>
                  <w:vAlign w:val="center"/>
                </w:tcPr>
                <w:p>
                  <w:pPr>
                    <w:widowControl/>
                    <w:jc w:val="center"/>
                    <w:textAlignment w:val="center"/>
                    <w:rPr>
                      <w:rFonts w:hint="default"/>
                      <w:snapToGrid w:val="0"/>
                      <w:color w:val="auto"/>
                      <w:kern w:val="21"/>
                      <w:sz w:val="21"/>
                      <w:szCs w:val="21"/>
                      <w:lang w:val="en-US"/>
                    </w:rPr>
                  </w:pPr>
                  <w:r>
                    <w:rPr>
                      <w:rFonts w:hint="eastAsia"/>
                      <w:color w:val="auto"/>
                      <w:kern w:val="0"/>
                      <w:sz w:val="21"/>
                      <w:szCs w:val="21"/>
                      <w:lang w:val="en-US" w:eastAsia="zh-CN" w:bidi="ar"/>
                    </w:rPr>
                    <w:t>0.172</w:t>
                  </w:r>
                </w:p>
              </w:tc>
              <w:tc>
                <w:tcPr>
                  <w:tcW w:w="1485" w:type="dxa"/>
                  <w:shd w:val="clear" w:color="auto" w:fill="auto"/>
                  <w:vAlign w:val="center"/>
                </w:tcPr>
                <w:p>
                  <w:pPr>
                    <w:pStyle w:val="49"/>
                    <w:spacing w:beforeLines="0" w:afterLines="0" w:line="240" w:lineRule="auto"/>
                    <w:jc w:val="center"/>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+0.101</w:t>
                  </w:r>
                </w:p>
              </w:tc>
            </w:tr>
          </w:tbl>
          <w:p>
            <w:pPr>
              <w:spacing w:line="360" w:lineRule="auto"/>
              <w:ind w:firstLine="480" w:firstLineChars="200"/>
              <w:rPr>
                <w:color w:val="auto"/>
              </w:rPr>
            </w:pPr>
          </w:p>
        </w:tc>
      </w:tr>
    </w:tbl>
    <w:p>
      <w:pPr>
        <w:rPr>
          <w:color w:val="000000" w:themeColor="text1"/>
          <w14:textFill>
            <w14:solidFill>
              <w14:schemeClr w14:val="tx1"/>
            </w14:solidFill>
          </w14:textFill>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ind w:left="240" w:firstLine="600"/>
        <w:jc w:val="center"/>
        <w:outlineLvl w:val="0"/>
        <w:rPr>
          <w:rFonts w:eastAsia="黑体"/>
          <w:color w:val="000000" w:themeColor="text1"/>
          <w:sz w:val="30"/>
          <w:szCs w:val="30"/>
          <w14:textFill>
            <w14:solidFill>
              <w14:schemeClr w14:val="tx1"/>
            </w14:solidFill>
          </w14:textFill>
        </w:rPr>
      </w:pPr>
      <w:bookmarkStart w:id="11" w:name="_Toc21883"/>
      <w:r>
        <w:rPr>
          <w:rFonts w:eastAsia="黑体"/>
          <w:color w:val="000000" w:themeColor="text1"/>
          <w:sz w:val="30"/>
          <w:szCs w:val="30"/>
          <w14:textFill>
            <w14:solidFill>
              <w14:schemeClr w14:val="tx1"/>
            </w14:solidFill>
          </w14:textFill>
        </w:rPr>
        <w:t>四、主要环境影响和保护措施</w:t>
      </w:r>
      <w:bookmarkEnd w:id="11"/>
    </w:p>
    <w:tbl>
      <w:tblPr>
        <w:tblStyle w:val="33"/>
        <w:tblW w:w="96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9"/>
        <w:gridCol w:w="88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006" w:hRule="atLeast"/>
          <w:jc w:val="center"/>
        </w:trPr>
        <w:tc>
          <w:tcPr>
            <w:tcW w:w="74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施工期环境保护措施</w:t>
            </w:r>
          </w:p>
        </w:tc>
        <w:tc>
          <w:tcPr>
            <w:tcW w:w="8889" w:type="dxa"/>
            <w:tcBorders>
              <w:tl2br w:val="nil"/>
              <w:tr2bl w:val="nil"/>
            </w:tcBorders>
            <w:vAlign w:val="center"/>
          </w:tcPr>
          <w:p>
            <w:pPr>
              <w:spacing w:line="360" w:lineRule="auto"/>
              <w:ind w:firstLine="482" w:firstLineChars="200"/>
              <w:textAlignment w:val="center"/>
              <w:rPr>
                <w:rFonts w:hint="default" w:ascii="Times New Roman" w:hAnsi="Times New Roman" w:eastAsia="宋体" w:cs="Times New Roman"/>
                <w:b/>
                <w:color w:val="auto"/>
                <w:highlight w:val="none"/>
              </w:rPr>
            </w:pPr>
            <w:r>
              <w:rPr>
                <w:rFonts w:hint="eastAsia" w:cs="Times New Roman"/>
                <w:b/>
                <w:color w:val="auto"/>
                <w:highlight w:val="none"/>
                <w:lang w:eastAsia="zh-CN"/>
              </w:rPr>
              <w:t>1.</w:t>
            </w:r>
            <w:r>
              <w:rPr>
                <w:rFonts w:hint="default" w:ascii="Times New Roman" w:hAnsi="Times New Roman" w:eastAsia="宋体" w:cs="Times New Roman"/>
                <w:b/>
                <w:color w:val="auto"/>
                <w:highlight w:val="none"/>
              </w:rPr>
              <w:t>水环境</w:t>
            </w:r>
          </w:p>
          <w:p>
            <w:pPr>
              <w:spacing w:line="360" w:lineRule="auto"/>
              <w:ind w:firstLine="480" w:firstLineChars="200"/>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施工期生产废水经沉淀池沉降处理后全部循环使用，施工现场的生产废水不对外排放；施工期生活污水</w:t>
            </w:r>
            <w:r>
              <w:rPr>
                <w:rFonts w:hint="default" w:ascii="Times New Roman" w:hAnsi="Times New Roman" w:eastAsia="宋体" w:cs="Times New Roman"/>
                <w:bCs/>
                <w:color w:val="auto"/>
                <w:highlight w:val="none"/>
              </w:rPr>
              <w:t>排入防渗</w:t>
            </w:r>
            <w:r>
              <w:rPr>
                <w:rFonts w:hint="eastAsia" w:cs="Times New Roman"/>
                <w:bCs/>
                <w:color w:val="auto"/>
                <w:highlight w:val="none"/>
                <w:lang w:eastAsia="zh-CN"/>
              </w:rPr>
              <w:t>旱厕</w:t>
            </w:r>
            <w:r>
              <w:rPr>
                <w:rFonts w:hint="default" w:ascii="Times New Roman" w:hAnsi="Times New Roman" w:eastAsia="宋体" w:cs="Times New Roman"/>
                <w:bCs/>
                <w:color w:val="auto"/>
                <w:highlight w:val="none"/>
              </w:rPr>
              <w:t>，定期清掏，外运堆肥</w:t>
            </w:r>
            <w:r>
              <w:rPr>
                <w:rFonts w:hint="default" w:ascii="Times New Roman" w:hAnsi="Times New Roman" w:eastAsia="宋体" w:cs="Times New Roman"/>
                <w:color w:val="auto"/>
                <w:highlight w:val="none"/>
              </w:rPr>
              <w:t>。经过这些措施，本项目施工期对周围水环境不会产生明显的影响。</w:t>
            </w:r>
          </w:p>
          <w:p>
            <w:pPr>
              <w:spacing w:line="360" w:lineRule="auto"/>
              <w:ind w:firstLine="482" w:firstLineChars="200"/>
              <w:textAlignment w:val="center"/>
              <w:rPr>
                <w:rFonts w:hint="default" w:ascii="Times New Roman" w:hAnsi="Times New Roman" w:eastAsia="宋体" w:cs="Times New Roman"/>
                <w:b/>
                <w:color w:val="auto"/>
                <w:highlight w:val="none"/>
              </w:rPr>
            </w:pPr>
            <w:r>
              <w:rPr>
                <w:rFonts w:hint="eastAsia" w:cs="Times New Roman"/>
                <w:b/>
                <w:color w:val="auto"/>
                <w:highlight w:val="none"/>
                <w:lang w:eastAsia="zh-CN"/>
              </w:rPr>
              <w:t>2.</w:t>
            </w:r>
            <w:r>
              <w:rPr>
                <w:rFonts w:hint="default" w:ascii="Times New Roman" w:hAnsi="Times New Roman" w:eastAsia="宋体" w:cs="Times New Roman"/>
                <w:b/>
                <w:color w:val="auto"/>
                <w:highlight w:val="none"/>
              </w:rPr>
              <w:t>大气环境</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本项目施工过程中产生的大气污染物主要为拌合站建设的施工扬尘与施工机械产生的扬尘。</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拟建工程施工期所产生的主要大气污染源为粉尘、扬尘（颗粒物），主要包括土方挖掘，现场对土方堆存期间造成的扬尘，车辆运输造成的道路扬尘。运输车辆产生的尾气和扬尘，建议采取如下措施：</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①运输车辆尾气：加强往返于施工区车辆的管理和维修，使用有害物质量少的优质燃料，以减少尾气排放污染大气。</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②运输车辆扬尘：采取道路定期清理清扫，洒水降尘（该措施依据季节选择性使用），以避免扬尘。</w:t>
            </w:r>
          </w:p>
          <w:p>
            <w:pPr>
              <w:pStyle w:val="10"/>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采取以上措施后，运输车辆产生的尾气和扬尘满足《大气污染物综合排放标准》（GB16297-1996）表2无组织排放限值要求。</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土方挖掘、堆放会产生一定量的扬尘，</w:t>
            </w:r>
            <w:r>
              <w:rPr>
                <w:rFonts w:hint="eastAsia" w:cs="Times New Roman"/>
                <w:color w:val="auto"/>
                <w:highlight w:val="none"/>
                <w:lang w:eastAsia="zh-CN"/>
              </w:rPr>
              <w:t>如果</w:t>
            </w:r>
            <w:r>
              <w:rPr>
                <w:rFonts w:hint="default" w:ascii="Times New Roman" w:hAnsi="Times New Roman" w:eastAsia="宋体" w:cs="Times New Roman"/>
                <w:color w:val="auto"/>
                <w:highlight w:val="none"/>
              </w:rPr>
              <w:t>存放遇到大风天气，将会使扬尘量大量增加。建议采取以下措施：</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①应保持土方临时堆放处四周设置围挡，并定期清扫。</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②对易起尘施工材料实行遮挡或加盖苫布。</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土方及施工材料的堆放是暂时的，伴随施工期结束，该影响会消除。项目弃土场设置围挡，降低扬尘对周围环境空气的影响。土方挖掘、堆放产生的扬尘满足《大气污染物综合排放标准》（GB16297-1996）表2无组织排放限值要求。由于施工期较短，施工期间产生的环境空气污染物将随着施工的结束而消失，因此在严格执行本报告所提出的污染防治措施的前提下，施工扬尘及粉尘的影响较小。</w:t>
            </w:r>
          </w:p>
          <w:p>
            <w:pPr>
              <w:spacing w:line="360" w:lineRule="auto"/>
              <w:ind w:firstLine="482" w:firstLineChars="200"/>
              <w:textAlignment w:val="center"/>
              <w:rPr>
                <w:rFonts w:hint="default" w:ascii="Times New Roman" w:hAnsi="Times New Roman" w:eastAsia="宋体" w:cs="Times New Roman"/>
                <w:b/>
                <w:color w:val="auto"/>
                <w:highlight w:val="none"/>
              </w:rPr>
            </w:pPr>
            <w:r>
              <w:rPr>
                <w:rFonts w:hint="eastAsia" w:cs="Times New Roman"/>
                <w:b/>
                <w:color w:val="auto"/>
                <w:highlight w:val="none"/>
                <w:lang w:eastAsia="zh-CN"/>
              </w:rPr>
              <w:t>3.</w:t>
            </w:r>
            <w:r>
              <w:rPr>
                <w:rFonts w:hint="default" w:ascii="Times New Roman" w:hAnsi="Times New Roman" w:eastAsia="宋体" w:cs="Times New Roman"/>
                <w:b/>
                <w:color w:val="auto"/>
                <w:highlight w:val="none"/>
              </w:rPr>
              <w:t>声环境</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本项目施工过程中产生的噪声主要包括施工机械噪声、运输车辆噪声以及土建施工噪声。本项目施工期产生的噪声主要为挖掘机、水平定向钻机等的施工机械噪声以及运输车辆产生的噪声，其声压级约在72dB</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A</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～85dB（A）范围内。</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根据本项目的特点，拟采取以下措施防止噪声对外环境的影响：</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①合理安排施工作业时间</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在保证施工进度的前提下，合理安排作业时间，夜间不施工。</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②合理选择施工机械设备</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施工过程中，施工单位必须选择符合国家有关标准的施工机械及运输车辆，尽量选用低噪</w:t>
            </w:r>
            <w:r>
              <w:rPr>
                <w:rFonts w:hint="eastAsia" w:cs="Times New Roman"/>
                <w:bCs/>
                <w:color w:val="auto"/>
                <w:highlight w:val="none"/>
                <w:lang w:val="en-US" w:eastAsia="zh-CN"/>
              </w:rPr>
              <w:t>声</w:t>
            </w:r>
            <w:r>
              <w:rPr>
                <w:rFonts w:hint="default" w:ascii="Times New Roman" w:hAnsi="Times New Roman" w:eastAsia="宋体" w:cs="Times New Roman"/>
                <w:bCs/>
                <w:color w:val="auto"/>
                <w:highlight w:val="none"/>
              </w:rPr>
              <w:t>、低振动的各类施工机械设备，注意维修养护及正确使用，使之保持较好工作状态和低声级水平；对排放高强度</w:t>
            </w:r>
            <w:r>
              <w:rPr>
                <w:rFonts w:hint="eastAsia" w:cs="Times New Roman"/>
                <w:bCs/>
                <w:color w:val="auto"/>
                <w:highlight w:val="none"/>
                <w:lang w:eastAsia="zh-CN"/>
              </w:rPr>
              <w:t>噪声</w:t>
            </w:r>
            <w:r>
              <w:rPr>
                <w:rFonts w:hint="default" w:ascii="Times New Roman" w:hAnsi="Times New Roman" w:eastAsia="宋体" w:cs="Times New Roman"/>
                <w:bCs/>
                <w:color w:val="auto"/>
                <w:highlight w:val="none"/>
              </w:rPr>
              <w:t>的施工机械设备应设置隔声或消音装置，减少对环境的影响。</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③加强施工管理</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运输车辆在行经居民区时，应严格执行限速行驶，并禁止鸣笛，以减少噪声对周围环境的危害。</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综上所述，采用以上措施后施工噪声满足</w:t>
            </w:r>
            <w:r>
              <w:rPr>
                <w:rFonts w:hint="default" w:ascii="Times New Roman" w:hAnsi="Times New Roman" w:eastAsia="宋体" w:cs="Times New Roman"/>
                <w:bCs/>
                <w:color w:val="auto"/>
                <w:highlight w:val="none"/>
                <w:lang w:eastAsia="zh-CN"/>
              </w:rPr>
              <w:t>《建筑施工噪声排放标准》（GB12523-2025）</w:t>
            </w:r>
            <w:r>
              <w:rPr>
                <w:rFonts w:hint="default" w:ascii="Times New Roman" w:hAnsi="Times New Roman" w:eastAsia="宋体" w:cs="Times New Roman"/>
                <w:bCs/>
                <w:color w:val="auto"/>
                <w:highlight w:val="none"/>
              </w:rPr>
              <w:t>限值要求。</w:t>
            </w:r>
          </w:p>
          <w:p>
            <w:pPr>
              <w:pStyle w:val="91"/>
              <w:spacing w:line="360" w:lineRule="auto"/>
              <w:ind w:firstLine="480"/>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由于施工期较短，本项目产生的噪声对声环境影响较小。</w:t>
            </w:r>
          </w:p>
          <w:p>
            <w:pPr>
              <w:pStyle w:val="91"/>
              <w:spacing w:line="360" w:lineRule="auto"/>
              <w:ind w:firstLine="482"/>
              <w:textAlignment w:val="center"/>
              <w:rPr>
                <w:rFonts w:hint="default" w:ascii="Times New Roman" w:hAnsi="Times New Roman" w:eastAsia="宋体" w:cs="Times New Roman"/>
                <w:b/>
                <w:color w:val="auto"/>
                <w:highlight w:val="none"/>
              </w:rPr>
            </w:pPr>
            <w:r>
              <w:rPr>
                <w:rFonts w:hint="eastAsia" w:cs="Times New Roman"/>
                <w:b/>
                <w:color w:val="auto"/>
                <w:highlight w:val="none"/>
                <w:lang w:eastAsia="zh-CN"/>
              </w:rPr>
              <w:t>4.</w:t>
            </w:r>
            <w:r>
              <w:rPr>
                <w:rFonts w:hint="default" w:ascii="Times New Roman" w:hAnsi="Times New Roman" w:eastAsia="宋体" w:cs="Times New Roman"/>
                <w:b/>
                <w:color w:val="auto"/>
                <w:highlight w:val="none"/>
              </w:rPr>
              <w:t>固体废物</w:t>
            </w:r>
          </w:p>
          <w:p>
            <w:pPr>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本项目施工期固体废物污染主要为施工人员的生活垃圾与施工过程中产生的废弃建筑材料。本项目施工人员产生的生活垃圾由市政部门统一清运处置</w:t>
            </w:r>
            <w:r>
              <w:rPr>
                <w:rFonts w:hint="eastAsia" w:cs="Times New Roman"/>
                <w:color w:val="auto"/>
                <w:highlight w:val="none"/>
                <w:lang w:eastAsia="zh-CN"/>
              </w:rPr>
              <w:t>，</w:t>
            </w:r>
            <w:r>
              <w:rPr>
                <w:rFonts w:hint="default" w:ascii="Times New Roman" w:hAnsi="Times New Roman" w:eastAsia="宋体" w:cs="Times New Roman"/>
                <w:color w:val="auto"/>
                <w:highlight w:val="none"/>
              </w:rPr>
              <w:t>产生的废弃建筑材料</w:t>
            </w:r>
            <w:r>
              <w:rPr>
                <w:rFonts w:hint="eastAsia" w:cs="Times New Roman"/>
                <w:color w:val="auto"/>
                <w:highlight w:val="none"/>
                <w:lang w:val="en-US" w:eastAsia="zh-CN"/>
              </w:rPr>
              <w:t>清运至建筑垃圾填埋场进行填埋处理</w:t>
            </w:r>
            <w:r>
              <w:rPr>
                <w:rFonts w:hint="default" w:ascii="Times New Roman" w:hAnsi="Times New Roman" w:eastAsia="宋体" w:cs="Times New Roman"/>
                <w:color w:val="auto"/>
                <w:highlight w:val="none"/>
              </w:rPr>
              <w:t>。</w:t>
            </w:r>
          </w:p>
          <w:p>
            <w:pPr>
              <w:pStyle w:val="92"/>
              <w:spacing w:line="360" w:lineRule="auto"/>
              <w:ind w:firstLine="480"/>
              <w:rPr>
                <w:rFonts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highlight w:val="none"/>
              </w:rPr>
              <w:t>因此本项目</w:t>
            </w:r>
            <w:r>
              <w:rPr>
                <w:rFonts w:hint="eastAsia" w:hAnsi="Times New Roman" w:cs="Times New Roman"/>
                <w:color w:val="auto"/>
                <w:highlight w:val="none"/>
                <w:lang w:eastAsia="zh-CN"/>
              </w:rPr>
              <w:t>施工期</w:t>
            </w:r>
            <w:r>
              <w:rPr>
                <w:rFonts w:hint="default" w:ascii="Times New Roman" w:hAnsi="Times New Roman" w:eastAsia="宋体" w:cs="Times New Roman"/>
                <w:color w:val="auto"/>
                <w:highlight w:val="none"/>
              </w:rPr>
              <w:t>产生固体废物对环境影响较小。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138" w:hRule="atLeast"/>
          <w:jc w:val="center"/>
        </w:trPr>
        <w:tc>
          <w:tcPr>
            <w:tcW w:w="749" w:type="dxa"/>
            <w:tcBorders>
              <w:tl2br w:val="nil"/>
              <w:tr2bl w:val="nil"/>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运营期环境影响和保护措施</w:t>
            </w:r>
          </w:p>
        </w:tc>
        <w:tc>
          <w:tcPr>
            <w:tcW w:w="8889" w:type="dxa"/>
            <w:tcBorders>
              <w:tl2br w:val="nil"/>
              <w:tr2bl w:val="nil"/>
            </w:tcBorders>
            <w:vAlign w:val="center"/>
          </w:tcPr>
          <w:p>
            <w:pPr>
              <w:pStyle w:val="54"/>
              <w:numPr>
                <w:ilvl w:val="0"/>
                <w:numId w:val="11"/>
              </w:numPr>
              <w:ind w:firstLine="482"/>
              <w:jc w:val="both"/>
              <w:rPr>
                <w:b/>
                <w:bCs/>
                <w:color w:val="000000" w:themeColor="text1"/>
                <w14:textFill>
                  <w14:solidFill>
                    <w14:schemeClr w14:val="tx1"/>
                  </w14:solidFill>
                </w14:textFill>
              </w:rPr>
            </w:pPr>
            <w:r>
              <w:rPr>
                <w:b/>
                <w:bCs/>
                <w:color w:val="000000" w:themeColor="text1"/>
                <w14:textFill>
                  <w14:solidFill>
                    <w14:schemeClr w14:val="tx1"/>
                  </w14:solidFill>
                </w14:textFill>
              </w:rPr>
              <w:t>废气</w:t>
            </w:r>
          </w:p>
          <w:p>
            <w:pPr>
              <w:adjustRightInd w:val="0"/>
              <w:snapToGrid w:val="0"/>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sz w:val="24"/>
                <w:szCs w:val="32"/>
                <w14:textFill>
                  <w14:solidFill>
                    <w14:schemeClr w14:val="tx1"/>
                  </w14:solidFill>
                </w14:textFill>
              </w:rPr>
              <w:t>源强核算</w:t>
            </w:r>
          </w:p>
          <w:p>
            <w:pPr>
              <w:adjustRightInd w:val="0"/>
              <w:snapToGrid w:val="0"/>
              <w:spacing w:line="360" w:lineRule="auto"/>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项目废气主要为</w:t>
            </w:r>
            <w:r>
              <w:rPr>
                <w:rFonts w:hint="eastAsia"/>
                <w:color w:val="000000" w:themeColor="text1"/>
                <w:highlight w:val="none"/>
                <w14:textFill>
                  <w14:solidFill>
                    <w14:schemeClr w14:val="tx1"/>
                  </w14:solidFill>
                </w14:textFill>
              </w:rPr>
              <w:t>物料运送、设备间输送，料仓储存和装卸，水泥筒仓水泥的输送，混合搅拌产生的粉尘对大气环境的影响，设备间物料输送传送带为全封闭式的传送带；水泥仓</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粉料仓</w:t>
            </w:r>
            <w:r>
              <w:rPr>
                <w:rFonts w:hint="eastAsia"/>
                <w:color w:val="000000" w:themeColor="text1"/>
                <w:highlight w:val="none"/>
                <w14:textFill>
                  <w14:solidFill>
                    <w14:schemeClr w14:val="tx1"/>
                  </w14:solidFill>
                </w14:textFill>
              </w:rPr>
              <w:t>在输送时为密闭负压空气输送，顶端配备袋式除尘器；项目搅拌设备为全封闭，同时顶端配备</w:t>
            </w:r>
            <w:r>
              <w:rPr>
                <w:rFonts w:hint="eastAsia"/>
                <w:color w:val="000000" w:themeColor="text1"/>
                <w:highlight w:val="none"/>
                <w:lang w:val="en-US" w:eastAsia="zh-CN"/>
                <w14:textFill>
                  <w14:solidFill>
                    <w14:schemeClr w14:val="tx1"/>
                  </w14:solidFill>
                </w14:textFill>
              </w:rPr>
              <w:t>布袋除尘器</w:t>
            </w:r>
            <w:r>
              <w:rPr>
                <w:color w:val="000000" w:themeColor="text1"/>
                <w:highlight w:val="none"/>
                <w14:textFill>
                  <w14:solidFill>
                    <w14:schemeClr w14:val="tx1"/>
                  </w14:solidFill>
                </w14:textFill>
              </w:rPr>
              <w:t>。</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①运送、设备间输送产生扬尘</w:t>
            </w:r>
          </w:p>
          <w:p>
            <w:pPr>
              <w:pStyle w:val="42"/>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本项目在物料汽运时，对运输工具加盖防尘网，同时选用装备篷布的卡车，在运输是利用篷布和防尘网控制扬尘，同时控制在厂区内的车速；设备之间输送时采取全封闭传送带，避免扬尘。</w:t>
            </w:r>
          </w:p>
          <w:p>
            <w:pPr>
              <w:spacing w:line="360" w:lineRule="auto"/>
              <w:ind w:firstLine="480"/>
              <w:rPr>
                <w:rFonts w:hint="default" w:ascii="Times New Roman" w:hAnsi="Times New Roman" w:eastAsia="宋体" w:cs="Times New Roman"/>
                <w:i w:val="0"/>
                <w:iCs w:val="0"/>
                <w:color w:val="auto"/>
                <w:highlight w:val="none"/>
                <w:u w:val="none"/>
              </w:rPr>
            </w:pPr>
            <w:r>
              <w:rPr>
                <w:rFonts w:hint="default" w:ascii="Times New Roman" w:hAnsi="Times New Roman" w:eastAsia="宋体" w:cs="Times New Roman"/>
                <w:i w:val="0"/>
                <w:iCs w:val="0"/>
                <w:color w:val="auto"/>
                <w:highlight w:val="none"/>
                <w:u w:val="none"/>
              </w:rPr>
              <w:fldChar w:fldCharType="begin"/>
            </w:r>
            <w:r>
              <w:rPr>
                <w:rFonts w:hint="default" w:ascii="Times New Roman" w:hAnsi="Times New Roman" w:eastAsia="宋体" w:cs="Times New Roman"/>
                <w:i w:val="0"/>
                <w:iCs w:val="0"/>
                <w:color w:val="auto"/>
                <w:highlight w:val="none"/>
                <w:u w:val="none"/>
              </w:rPr>
              <w:instrText xml:space="preserve"> = 2 \* GB3 \* MERGEFORMAT </w:instrText>
            </w:r>
            <w:r>
              <w:rPr>
                <w:rFonts w:hint="default" w:ascii="Times New Roman" w:hAnsi="Times New Roman" w:eastAsia="宋体" w:cs="Times New Roman"/>
                <w:i w:val="0"/>
                <w:iCs w:val="0"/>
                <w:color w:val="auto"/>
                <w:highlight w:val="none"/>
                <w:u w:val="none"/>
              </w:rPr>
              <w:fldChar w:fldCharType="separate"/>
            </w:r>
            <w:r>
              <w:t>②</w:t>
            </w:r>
            <w:r>
              <w:rPr>
                <w:rFonts w:hint="default" w:ascii="Times New Roman" w:hAnsi="Times New Roman" w:eastAsia="宋体" w:cs="Times New Roman"/>
                <w:i w:val="0"/>
                <w:iCs w:val="0"/>
                <w:color w:val="auto"/>
                <w:highlight w:val="none"/>
                <w:u w:val="none"/>
              </w:rPr>
              <w:fldChar w:fldCharType="end"/>
            </w:r>
            <w:r>
              <w:rPr>
                <w:rFonts w:hint="default" w:ascii="Times New Roman" w:hAnsi="Times New Roman" w:eastAsia="宋体" w:cs="Times New Roman"/>
                <w:i w:val="0"/>
                <w:iCs w:val="0"/>
                <w:color w:val="auto"/>
                <w:sz w:val="24"/>
                <w:szCs w:val="24"/>
                <w:highlight w:val="none"/>
                <w:u w:val="none"/>
              </w:rPr>
              <w:t>投料</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i w:val="0"/>
                <w:iCs w:val="0"/>
                <w:color w:val="auto"/>
                <w:sz w:val="24"/>
                <w:szCs w:val="24"/>
                <w:highlight w:val="none"/>
                <w:u w:val="none"/>
                <w:lang w:val="en-US" w:eastAsia="zh-CN"/>
              </w:rPr>
              <w:t>料仓</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sz w:val="24"/>
                <w:szCs w:val="24"/>
                <w:highlight w:val="none"/>
                <w:u w:val="none"/>
              </w:rPr>
              <w:t>粉</w:t>
            </w:r>
            <w:r>
              <w:rPr>
                <w:rFonts w:hint="default" w:ascii="Times New Roman" w:hAnsi="Times New Roman" w:eastAsia="宋体" w:cs="Times New Roman"/>
                <w:i w:val="0"/>
                <w:iCs w:val="0"/>
                <w:color w:val="auto"/>
                <w:highlight w:val="none"/>
                <w:u w:val="none"/>
              </w:rPr>
              <w:t>尘</w:t>
            </w:r>
          </w:p>
          <w:p>
            <w:pPr>
              <w:adjustRightInd w:val="0"/>
              <w:snapToGrid w:val="0"/>
              <w:spacing w:line="360" w:lineRule="auto"/>
              <w:ind w:firstLine="480" w:firstLineChars="200"/>
              <w:rPr>
                <w:rFonts w:hint="eastAsia"/>
                <w:color w:val="000000" w:themeColor="text1"/>
                <w14:textFill>
                  <w14:solidFill>
                    <w14:schemeClr w14:val="tx1"/>
                  </w14:solidFill>
                </w14:textFill>
              </w:rPr>
            </w:pPr>
            <w:r>
              <w:rPr>
                <w:rFonts w:hint="eastAsia"/>
                <w:color w:val="auto"/>
                <w:lang w:val="en-US" w:eastAsia="zh-CN"/>
              </w:rPr>
              <w:t>商品混凝土生产区：</w:t>
            </w:r>
            <w:r>
              <w:rPr>
                <w:rFonts w:hint="default" w:ascii="Times New Roman" w:hAnsi="Times New Roman" w:eastAsia="宋体" w:cs="Times New Roman"/>
                <w:i w:val="0"/>
                <w:iCs w:val="0"/>
                <w:color w:val="auto"/>
                <w:highlight w:val="none"/>
                <w:u w:val="none"/>
              </w:rPr>
              <w:t>本项目</w:t>
            </w:r>
            <w:r>
              <w:rPr>
                <w:rFonts w:hint="eastAsia"/>
                <w:color w:val="auto"/>
                <w:lang w:val="en-US" w:eastAsia="zh-CN"/>
              </w:rPr>
              <w:t>商品混凝土生产区</w:t>
            </w:r>
            <w:r>
              <w:rPr>
                <w:rFonts w:hint="default" w:ascii="Times New Roman" w:hAnsi="Times New Roman" w:eastAsia="宋体" w:cs="Times New Roman"/>
                <w:i w:val="0"/>
                <w:iCs w:val="0"/>
                <w:color w:val="auto"/>
                <w:highlight w:val="none"/>
                <w:u w:val="none"/>
              </w:rPr>
              <w:t>原料</w:t>
            </w:r>
            <w:r>
              <w:rPr>
                <w:rFonts w:hint="default" w:ascii="Times New Roman" w:hAnsi="Times New Roman" w:eastAsia="宋体" w:cs="Times New Roman"/>
                <w:i w:val="0"/>
                <w:iCs w:val="0"/>
                <w:color w:val="auto"/>
                <w:highlight w:val="none"/>
                <w:u w:val="none"/>
                <w:lang w:val="en-US" w:eastAsia="zh-CN"/>
              </w:rPr>
              <w:t>（砂、石、粉煤灰、矿粉）</w:t>
            </w:r>
            <w:r>
              <w:rPr>
                <w:rFonts w:hint="default" w:ascii="Times New Roman" w:hAnsi="Times New Roman" w:eastAsia="宋体" w:cs="Times New Roman"/>
                <w:i w:val="0"/>
                <w:iCs w:val="0"/>
                <w:color w:val="auto"/>
                <w:highlight w:val="none"/>
                <w:u w:val="none"/>
              </w:rPr>
              <w:t>用量约为</w:t>
            </w:r>
            <w:r>
              <w:rPr>
                <w:rFonts w:hint="eastAsia" w:cs="Times New Roman"/>
                <w:i w:val="0"/>
                <w:iCs w:val="0"/>
                <w:color w:val="auto"/>
                <w:highlight w:val="none"/>
                <w:u w:val="none"/>
                <w:lang w:val="en-US" w:eastAsia="zh-CN"/>
              </w:rPr>
              <w:t>8860</w:t>
            </w:r>
            <w:r>
              <w:rPr>
                <w:rFonts w:hint="default" w:ascii="Times New Roman" w:hAnsi="Times New Roman" w:eastAsia="宋体" w:cs="Times New Roman"/>
                <w:i w:val="0"/>
                <w:iCs w:val="0"/>
                <w:color w:val="auto"/>
                <w:highlight w:val="none"/>
                <w:u w:val="none"/>
              </w:rPr>
              <w:t>t/a，参考《逸散性工业粉尘控制技术》，并类比同类型行业数据，本项目整个生产工艺都是在密闭的车间内进行，所以项目投料</w:t>
            </w:r>
            <w:r>
              <w:rPr>
                <w:rFonts w:hint="default" w:ascii="Times New Roman" w:hAnsi="Times New Roman" w:eastAsia="宋体" w:cs="Times New Roman"/>
                <w:i w:val="0"/>
                <w:iCs w:val="0"/>
                <w:color w:val="auto"/>
                <w:highlight w:val="none"/>
                <w:u w:val="none"/>
                <w:lang w:eastAsia="zh-CN"/>
              </w:rPr>
              <w:t>、</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highlight w:val="none"/>
                <w:u w:val="none"/>
              </w:rPr>
              <w:t>工序粉尘产生系数确定为0.0</w:t>
            </w:r>
            <w:r>
              <w:rPr>
                <w:rFonts w:hint="default" w:ascii="Times New Roman" w:hAnsi="Times New Roman" w:eastAsia="宋体" w:cs="Times New Roman"/>
                <w:i w:val="0"/>
                <w:iCs w:val="0"/>
                <w:color w:val="auto"/>
                <w:highlight w:val="none"/>
                <w:u w:val="none"/>
                <w:lang w:val="en-US" w:eastAsia="zh-CN"/>
              </w:rPr>
              <w:t>1</w:t>
            </w:r>
            <w:r>
              <w:rPr>
                <w:rFonts w:hint="default" w:ascii="Times New Roman" w:hAnsi="Times New Roman" w:eastAsia="宋体" w:cs="Times New Roman"/>
                <w:i w:val="0"/>
                <w:iCs w:val="0"/>
                <w:color w:val="auto"/>
                <w:highlight w:val="none"/>
                <w:u w:val="none"/>
              </w:rPr>
              <w:t>kg/t物料。整个工艺都是在密封的车间中密封进行。则项目投料</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i w:val="0"/>
                <w:iCs w:val="0"/>
                <w:color w:val="auto"/>
                <w:sz w:val="24"/>
                <w:szCs w:val="24"/>
                <w:highlight w:val="none"/>
                <w:u w:val="none"/>
                <w:lang w:val="en-US" w:eastAsia="zh-CN"/>
              </w:rPr>
              <w:t>料仓</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highlight w:val="none"/>
                <w:u w:val="none"/>
              </w:rPr>
              <w:t>产生粉尘量约为</w:t>
            </w:r>
            <w:r>
              <w:rPr>
                <w:rFonts w:hint="eastAsia" w:cs="Times New Roman"/>
                <w:i w:val="0"/>
                <w:iCs w:val="0"/>
                <w:color w:val="auto"/>
                <w:highlight w:val="none"/>
                <w:u w:val="none"/>
                <w:lang w:val="en-US" w:eastAsia="zh-CN"/>
              </w:rPr>
              <w:t>0.1</w:t>
            </w:r>
            <w:r>
              <w:rPr>
                <w:rFonts w:hint="default" w:ascii="Times New Roman" w:hAnsi="Times New Roman" w:eastAsia="宋体" w:cs="Times New Roman"/>
                <w:i w:val="0"/>
                <w:iCs w:val="0"/>
                <w:color w:val="auto"/>
                <w:highlight w:val="none"/>
                <w:u w:val="none"/>
              </w:rPr>
              <w:t>t/a。</w:t>
            </w:r>
            <w:r>
              <w:rPr>
                <w:rFonts w:hint="default" w:ascii="Times New Roman" w:hAnsi="Times New Roman" w:eastAsia="宋体" w:cs="Times New Roman"/>
                <w:color w:val="auto"/>
                <w:sz w:val="24"/>
                <w:szCs w:val="24"/>
                <w:highlight w:val="none"/>
                <w:u w:val="none"/>
              </w:rPr>
              <w:t>对输送皮带要进行全封闭三面遮挡，并且加强转载点封闭强度，砂、石进料口处定期洒水，</w:t>
            </w:r>
            <w:r>
              <w:rPr>
                <w:rFonts w:hint="default" w:ascii="Times New Roman" w:hAnsi="Times New Roman" w:eastAsia="宋体" w:cs="Times New Roman"/>
                <w:i w:val="0"/>
                <w:iCs w:val="0"/>
                <w:color w:val="auto"/>
                <w:sz w:val="24"/>
                <w:szCs w:val="24"/>
                <w:highlight w:val="none"/>
                <w:u w:val="none"/>
              </w:rPr>
              <w:t>可将扬尘的排放量降低</w:t>
            </w:r>
            <w:r>
              <w:rPr>
                <w:rFonts w:hint="default" w:ascii="Times New Roman" w:hAnsi="Times New Roman" w:eastAsia="宋体" w:cs="Times New Roman"/>
                <w:i w:val="0"/>
                <w:iCs w:val="0"/>
                <w:color w:val="auto"/>
                <w:sz w:val="24"/>
                <w:szCs w:val="24"/>
                <w:highlight w:val="none"/>
                <w:u w:val="none"/>
                <w:lang w:val="en-US" w:eastAsia="zh-CN"/>
              </w:rPr>
              <w:t>6</w:t>
            </w:r>
            <w:r>
              <w:rPr>
                <w:rFonts w:hint="default" w:ascii="Times New Roman" w:hAnsi="Times New Roman" w:eastAsia="宋体" w:cs="Times New Roman"/>
                <w:i w:val="0"/>
                <w:iCs w:val="0"/>
                <w:color w:val="auto"/>
                <w:sz w:val="24"/>
                <w:szCs w:val="24"/>
                <w:highlight w:val="none"/>
                <w:u w:val="none"/>
              </w:rPr>
              <w:t>0%，</w:t>
            </w:r>
            <w:r>
              <w:rPr>
                <w:rFonts w:hint="default" w:ascii="Times New Roman" w:hAnsi="Times New Roman" w:eastAsia="宋体" w:cs="Times New Roman"/>
                <w:i w:val="0"/>
                <w:iCs w:val="0"/>
                <w:color w:val="auto"/>
                <w:highlight w:val="none"/>
                <w:u w:val="none"/>
              </w:rPr>
              <w:t>投料</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highlight w:val="none"/>
                <w:u w:val="none"/>
              </w:rPr>
              <w:t>工序粉尘</w:t>
            </w:r>
            <w:r>
              <w:rPr>
                <w:rFonts w:hint="default" w:ascii="Times New Roman" w:hAnsi="Times New Roman" w:eastAsia="宋体" w:cs="Times New Roman"/>
                <w:i w:val="0"/>
                <w:iCs w:val="0"/>
                <w:color w:val="auto"/>
                <w:sz w:val="24"/>
                <w:szCs w:val="24"/>
                <w:highlight w:val="none"/>
                <w:u w:val="none"/>
              </w:rPr>
              <w:t>的排放量</w:t>
            </w:r>
            <w:r>
              <w:rPr>
                <w:rFonts w:hint="default" w:ascii="Times New Roman" w:hAnsi="Times New Roman" w:eastAsia="宋体" w:cs="Times New Roman"/>
                <w:i w:val="0"/>
                <w:iCs w:val="0"/>
                <w:color w:val="auto"/>
                <w:sz w:val="24"/>
                <w:szCs w:val="24"/>
                <w:highlight w:val="none"/>
                <w:u w:val="none"/>
                <w:lang w:eastAsia="zh-CN"/>
              </w:rPr>
              <w:t>0.</w:t>
            </w:r>
            <w:r>
              <w:rPr>
                <w:rFonts w:hint="eastAsia" w:cs="Times New Roman"/>
                <w:i w:val="0"/>
                <w:iCs w:val="0"/>
                <w:color w:val="auto"/>
                <w:sz w:val="24"/>
                <w:szCs w:val="24"/>
                <w:highlight w:val="none"/>
                <w:u w:val="none"/>
                <w:lang w:val="en-US" w:eastAsia="zh-CN"/>
              </w:rPr>
              <w:t>04</w:t>
            </w:r>
            <w:r>
              <w:rPr>
                <w:rFonts w:hint="default" w:ascii="Times New Roman" w:hAnsi="Times New Roman" w:eastAsia="宋体" w:cs="Times New Roman"/>
                <w:i w:val="0"/>
                <w:iCs w:val="0"/>
                <w:color w:val="auto"/>
                <w:sz w:val="24"/>
                <w:szCs w:val="24"/>
                <w:highlight w:val="none"/>
                <w:u w:val="none"/>
              </w:rPr>
              <w:t>t/a，</w:t>
            </w:r>
            <w:r>
              <w:rPr>
                <w:rFonts w:hint="default" w:ascii="Times New Roman" w:hAnsi="Times New Roman" w:eastAsia="宋体" w:cs="Times New Roman"/>
                <w:i w:val="0"/>
                <w:iCs w:val="0"/>
                <w:color w:val="auto"/>
                <w:sz w:val="24"/>
                <w:szCs w:val="24"/>
                <w:highlight w:val="none"/>
                <w:u w:val="none"/>
                <w:lang w:eastAsia="zh-CN"/>
              </w:rPr>
              <w:t>0.</w:t>
            </w:r>
            <w:r>
              <w:rPr>
                <w:rFonts w:hint="eastAsia" w:cs="Times New Roman"/>
                <w:i w:val="0"/>
                <w:iCs w:val="0"/>
                <w:color w:val="auto"/>
                <w:sz w:val="24"/>
                <w:szCs w:val="24"/>
                <w:highlight w:val="none"/>
                <w:u w:val="none"/>
                <w:lang w:val="en-US" w:eastAsia="zh-CN"/>
              </w:rPr>
              <w:t>03</w:t>
            </w:r>
            <w:r>
              <w:rPr>
                <w:rFonts w:hint="default" w:ascii="Times New Roman" w:hAnsi="Times New Roman" w:eastAsia="宋体" w:cs="Times New Roman"/>
                <w:i w:val="0"/>
                <w:iCs w:val="0"/>
                <w:color w:val="auto"/>
                <w:sz w:val="24"/>
                <w:szCs w:val="24"/>
                <w:highlight w:val="none"/>
                <w:u w:val="none"/>
              </w:rPr>
              <w:t>kg/h</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i w:val="0"/>
                <w:iCs w:val="0"/>
                <w:color w:val="auto"/>
                <w:sz w:val="24"/>
                <w:szCs w:val="24"/>
                <w:highlight w:val="none"/>
                <w:u w:val="none"/>
                <w:lang w:val="en-US" w:eastAsia="zh-CN"/>
              </w:rPr>
              <w:t>呈无组织排放</w:t>
            </w:r>
            <w:r>
              <w:rPr>
                <w:rFonts w:hint="default" w:ascii="Times New Roman" w:hAnsi="Times New Roman" w:eastAsia="宋体" w:cs="Times New Roman"/>
                <w:i w:val="0"/>
                <w:iCs w:val="0"/>
                <w:color w:val="auto"/>
                <w:sz w:val="24"/>
                <w:szCs w:val="24"/>
                <w:highlight w:val="none"/>
                <w:u w:val="none"/>
              </w:rPr>
              <w:t>。</w:t>
            </w:r>
          </w:p>
          <w:p>
            <w:pPr>
              <w:adjustRightInd w:val="0"/>
              <w:snapToGrid w:val="0"/>
              <w:spacing w:line="360" w:lineRule="auto"/>
              <w:ind w:firstLine="480" w:firstLineChars="200"/>
              <w:rPr>
                <w:rFonts w:hint="eastAsia"/>
                <w:color w:val="auto"/>
                <w:lang w:val="en-US" w:eastAsia="zh-CN"/>
              </w:rPr>
            </w:pPr>
            <w:bookmarkStart w:id="12" w:name="_Hlk202858391"/>
            <w:r>
              <w:rPr>
                <w:rFonts w:hint="eastAsia"/>
                <w:color w:val="auto"/>
                <w:lang w:val="en-US" w:eastAsia="zh-CN"/>
              </w:rPr>
              <w:t>水泥稳定碎石生产区：</w:t>
            </w:r>
            <w:r>
              <w:rPr>
                <w:rFonts w:hint="default" w:ascii="Times New Roman" w:hAnsi="Times New Roman" w:eastAsia="宋体" w:cs="Times New Roman"/>
                <w:i w:val="0"/>
                <w:iCs w:val="0"/>
                <w:color w:val="auto"/>
                <w:highlight w:val="none"/>
                <w:u w:val="none"/>
              </w:rPr>
              <w:t>本项目</w:t>
            </w:r>
            <w:r>
              <w:rPr>
                <w:rFonts w:hint="eastAsia"/>
                <w:color w:val="auto"/>
                <w:lang w:val="en-US" w:eastAsia="zh-CN"/>
              </w:rPr>
              <w:t>水泥稳定碎石生产区</w:t>
            </w:r>
            <w:r>
              <w:rPr>
                <w:rFonts w:hint="default" w:ascii="Times New Roman" w:hAnsi="Times New Roman" w:eastAsia="宋体" w:cs="Times New Roman"/>
                <w:i w:val="0"/>
                <w:iCs w:val="0"/>
                <w:color w:val="auto"/>
                <w:highlight w:val="none"/>
                <w:u w:val="none"/>
              </w:rPr>
              <w:t>原料</w:t>
            </w:r>
            <w:r>
              <w:rPr>
                <w:rFonts w:hint="default" w:ascii="Times New Roman" w:hAnsi="Times New Roman" w:eastAsia="宋体" w:cs="Times New Roman"/>
                <w:i w:val="0"/>
                <w:iCs w:val="0"/>
                <w:color w:val="auto"/>
                <w:highlight w:val="none"/>
                <w:u w:val="none"/>
                <w:lang w:val="en-US" w:eastAsia="zh-CN"/>
              </w:rPr>
              <w:t>（砂、石）</w:t>
            </w:r>
            <w:r>
              <w:rPr>
                <w:rFonts w:hint="default" w:ascii="Times New Roman" w:hAnsi="Times New Roman" w:eastAsia="宋体" w:cs="Times New Roman"/>
                <w:i w:val="0"/>
                <w:iCs w:val="0"/>
                <w:color w:val="auto"/>
                <w:highlight w:val="none"/>
                <w:u w:val="none"/>
              </w:rPr>
              <w:t>用量约为</w:t>
            </w:r>
            <w:r>
              <w:rPr>
                <w:rFonts w:hint="eastAsia" w:cs="Times New Roman"/>
                <w:i w:val="0"/>
                <w:iCs w:val="0"/>
                <w:color w:val="auto"/>
                <w:highlight w:val="none"/>
                <w:u w:val="none"/>
                <w:lang w:val="en-US" w:eastAsia="zh-CN"/>
              </w:rPr>
              <w:t>23404.542</w:t>
            </w:r>
            <w:r>
              <w:rPr>
                <w:rFonts w:hint="default" w:ascii="Times New Roman" w:hAnsi="Times New Roman" w:eastAsia="宋体" w:cs="Times New Roman"/>
                <w:i w:val="0"/>
                <w:iCs w:val="0"/>
                <w:color w:val="auto"/>
                <w:highlight w:val="none"/>
                <w:u w:val="none"/>
              </w:rPr>
              <w:t>t/a，参考《逸散性工业粉尘控制技术》，并类比同类型行业数据，本项目整个生产工艺都是在密闭的车间内进行，所以项目投料</w:t>
            </w:r>
            <w:r>
              <w:rPr>
                <w:rFonts w:hint="default" w:ascii="Times New Roman" w:hAnsi="Times New Roman" w:eastAsia="宋体" w:cs="Times New Roman"/>
                <w:i w:val="0"/>
                <w:iCs w:val="0"/>
                <w:color w:val="auto"/>
                <w:highlight w:val="none"/>
                <w:u w:val="none"/>
                <w:lang w:eastAsia="zh-CN"/>
              </w:rPr>
              <w:t>、</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highlight w:val="none"/>
                <w:u w:val="none"/>
              </w:rPr>
              <w:t>工序粉尘产生系数确定为0.0</w:t>
            </w:r>
            <w:r>
              <w:rPr>
                <w:rFonts w:hint="default" w:ascii="Times New Roman" w:hAnsi="Times New Roman" w:eastAsia="宋体" w:cs="Times New Roman"/>
                <w:i w:val="0"/>
                <w:iCs w:val="0"/>
                <w:color w:val="auto"/>
                <w:highlight w:val="none"/>
                <w:u w:val="none"/>
                <w:lang w:val="en-US" w:eastAsia="zh-CN"/>
              </w:rPr>
              <w:t>1</w:t>
            </w:r>
            <w:r>
              <w:rPr>
                <w:rFonts w:hint="default" w:ascii="Times New Roman" w:hAnsi="Times New Roman" w:eastAsia="宋体" w:cs="Times New Roman"/>
                <w:i w:val="0"/>
                <w:iCs w:val="0"/>
                <w:color w:val="auto"/>
                <w:highlight w:val="none"/>
                <w:u w:val="none"/>
              </w:rPr>
              <w:t>kg/t物料。整个工艺都是在密封的车间中密封进行。则项目投料</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i w:val="0"/>
                <w:iCs w:val="0"/>
                <w:color w:val="auto"/>
                <w:sz w:val="24"/>
                <w:szCs w:val="24"/>
                <w:highlight w:val="none"/>
                <w:u w:val="none"/>
                <w:lang w:val="en-US" w:eastAsia="zh-CN"/>
              </w:rPr>
              <w:t>料仓</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highlight w:val="none"/>
                <w:u w:val="none"/>
              </w:rPr>
              <w:t>产生粉尘量约为</w:t>
            </w:r>
            <w:r>
              <w:rPr>
                <w:rFonts w:hint="eastAsia" w:cs="Times New Roman"/>
                <w:i w:val="0"/>
                <w:iCs w:val="0"/>
                <w:color w:val="auto"/>
                <w:highlight w:val="none"/>
                <w:u w:val="none"/>
                <w:lang w:val="en-US" w:eastAsia="zh-CN"/>
              </w:rPr>
              <w:t>0.2</w:t>
            </w:r>
            <w:r>
              <w:rPr>
                <w:rFonts w:hint="default" w:ascii="Times New Roman" w:hAnsi="Times New Roman" w:eastAsia="宋体" w:cs="Times New Roman"/>
                <w:i w:val="0"/>
                <w:iCs w:val="0"/>
                <w:color w:val="auto"/>
                <w:highlight w:val="none"/>
                <w:u w:val="none"/>
              </w:rPr>
              <w:t>t/a。</w:t>
            </w:r>
            <w:r>
              <w:rPr>
                <w:rFonts w:hint="default" w:ascii="Times New Roman" w:hAnsi="Times New Roman" w:eastAsia="宋体" w:cs="Times New Roman"/>
                <w:color w:val="auto"/>
                <w:sz w:val="24"/>
                <w:szCs w:val="24"/>
                <w:highlight w:val="none"/>
                <w:u w:val="none"/>
              </w:rPr>
              <w:t>对输送皮带要进行全封闭三面遮挡，并且加强转载点封闭强度，砂、石进料口处定期洒水，</w:t>
            </w:r>
            <w:r>
              <w:rPr>
                <w:rFonts w:hint="default" w:ascii="Times New Roman" w:hAnsi="Times New Roman" w:eastAsia="宋体" w:cs="Times New Roman"/>
                <w:i w:val="0"/>
                <w:iCs w:val="0"/>
                <w:color w:val="auto"/>
                <w:sz w:val="24"/>
                <w:szCs w:val="24"/>
                <w:highlight w:val="none"/>
                <w:u w:val="none"/>
              </w:rPr>
              <w:t>可将扬尘的排放量降低</w:t>
            </w:r>
            <w:r>
              <w:rPr>
                <w:rFonts w:hint="default" w:ascii="Times New Roman" w:hAnsi="Times New Roman" w:eastAsia="宋体" w:cs="Times New Roman"/>
                <w:i w:val="0"/>
                <w:iCs w:val="0"/>
                <w:color w:val="auto"/>
                <w:sz w:val="24"/>
                <w:szCs w:val="24"/>
                <w:highlight w:val="none"/>
                <w:u w:val="none"/>
                <w:lang w:val="en-US" w:eastAsia="zh-CN"/>
              </w:rPr>
              <w:t>6</w:t>
            </w:r>
            <w:r>
              <w:rPr>
                <w:rFonts w:hint="default" w:ascii="Times New Roman" w:hAnsi="Times New Roman" w:eastAsia="宋体" w:cs="Times New Roman"/>
                <w:i w:val="0"/>
                <w:iCs w:val="0"/>
                <w:color w:val="auto"/>
                <w:sz w:val="24"/>
                <w:szCs w:val="24"/>
                <w:highlight w:val="none"/>
                <w:u w:val="none"/>
              </w:rPr>
              <w:t>0%，</w:t>
            </w:r>
            <w:r>
              <w:rPr>
                <w:rFonts w:hint="default" w:ascii="Times New Roman" w:hAnsi="Times New Roman" w:eastAsia="宋体" w:cs="Times New Roman"/>
                <w:i w:val="0"/>
                <w:iCs w:val="0"/>
                <w:color w:val="auto"/>
                <w:highlight w:val="none"/>
                <w:u w:val="none"/>
              </w:rPr>
              <w:t>投料</w:t>
            </w:r>
            <w:r>
              <w:rPr>
                <w:rFonts w:hint="default" w:ascii="Times New Roman" w:hAnsi="Times New Roman" w:eastAsia="宋体" w:cs="Times New Roman"/>
                <w:color w:val="auto"/>
                <w:sz w:val="24"/>
                <w:szCs w:val="24"/>
                <w:highlight w:val="none"/>
                <w:u w:val="none"/>
              </w:rPr>
              <w:t>皮带输送</w:t>
            </w:r>
            <w:r>
              <w:rPr>
                <w:rFonts w:hint="default" w:ascii="Times New Roman" w:hAnsi="Times New Roman" w:eastAsia="宋体" w:cs="Times New Roman"/>
                <w:i w:val="0"/>
                <w:iCs w:val="0"/>
                <w:color w:val="auto"/>
                <w:highlight w:val="none"/>
                <w:u w:val="none"/>
              </w:rPr>
              <w:t>工序粉尘</w:t>
            </w:r>
            <w:r>
              <w:rPr>
                <w:rFonts w:hint="default" w:ascii="Times New Roman" w:hAnsi="Times New Roman" w:eastAsia="宋体" w:cs="Times New Roman"/>
                <w:i w:val="0"/>
                <w:iCs w:val="0"/>
                <w:color w:val="auto"/>
                <w:sz w:val="24"/>
                <w:szCs w:val="24"/>
                <w:highlight w:val="none"/>
                <w:u w:val="none"/>
              </w:rPr>
              <w:t>的排放量</w:t>
            </w:r>
            <w:r>
              <w:rPr>
                <w:rFonts w:hint="default" w:ascii="Times New Roman" w:hAnsi="Times New Roman" w:eastAsia="宋体" w:cs="Times New Roman"/>
                <w:i w:val="0"/>
                <w:iCs w:val="0"/>
                <w:color w:val="auto"/>
                <w:sz w:val="24"/>
                <w:szCs w:val="24"/>
                <w:highlight w:val="none"/>
                <w:u w:val="none"/>
                <w:lang w:eastAsia="zh-CN"/>
              </w:rPr>
              <w:t>0.</w:t>
            </w:r>
            <w:r>
              <w:rPr>
                <w:rFonts w:hint="eastAsia" w:ascii="Times New Roman" w:hAnsi="Times New Roman" w:eastAsia="宋体" w:cs="Times New Roman"/>
                <w:i w:val="0"/>
                <w:iCs w:val="0"/>
                <w:color w:val="auto"/>
                <w:sz w:val="24"/>
                <w:szCs w:val="24"/>
                <w:highlight w:val="none"/>
                <w:u w:val="none"/>
                <w:lang w:val="en-US" w:eastAsia="zh-CN"/>
              </w:rPr>
              <w:t>08</w:t>
            </w:r>
            <w:r>
              <w:rPr>
                <w:rFonts w:hint="default" w:ascii="Times New Roman" w:hAnsi="Times New Roman" w:eastAsia="宋体" w:cs="Times New Roman"/>
                <w:i w:val="0"/>
                <w:iCs w:val="0"/>
                <w:color w:val="auto"/>
                <w:sz w:val="24"/>
                <w:szCs w:val="24"/>
                <w:highlight w:val="none"/>
                <w:u w:val="none"/>
              </w:rPr>
              <w:t>t/a，</w:t>
            </w:r>
            <w:r>
              <w:rPr>
                <w:rFonts w:hint="default" w:ascii="Times New Roman" w:hAnsi="Times New Roman" w:eastAsia="宋体" w:cs="Times New Roman"/>
                <w:i w:val="0"/>
                <w:iCs w:val="0"/>
                <w:color w:val="auto"/>
                <w:sz w:val="24"/>
                <w:szCs w:val="24"/>
                <w:highlight w:val="none"/>
                <w:u w:val="none"/>
                <w:lang w:eastAsia="zh-CN"/>
              </w:rPr>
              <w:t>0.</w:t>
            </w:r>
            <w:r>
              <w:rPr>
                <w:rFonts w:hint="eastAsia" w:ascii="Times New Roman" w:hAnsi="Times New Roman" w:eastAsia="宋体" w:cs="Times New Roman"/>
                <w:i w:val="0"/>
                <w:iCs w:val="0"/>
                <w:color w:val="auto"/>
                <w:sz w:val="24"/>
                <w:szCs w:val="24"/>
                <w:highlight w:val="none"/>
                <w:u w:val="none"/>
                <w:lang w:val="en-US" w:eastAsia="zh-CN"/>
              </w:rPr>
              <w:t>067</w:t>
            </w:r>
            <w:r>
              <w:rPr>
                <w:rFonts w:hint="default" w:ascii="Times New Roman" w:hAnsi="Times New Roman" w:eastAsia="宋体" w:cs="Times New Roman"/>
                <w:i w:val="0"/>
                <w:iCs w:val="0"/>
                <w:color w:val="auto"/>
                <w:sz w:val="24"/>
                <w:szCs w:val="24"/>
                <w:highlight w:val="none"/>
                <w:u w:val="none"/>
              </w:rPr>
              <w:t>kg/h</w:t>
            </w:r>
            <w:r>
              <w:rPr>
                <w:rFonts w:hint="default" w:ascii="Times New Roman" w:hAnsi="Times New Roman" w:eastAsia="宋体" w:cs="Times New Roman"/>
                <w:i w:val="0"/>
                <w:iCs w:val="0"/>
                <w:color w:val="auto"/>
                <w:sz w:val="24"/>
                <w:szCs w:val="24"/>
                <w:highlight w:val="none"/>
                <w:u w:val="none"/>
                <w:lang w:eastAsia="zh-CN"/>
              </w:rPr>
              <w:t>，</w:t>
            </w:r>
            <w:r>
              <w:rPr>
                <w:rFonts w:hint="default" w:ascii="Times New Roman" w:hAnsi="Times New Roman" w:eastAsia="宋体" w:cs="Times New Roman"/>
                <w:i w:val="0"/>
                <w:iCs w:val="0"/>
                <w:color w:val="auto"/>
                <w:sz w:val="24"/>
                <w:szCs w:val="24"/>
                <w:highlight w:val="none"/>
                <w:u w:val="none"/>
                <w:lang w:val="en-US" w:eastAsia="zh-CN"/>
              </w:rPr>
              <w:t>呈无组织排放</w:t>
            </w:r>
            <w:r>
              <w:rPr>
                <w:rFonts w:hint="default" w:ascii="Times New Roman" w:hAnsi="Times New Roman" w:eastAsia="宋体" w:cs="Times New Roman"/>
                <w:i w:val="0"/>
                <w:iCs w:val="0"/>
                <w:color w:val="auto"/>
                <w:sz w:val="24"/>
                <w:szCs w:val="24"/>
                <w:highlight w:val="none"/>
                <w:u w:val="none"/>
              </w:rPr>
              <w:t>。</w:t>
            </w:r>
          </w:p>
          <w:bookmarkEnd w:id="12"/>
          <w:p>
            <w:pPr>
              <w:pStyle w:val="42"/>
              <w:rPr>
                <w:color w:val="auto"/>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GB3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rFonts w:hint="eastAsia"/>
                <w:color w:val="000000" w:themeColor="text1"/>
                <w14:textFill>
                  <w14:solidFill>
                    <w14:schemeClr w14:val="tx1"/>
                  </w14:solidFill>
                </w14:textFill>
              </w:rPr>
              <w:fldChar w:fldCharType="end"/>
            </w:r>
            <w:r>
              <w:rPr>
                <w:rFonts w:hint="eastAsia"/>
                <w:color w:val="auto"/>
              </w:rPr>
              <w:t>水泥筒仓物料输送扬尘</w:t>
            </w:r>
          </w:p>
          <w:p>
            <w:pPr>
              <w:pStyle w:val="42"/>
              <w:rPr>
                <w:color w:val="auto"/>
              </w:rPr>
            </w:pPr>
            <w:bookmarkStart w:id="13" w:name="_Hlk202860996"/>
            <w:r>
              <w:rPr>
                <w:rFonts w:hint="eastAsia"/>
                <w:color w:val="auto"/>
                <w:lang w:val="en-US" w:eastAsia="zh-CN"/>
              </w:rPr>
              <w:t>商品混凝土生产区：商品混凝土生产区</w:t>
            </w:r>
            <w:r>
              <w:rPr>
                <w:rFonts w:hint="eastAsia"/>
                <w:color w:val="auto"/>
              </w:rPr>
              <w:t>进入水泥筒仓物料为</w:t>
            </w:r>
            <w:r>
              <w:rPr>
                <w:rFonts w:hint="eastAsia"/>
                <w:color w:val="auto"/>
                <w:lang w:val="en-US" w:eastAsia="zh-CN"/>
              </w:rPr>
              <w:t>1620</w:t>
            </w:r>
            <w:r>
              <w:rPr>
                <w:rFonts w:hint="eastAsia"/>
                <w:color w:val="auto"/>
              </w:rPr>
              <w:t>t/a</w:t>
            </w:r>
            <w:bookmarkEnd w:id="13"/>
            <w:r>
              <w:rPr>
                <w:rFonts w:hint="eastAsia"/>
                <w:color w:val="auto"/>
              </w:rPr>
              <w:t>，</w:t>
            </w:r>
            <w:r>
              <w:rPr>
                <w:rFonts w:hint="eastAsia"/>
                <w:color w:val="auto"/>
                <w:lang w:val="en-US" w:eastAsia="zh-CN"/>
              </w:rPr>
              <w:t>2个水泥卧仓，</w:t>
            </w:r>
            <w:r>
              <w:rPr>
                <w:rFonts w:hint="eastAsia"/>
                <w:color w:val="auto"/>
              </w:rPr>
              <w:t>单个仓容积</w:t>
            </w:r>
            <w:r>
              <w:rPr>
                <w:rFonts w:hint="eastAsia"/>
                <w:color w:val="auto"/>
                <w:lang w:val="en-US" w:eastAsia="zh-CN"/>
              </w:rPr>
              <w:t>100</w:t>
            </w:r>
            <w:r>
              <w:rPr>
                <w:rFonts w:hint="eastAsia"/>
                <w:color w:val="auto"/>
              </w:rPr>
              <w:t>m</w:t>
            </w:r>
            <w:r>
              <w:rPr>
                <w:color w:val="auto"/>
                <w:vertAlign w:val="superscript"/>
              </w:rPr>
              <w:t>3</w:t>
            </w:r>
            <w:r>
              <w:rPr>
                <w:rFonts w:hint="eastAsia"/>
                <w:color w:val="auto"/>
              </w:rPr>
              <w:t>，约</w:t>
            </w:r>
            <w:r>
              <w:rPr>
                <w:color w:val="auto"/>
              </w:rPr>
              <w:t>150</w:t>
            </w:r>
            <w:r>
              <w:rPr>
                <w:rFonts w:hint="eastAsia"/>
                <w:color w:val="auto"/>
              </w:rPr>
              <w:t>t。</w:t>
            </w:r>
            <w:bookmarkStart w:id="14" w:name="_Hlk202861012"/>
            <w:r>
              <w:rPr>
                <w:rFonts w:hint="eastAsia"/>
                <w:color w:val="auto"/>
              </w:rPr>
              <w:t>根据《排放源统计调查产排污核算方法和系数手册》中3021水泥制品制造（含3022砼结构构件制造、3029其他水泥类似制品制造）行业系数手册，</w:t>
            </w:r>
            <w:r>
              <w:rPr>
                <w:rFonts w:hint="eastAsia"/>
                <w:color w:val="auto"/>
                <w:lang w:val="en-US" w:eastAsia="zh-CN"/>
              </w:rPr>
              <w:t>水泥筒仓</w:t>
            </w:r>
            <w:r>
              <w:rPr>
                <w:rFonts w:hint="eastAsia"/>
                <w:color w:val="auto"/>
                <w:spacing w:val="-8"/>
              </w:rPr>
              <w:t>物料输送储存粉尘产污系数为产生粉尘0.</w:t>
            </w:r>
            <w:r>
              <w:rPr>
                <w:color w:val="auto"/>
                <w:spacing w:val="-8"/>
              </w:rPr>
              <w:t>1</w:t>
            </w:r>
            <w:r>
              <w:rPr>
                <w:rFonts w:hint="eastAsia"/>
                <w:color w:val="auto"/>
                <w:spacing w:val="-8"/>
              </w:rPr>
              <w:t>2kg/t-产品</w:t>
            </w:r>
            <w:bookmarkEnd w:id="14"/>
            <w:r>
              <w:rPr>
                <w:rFonts w:hint="eastAsia"/>
                <w:color w:val="auto"/>
                <w:spacing w:val="-8"/>
              </w:rPr>
              <w:t>，</w:t>
            </w:r>
            <w:r>
              <w:rPr>
                <w:rFonts w:hint="eastAsia"/>
                <w:color w:val="auto"/>
              </w:rPr>
              <w:t>在此过程中粉尘产生量为</w:t>
            </w:r>
            <w:r>
              <w:rPr>
                <w:rFonts w:hint="eastAsia"/>
                <w:color w:val="auto"/>
                <w:lang w:val="en-US" w:eastAsia="zh-CN"/>
              </w:rPr>
              <w:t>1.44</w:t>
            </w:r>
            <w:r>
              <w:rPr>
                <w:rFonts w:hint="eastAsia"/>
                <w:color w:val="auto"/>
              </w:rPr>
              <w:t>t/a（</w:t>
            </w:r>
            <w:r>
              <w:rPr>
                <w:rFonts w:hint="eastAsia"/>
                <w:color w:val="auto"/>
                <w:lang w:val="en-US" w:eastAsia="zh-CN"/>
              </w:rPr>
              <w:t>1.2</w:t>
            </w:r>
            <w:r>
              <w:rPr>
                <w:rFonts w:hint="eastAsia"/>
                <w:color w:val="auto"/>
              </w:rPr>
              <w:t>kg/h），</w:t>
            </w:r>
            <w:bookmarkStart w:id="15" w:name="_Hlk202861129"/>
            <w:r>
              <w:rPr>
                <w:rFonts w:hint="eastAsia"/>
                <w:color w:val="auto"/>
                <w:lang w:val="en-US" w:eastAsia="zh-CN"/>
              </w:rPr>
              <w:t>每个卧</w:t>
            </w:r>
            <w:r>
              <w:rPr>
                <w:rFonts w:hint="eastAsia" w:ascii="Times New Roman" w:hAnsi="Times New Roman" w:eastAsia="宋体" w:cs="Times New Roman"/>
                <w:color w:val="auto"/>
                <w:kern w:val="0"/>
                <w:sz w:val="24"/>
                <w:szCs w:val="24"/>
                <w:highlight w:val="none"/>
                <w:lang w:val="en-US" w:eastAsia="zh-CN" w:bidi="ar"/>
              </w:rPr>
              <w:t>仓</w:t>
            </w:r>
            <w:r>
              <w:rPr>
                <w:rFonts w:hint="eastAsia"/>
                <w:color w:val="auto"/>
                <w:lang w:val="en-US" w:eastAsia="zh-CN"/>
              </w:rPr>
              <w:t>的</w:t>
            </w:r>
            <w:r>
              <w:rPr>
                <w:rFonts w:hint="eastAsia"/>
                <w:color w:val="auto"/>
              </w:rPr>
              <w:t>粉尘产生量为</w:t>
            </w:r>
            <w:r>
              <w:rPr>
                <w:rFonts w:hint="eastAsia"/>
                <w:color w:val="auto"/>
                <w:lang w:val="en-US" w:eastAsia="zh-CN"/>
              </w:rPr>
              <w:t>0.72</w:t>
            </w:r>
            <w:r>
              <w:rPr>
                <w:rFonts w:hint="eastAsia"/>
                <w:color w:val="auto"/>
              </w:rPr>
              <w:t>t/a（</w:t>
            </w:r>
            <w:r>
              <w:rPr>
                <w:rFonts w:hint="eastAsia"/>
                <w:color w:val="auto"/>
                <w:lang w:val="en-US" w:eastAsia="zh-CN"/>
              </w:rPr>
              <w:t>0.6</w:t>
            </w:r>
            <w:r>
              <w:rPr>
                <w:rFonts w:hint="eastAsia"/>
                <w:color w:val="auto"/>
              </w:rPr>
              <w:t>kg/h），</w:t>
            </w:r>
            <w:r>
              <w:rPr>
                <w:rFonts w:hint="eastAsia"/>
                <w:color w:val="auto"/>
                <w:lang w:val="en-US" w:eastAsia="zh-CN"/>
              </w:rPr>
              <w:t>卧</w:t>
            </w:r>
            <w:r>
              <w:rPr>
                <w:rFonts w:hint="eastAsia" w:ascii="Times New Roman" w:hAnsi="Times New Roman" w:eastAsia="宋体" w:cs="Times New Roman"/>
                <w:color w:val="auto"/>
                <w:kern w:val="0"/>
                <w:sz w:val="24"/>
                <w:szCs w:val="24"/>
                <w:highlight w:val="none"/>
                <w:lang w:val="en-US" w:eastAsia="zh-CN" w:bidi="ar"/>
              </w:rPr>
              <w:t>仓废气负压收集后经仓顶布袋除尘器（处理效率 99.7%）处理后分别由 15m 排气筒</w:t>
            </w:r>
            <w:r>
              <w:rPr>
                <w:rFonts w:hint="default" w:ascii="Times New Roman" w:hAnsi="Times New Roman" w:eastAsia="宋体" w:cs="Times New Roman"/>
                <w:i w:val="0"/>
                <w:iCs w:val="0"/>
                <w:color w:val="auto"/>
                <w:sz w:val="24"/>
                <w:szCs w:val="24"/>
                <w:highlight w:val="none"/>
                <w:u w:val="none"/>
              </w:rPr>
              <w:t>（</w:t>
            </w:r>
            <w:r>
              <w:rPr>
                <w:rFonts w:hint="default" w:ascii="Times New Roman" w:hAnsi="Times New Roman" w:eastAsia="宋体" w:cs="Times New Roman"/>
                <w:i w:val="0"/>
                <w:iCs w:val="0"/>
                <w:color w:val="auto"/>
                <w:sz w:val="24"/>
                <w:szCs w:val="24"/>
                <w:highlight w:val="none"/>
                <w:u w:val="none"/>
                <w:lang w:eastAsia="zh-CN"/>
              </w:rPr>
              <w:t>DA00</w:t>
            </w:r>
            <w:r>
              <w:rPr>
                <w:rFonts w:hint="default" w:ascii="Times New Roman" w:hAnsi="Times New Roman" w:eastAsia="宋体" w:cs="Times New Roman"/>
                <w:i w:val="0"/>
                <w:iCs w:val="0"/>
                <w:color w:val="auto"/>
                <w:sz w:val="24"/>
                <w:szCs w:val="24"/>
                <w:highlight w:val="none"/>
                <w:u w:val="none"/>
                <w:lang w:val="en-US" w:eastAsia="zh-CN"/>
              </w:rPr>
              <w:t>1</w:t>
            </w:r>
            <w:r>
              <w:rPr>
                <w:rFonts w:hint="eastAsia" w:ascii="Times New Roman" w:hAnsi="Times New Roman" w:eastAsia="宋体" w:cs="Times New Roman"/>
                <w:i w:val="0"/>
                <w:iCs w:val="0"/>
                <w:color w:val="auto"/>
                <w:sz w:val="24"/>
                <w:szCs w:val="24"/>
                <w:highlight w:val="none"/>
                <w:u w:val="none"/>
                <w:lang w:val="en-US" w:eastAsia="zh-CN"/>
              </w:rPr>
              <w:t>、DA002</w:t>
            </w:r>
            <w:r>
              <w:rPr>
                <w:rFonts w:hint="default" w:ascii="Times New Roman" w:hAnsi="Times New Roman" w:eastAsia="宋体" w:cs="Times New Roman"/>
                <w:i w:val="0"/>
                <w:iCs w:val="0"/>
                <w:color w:val="auto"/>
                <w:sz w:val="24"/>
                <w:szCs w:val="24"/>
                <w:highlight w:val="none"/>
                <w:u w:val="none"/>
              </w:rPr>
              <w:t>）</w:t>
            </w:r>
            <w:r>
              <w:rPr>
                <w:rFonts w:hint="eastAsia" w:ascii="Times New Roman" w:hAnsi="Times New Roman" w:eastAsia="宋体" w:cs="Times New Roman"/>
                <w:color w:val="auto"/>
                <w:kern w:val="0"/>
                <w:sz w:val="24"/>
                <w:szCs w:val="24"/>
                <w:highlight w:val="none"/>
                <w:lang w:val="en-US" w:eastAsia="zh-CN" w:bidi="ar"/>
              </w:rPr>
              <w:t>排放，风量均为 8000m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/h，则每个水泥</w:t>
            </w:r>
            <w:r>
              <w:rPr>
                <w:rFonts w:hint="eastAsia"/>
                <w:color w:val="auto"/>
                <w:lang w:val="en-US" w:eastAsia="zh-CN"/>
              </w:rPr>
              <w:t>卧</w:t>
            </w:r>
            <w:r>
              <w:rPr>
                <w:rFonts w:hint="eastAsia" w:ascii="Times New Roman" w:hAnsi="Times New Roman" w:eastAsia="宋体" w:cs="Times New Roman"/>
                <w:color w:val="auto"/>
                <w:kern w:val="0"/>
                <w:sz w:val="24"/>
                <w:szCs w:val="24"/>
                <w:highlight w:val="none"/>
                <w:lang w:val="en-US" w:eastAsia="zh-CN" w:bidi="ar"/>
              </w:rPr>
              <w:t>仓粉尘排放量为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02</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bookmarkEnd w:id="15"/>
            <w:r>
              <w:rPr>
                <w:rFonts w:hint="eastAsia"/>
                <w:color w:val="auto"/>
              </w:rPr>
              <w:t>，</w:t>
            </w:r>
            <w:r>
              <w:rPr>
                <w:rFonts w:hint="default" w:ascii="Times New Roman" w:hAnsi="Times New Roman" w:eastAsia="宋体" w:cs="Times New Roman"/>
                <w:b w:val="0"/>
                <w:bCs/>
                <w:color w:val="auto"/>
                <w:kern w:val="2"/>
                <w:sz w:val="24"/>
                <w:szCs w:val="24"/>
                <w:highlight w:val="none"/>
                <w:lang w:val="en-US" w:eastAsia="zh-CN" w:bidi="ar-SA"/>
              </w:rPr>
              <w:t>排放浓度为</w:t>
            </w:r>
            <w:r>
              <w:rPr>
                <w:rFonts w:hint="eastAsia" w:cs="Times New Roman"/>
                <w:b w:val="0"/>
                <w:bCs/>
                <w:color w:val="auto"/>
                <w:kern w:val="2"/>
                <w:sz w:val="24"/>
                <w:szCs w:val="24"/>
                <w:highlight w:val="none"/>
                <w:lang w:val="en-US" w:eastAsia="zh-CN" w:bidi="ar-SA"/>
              </w:rPr>
              <w:t>0.25</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eastAsia"/>
                <w:color w:val="auto"/>
              </w:rPr>
              <w:t>。</w:t>
            </w:r>
          </w:p>
          <w:p>
            <w:pPr>
              <w:pStyle w:val="42"/>
              <w:rPr>
                <w:rFonts w:hint="eastAsia"/>
                <w:color w:val="auto"/>
                <w:lang w:val="en-US" w:eastAsia="zh-CN"/>
              </w:rPr>
            </w:pPr>
            <w:r>
              <w:rPr>
                <w:rFonts w:hint="eastAsia"/>
                <w:color w:val="auto"/>
                <w:lang w:val="en-US" w:eastAsia="zh-CN"/>
              </w:rPr>
              <w:t>水泥稳定碎石生产区：水泥稳定碎石生产区</w:t>
            </w:r>
            <w:r>
              <w:rPr>
                <w:rFonts w:hint="eastAsia"/>
                <w:color w:val="auto"/>
              </w:rPr>
              <w:t>进入水泥筒仓物料为</w:t>
            </w:r>
            <w:r>
              <w:rPr>
                <w:rFonts w:hint="eastAsia"/>
                <w:color w:val="auto"/>
                <w:lang w:val="en-US" w:eastAsia="zh-CN"/>
              </w:rPr>
              <w:t>1800</w:t>
            </w:r>
            <w:r>
              <w:rPr>
                <w:rFonts w:hint="eastAsia"/>
                <w:color w:val="auto"/>
              </w:rPr>
              <w:t>t/a，</w:t>
            </w:r>
            <w:r>
              <w:rPr>
                <w:rFonts w:hint="eastAsia"/>
                <w:color w:val="auto"/>
                <w:lang w:val="en-US" w:eastAsia="zh-CN"/>
              </w:rPr>
              <w:t>1个水泥筒仓，</w:t>
            </w:r>
            <w:r>
              <w:rPr>
                <w:rFonts w:hint="eastAsia"/>
                <w:color w:val="auto"/>
              </w:rPr>
              <w:t>单个仓容积</w:t>
            </w:r>
            <w:r>
              <w:rPr>
                <w:rFonts w:hint="eastAsia"/>
                <w:color w:val="auto"/>
                <w:lang w:val="en-US" w:eastAsia="zh-CN"/>
              </w:rPr>
              <w:t>100</w:t>
            </w:r>
            <w:r>
              <w:rPr>
                <w:rFonts w:hint="eastAsia"/>
                <w:color w:val="auto"/>
              </w:rPr>
              <w:t>m</w:t>
            </w:r>
            <w:r>
              <w:rPr>
                <w:color w:val="auto"/>
                <w:vertAlign w:val="superscript"/>
              </w:rPr>
              <w:t>3</w:t>
            </w:r>
            <w:r>
              <w:rPr>
                <w:rFonts w:hint="eastAsia"/>
                <w:color w:val="auto"/>
              </w:rPr>
              <w:t>，约</w:t>
            </w:r>
            <w:r>
              <w:rPr>
                <w:color w:val="auto"/>
              </w:rPr>
              <w:t>150</w:t>
            </w:r>
            <w:r>
              <w:rPr>
                <w:rFonts w:hint="eastAsia"/>
                <w:color w:val="auto"/>
              </w:rPr>
              <w:t>t。根据《排放源统计调查产排污核算方法和系数手册》中3021水泥制品制造（含3022砼结构构件制造、3029其他水泥类似制品制造）行业系数手册，</w:t>
            </w:r>
            <w:r>
              <w:rPr>
                <w:rFonts w:hint="eastAsia"/>
                <w:color w:val="auto"/>
                <w:lang w:val="en-US" w:eastAsia="zh-CN"/>
              </w:rPr>
              <w:t>水泥筒仓</w:t>
            </w:r>
            <w:r>
              <w:rPr>
                <w:rFonts w:hint="eastAsia"/>
                <w:color w:val="auto"/>
                <w:spacing w:val="-8"/>
              </w:rPr>
              <w:t>物料输送储存粉尘产污系数为产生粉尘0.</w:t>
            </w:r>
            <w:r>
              <w:rPr>
                <w:color w:val="auto"/>
                <w:spacing w:val="-8"/>
              </w:rPr>
              <w:t>1</w:t>
            </w:r>
            <w:r>
              <w:rPr>
                <w:rFonts w:hint="eastAsia"/>
                <w:color w:val="auto"/>
                <w:spacing w:val="-8"/>
              </w:rPr>
              <w:t>2kg/t-产品，</w:t>
            </w:r>
            <w:r>
              <w:rPr>
                <w:rFonts w:hint="eastAsia"/>
                <w:color w:val="auto"/>
              </w:rPr>
              <w:t>在此过程中粉尘产生量为</w:t>
            </w:r>
            <w:r>
              <w:rPr>
                <w:rFonts w:hint="eastAsia"/>
                <w:color w:val="auto"/>
                <w:lang w:val="en-US" w:eastAsia="zh-CN"/>
              </w:rPr>
              <w:t>4.32</w:t>
            </w:r>
            <w:r>
              <w:rPr>
                <w:rFonts w:hint="eastAsia"/>
                <w:color w:val="auto"/>
              </w:rPr>
              <w:t>t/a（</w:t>
            </w:r>
            <w:r>
              <w:rPr>
                <w:rFonts w:hint="eastAsia"/>
                <w:color w:val="auto"/>
                <w:lang w:val="en-US" w:eastAsia="zh-CN"/>
              </w:rPr>
              <w:t>3.6</w:t>
            </w:r>
            <w:r>
              <w:rPr>
                <w:rFonts w:hint="eastAsia"/>
                <w:color w:val="auto"/>
              </w:rPr>
              <w:t>kg/h），</w:t>
            </w:r>
            <w:r>
              <w:rPr>
                <w:rFonts w:hint="eastAsia" w:ascii="Times New Roman" w:hAnsi="Times New Roman" w:eastAsia="宋体" w:cs="Times New Roman"/>
                <w:color w:val="auto"/>
                <w:kern w:val="0"/>
                <w:sz w:val="24"/>
                <w:szCs w:val="24"/>
                <w:highlight w:val="none"/>
                <w:lang w:val="en-US" w:eastAsia="zh-CN" w:bidi="ar"/>
              </w:rPr>
              <w:t>筒仓废气负压收集后经仓顶布袋除尘器（处理效率 99.7%）处理后由 15m 排气筒（DA003）排放，风量均为 8000m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/h，则水泥筒仓粉尘排放量为0.01</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.01</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r>
              <w:rPr>
                <w:rFonts w:hint="eastAsia"/>
                <w:color w:val="auto"/>
              </w:rPr>
              <w:t>，</w:t>
            </w:r>
            <w:r>
              <w:rPr>
                <w:rFonts w:hint="default" w:ascii="Times New Roman" w:hAnsi="Times New Roman" w:eastAsia="宋体" w:cs="Times New Roman"/>
                <w:b w:val="0"/>
                <w:bCs/>
                <w:color w:val="auto"/>
                <w:kern w:val="2"/>
                <w:sz w:val="24"/>
                <w:szCs w:val="24"/>
                <w:highlight w:val="none"/>
                <w:lang w:val="en-US" w:eastAsia="zh-CN" w:bidi="ar-SA"/>
              </w:rPr>
              <w:t>排放浓度为</w:t>
            </w:r>
            <w:r>
              <w:rPr>
                <w:rFonts w:hint="eastAsia" w:cs="Times New Roman"/>
                <w:b w:val="0"/>
                <w:bCs/>
                <w:color w:val="auto"/>
                <w:kern w:val="2"/>
                <w:sz w:val="24"/>
                <w:szCs w:val="24"/>
                <w:highlight w:val="none"/>
                <w:lang w:val="en-US" w:eastAsia="zh-CN" w:bidi="ar-SA"/>
              </w:rPr>
              <w:t>1.35</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eastAsia"/>
                <w:color w:val="auto"/>
              </w:rPr>
              <w:t>。</w:t>
            </w:r>
          </w:p>
          <w:p>
            <w:pPr>
              <w:pStyle w:val="42"/>
              <w:rPr>
                <w:color w:val="auto"/>
              </w:rPr>
            </w:pPr>
            <w:r>
              <w:rPr>
                <w:rFonts w:hint="eastAsia"/>
                <w:color w:val="auto"/>
              </w:rPr>
              <w:fldChar w:fldCharType="begin"/>
            </w:r>
            <w:r>
              <w:rPr>
                <w:rFonts w:hint="eastAsia"/>
                <w:color w:val="auto"/>
              </w:rPr>
              <w:instrText xml:space="preserve"> = 4 \* GB3 \* MERGEFORMAT </w:instrText>
            </w:r>
            <w:r>
              <w:rPr>
                <w:rFonts w:hint="eastAsia"/>
                <w:color w:val="auto"/>
              </w:rPr>
              <w:fldChar w:fldCharType="separate"/>
            </w:r>
            <w:r>
              <w:rPr>
                <w:color w:val="auto"/>
              </w:rPr>
              <w:t>④</w:t>
            </w:r>
            <w:r>
              <w:rPr>
                <w:rFonts w:hint="eastAsia"/>
                <w:color w:val="auto"/>
              </w:rPr>
              <w:fldChar w:fldCharType="end"/>
            </w:r>
            <w:r>
              <w:rPr>
                <w:rFonts w:hint="eastAsia"/>
                <w:color w:val="auto"/>
              </w:rPr>
              <w:t>物料混合搅拌</w:t>
            </w:r>
          </w:p>
          <w:p>
            <w:pPr>
              <w:adjustRightInd w:val="0"/>
              <w:snapToGrid w:val="0"/>
              <w:spacing w:line="360" w:lineRule="auto"/>
              <w:ind w:firstLine="480" w:firstLineChars="200"/>
              <w:rPr>
                <w:color w:val="auto"/>
              </w:rPr>
            </w:pPr>
            <w:bookmarkStart w:id="16" w:name="_Hlk202861626"/>
            <w:r>
              <w:rPr>
                <w:rFonts w:hint="eastAsia"/>
                <w:color w:val="auto"/>
                <w:lang w:val="en-US" w:eastAsia="zh-CN"/>
              </w:rPr>
              <w:t>商品混凝土生产区：</w:t>
            </w:r>
            <w:r>
              <w:rPr>
                <w:rFonts w:hint="eastAsia"/>
                <w:color w:val="auto"/>
              </w:rPr>
              <w:t>根据《排放源统计调查产排污核算方法和系数手册》中3021水泥制品制造（含3022砼结构构件制造、3029其他水泥类似制品制造）行业系数手册，混凝土制品生产在物料混合搅拌产生粉尘产物系数为0.13kg/t产品，粉尘产生量</w:t>
            </w:r>
            <w:r>
              <w:rPr>
                <w:rFonts w:hint="eastAsia"/>
                <w:color w:val="auto"/>
                <w:lang w:val="en-US" w:eastAsia="zh-CN"/>
              </w:rPr>
              <w:t>1.56</w:t>
            </w:r>
            <w:r>
              <w:rPr>
                <w:rFonts w:hint="eastAsia"/>
                <w:color w:val="auto"/>
              </w:rPr>
              <w:t>t/a。</w:t>
            </w:r>
            <w:r>
              <w:rPr>
                <w:rFonts w:hint="default" w:ascii="Times New Roman" w:hAnsi="Times New Roman" w:eastAsia="宋体" w:cs="Times New Roman"/>
                <w:b w:val="0"/>
                <w:bCs/>
                <w:color w:val="auto"/>
                <w:kern w:val="2"/>
                <w:sz w:val="24"/>
                <w:szCs w:val="24"/>
                <w:highlight w:val="none"/>
                <w:lang w:val="en-US" w:eastAsia="zh-CN" w:bidi="ar-SA"/>
              </w:rPr>
              <w:t>本项目拟在搅拌机通气口设置1套布袋除尘器</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
              </w:rPr>
              <w:t>经布袋除尘器（处理效率 99.7%）处理后由 15m 排气筒（DA004）排放，风量为</w:t>
            </w:r>
            <w:r>
              <w:rPr>
                <w:rFonts w:hint="eastAsia" w:cs="Times New Roman"/>
                <w:color w:val="auto"/>
                <w:kern w:val="0"/>
                <w:sz w:val="24"/>
                <w:szCs w:val="24"/>
                <w:highlight w:val="none"/>
                <w:lang w:val="en-US" w:eastAsia="zh-CN" w:bidi="ar"/>
              </w:rPr>
              <w:t>8</w:t>
            </w:r>
            <w:r>
              <w:rPr>
                <w:rFonts w:hint="eastAsia" w:ascii="Times New Roman" w:hAnsi="Times New Roman" w:eastAsia="宋体" w:cs="Times New Roman"/>
                <w:color w:val="auto"/>
                <w:kern w:val="0"/>
                <w:sz w:val="24"/>
                <w:szCs w:val="24"/>
                <w:highlight w:val="none"/>
                <w:lang w:val="en-US" w:eastAsia="zh-CN" w:bidi="ar"/>
              </w:rPr>
              <w:t>000m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b w:val="0"/>
                <w:bCs/>
                <w:color w:val="auto"/>
                <w:kern w:val="2"/>
                <w:sz w:val="24"/>
                <w:szCs w:val="24"/>
                <w:highlight w:val="none"/>
                <w:lang w:val="en-US" w:eastAsia="zh-CN" w:bidi="ar-SA"/>
              </w:rPr>
              <w:t>则</w:t>
            </w:r>
            <w:r>
              <w:rPr>
                <w:rFonts w:hint="default" w:ascii="Times New Roman" w:hAnsi="Times New Roman" w:eastAsia="宋体" w:cs="Times New Roman"/>
                <w:b w:val="0"/>
                <w:bCs/>
                <w:color w:val="auto"/>
                <w:kern w:val="2"/>
                <w:sz w:val="24"/>
                <w:szCs w:val="24"/>
                <w:highlight w:val="none"/>
                <w:lang w:val="en-US" w:eastAsia="zh-CN" w:bidi="ar-SA"/>
              </w:rPr>
              <w:t>搅拌过程粉尘排放量为</w:t>
            </w:r>
            <w:r>
              <w:rPr>
                <w:rFonts w:hint="eastAsia" w:cs="Times New Roman"/>
                <w:b w:val="0"/>
                <w:bCs/>
                <w:color w:val="auto"/>
                <w:kern w:val="2"/>
                <w:sz w:val="24"/>
                <w:szCs w:val="24"/>
                <w:highlight w:val="none"/>
                <w:lang w:val="en-US" w:eastAsia="zh-CN" w:bidi="ar-SA"/>
              </w:rPr>
              <w:t>0.005</w:t>
            </w:r>
            <w:r>
              <w:rPr>
                <w:rFonts w:hint="default" w:ascii="Times New Roman" w:hAnsi="Times New Roman" w:eastAsia="宋体" w:cs="Times New Roman"/>
                <w:b w:val="0"/>
                <w:bCs/>
                <w:color w:val="auto"/>
                <w:kern w:val="2"/>
                <w:sz w:val="24"/>
                <w:szCs w:val="24"/>
                <w:highlight w:val="none"/>
                <w:lang w:val="en-US" w:eastAsia="zh-CN" w:bidi="ar-SA"/>
              </w:rPr>
              <w:t>t/a，排放速率为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.004</w:t>
            </w:r>
            <w:r>
              <w:rPr>
                <w:rFonts w:hint="default" w:ascii="Times New Roman" w:hAnsi="Times New Roman" w:eastAsia="宋体" w:cs="Times New Roman"/>
                <w:b w:val="0"/>
                <w:bCs/>
                <w:color w:val="auto"/>
                <w:kern w:val="2"/>
                <w:sz w:val="24"/>
                <w:szCs w:val="24"/>
                <w:highlight w:val="none"/>
                <w:lang w:val="en-US" w:eastAsia="zh-CN" w:bidi="ar-SA"/>
              </w:rPr>
              <w:t>kg/h，排放浓度为</w:t>
            </w:r>
            <w:r>
              <w:rPr>
                <w:rFonts w:hint="eastAsia" w:cs="Times New Roman"/>
                <w:b w:val="0"/>
                <w:bCs/>
                <w:color w:val="auto"/>
                <w:kern w:val="2"/>
                <w:sz w:val="24"/>
                <w:szCs w:val="24"/>
                <w:highlight w:val="none"/>
                <w:lang w:val="en-US" w:eastAsia="zh-CN" w:bidi="ar-SA"/>
              </w:rPr>
              <w:t>0.5</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bookmarkEnd w:id="16"/>
          </w:p>
          <w:p>
            <w:pPr>
              <w:spacing w:line="360" w:lineRule="auto"/>
              <w:ind w:firstLine="480"/>
              <w:rPr>
                <w:rFonts w:hint="default" w:ascii="Times New Roman" w:hAnsi="Times New Roman" w:eastAsia="宋体" w:cs="Times New Roman"/>
                <w:i w:val="0"/>
                <w:iCs w:val="0"/>
                <w:color w:val="auto"/>
                <w:highlight w:val="none"/>
                <w:u w:val="none"/>
                <w:lang w:eastAsia="zh-CN"/>
              </w:rPr>
            </w:pPr>
            <w:r>
              <w:rPr>
                <w:rFonts w:hint="eastAsia"/>
                <w:color w:val="auto"/>
                <w:lang w:val="en-US" w:eastAsia="zh-CN"/>
              </w:rPr>
              <w:t>水泥稳定碎石生产区：</w:t>
            </w:r>
            <w:r>
              <w:rPr>
                <w:rFonts w:hint="eastAsia"/>
                <w:color w:val="auto"/>
              </w:rPr>
              <w:t>根据《排放源统计调查产排污核算方法和系数手册》中3021水泥制品制造（含3022砼结构构件制造、3029其他水泥类似制品制造）行业系数手册，混凝土制品生产在物料混合搅拌产生粉尘产物系数为0.13kg/t产品，粉尘产生量</w:t>
            </w:r>
            <w:r>
              <w:rPr>
                <w:rFonts w:hint="eastAsia"/>
                <w:color w:val="auto"/>
                <w:lang w:val="en-US" w:eastAsia="zh-CN"/>
              </w:rPr>
              <w:t>4.68</w:t>
            </w:r>
            <w:r>
              <w:rPr>
                <w:rFonts w:hint="eastAsia"/>
                <w:color w:val="auto"/>
              </w:rPr>
              <w:t>t/a。</w:t>
            </w:r>
            <w:r>
              <w:rPr>
                <w:rFonts w:hint="default" w:ascii="Times New Roman" w:hAnsi="Times New Roman" w:eastAsia="宋体" w:cs="Times New Roman"/>
                <w:b w:val="0"/>
                <w:bCs/>
                <w:color w:val="auto"/>
                <w:kern w:val="2"/>
                <w:sz w:val="24"/>
                <w:szCs w:val="24"/>
                <w:highlight w:val="none"/>
                <w:lang w:val="en-US" w:eastAsia="zh-CN" w:bidi="ar-SA"/>
              </w:rPr>
              <w:t>本项目拟在搅拌机通气口设置1套布袋除尘器</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
              </w:rPr>
              <w:t>经布袋除尘器（处理效率 99.7%）处理后由 15m 排气筒（DA005）排放，风量为</w:t>
            </w:r>
            <w:r>
              <w:rPr>
                <w:rFonts w:hint="eastAsia" w:cs="Times New Roman"/>
                <w:color w:val="auto"/>
                <w:kern w:val="0"/>
                <w:sz w:val="24"/>
                <w:szCs w:val="24"/>
                <w:highlight w:val="none"/>
                <w:lang w:val="en-US" w:eastAsia="zh-CN" w:bidi="ar"/>
              </w:rPr>
              <w:t>8</w:t>
            </w:r>
            <w:r>
              <w:rPr>
                <w:rFonts w:hint="eastAsia" w:ascii="Times New Roman" w:hAnsi="Times New Roman" w:eastAsia="宋体" w:cs="Times New Roman"/>
                <w:color w:val="auto"/>
                <w:kern w:val="0"/>
                <w:sz w:val="24"/>
                <w:szCs w:val="24"/>
                <w:highlight w:val="none"/>
                <w:lang w:val="en-US" w:eastAsia="zh-CN" w:bidi="ar"/>
              </w:rPr>
              <w:t>000m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b w:val="0"/>
                <w:bCs/>
                <w:color w:val="auto"/>
                <w:kern w:val="2"/>
                <w:sz w:val="24"/>
                <w:szCs w:val="24"/>
                <w:highlight w:val="none"/>
                <w:lang w:val="en-US" w:eastAsia="zh-CN" w:bidi="ar-SA"/>
              </w:rPr>
              <w:t>则</w:t>
            </w:r>
            <w:r>
              <w:rPr>
                <w:rFonts w:hint="default" w:ascii="Times New Roman" w:hAnsi="Times New Roman" w:eastAsia="宋体" w:cs="Times New Roman"/>
                <w:b w:val="0"/>
                <w:bCs/>
                <w:color w:val="auto"/>
                <w:kern w:val="2"/>
                <w:sz w:val="24"/>
                <w:szCs w:val="24"/>
                <w:highlight w:val="none"/>
                <w:lang w:val="en-US" w:eastAsia="zh-CN" w:bidi="ar-SA"/>
              </w:rPr>
              <w:t>搅拌过程粉尘排放量为</w:t>
            </w:r>
            <w:r>
              <w:rPr>
                <w:rFonts w:hint="eastAsia" w:cs="Times New Roman"/>
                <w:b w:val="0"/>
                <w:bCs/>
                <w:color w:val="auto"/>
                <w:kern w:val="2"/>
                <w:sz w:val="24"/>
                <w:szCs w:val="24"/>
                <w:highlight w:val="none"/>
                <w:lang w:val="en-US" w:eastAsia="zh-CN" w:bidi="ar-SA"/>
              </w:rPr>
              <w:t>0.014</w:t>
            </w:r>
            <w:r>
              <w:rPr>
                <w:rFonts w:hint="default" w:ascii="Times New Roman" w:hAnsi="Times New Roman" w:eastAsia="宋体" w:cs="Times New Roman"/>
                <w:b w:val="0"/>
                <w:bCs/>
                <w:color w:val="auto"/>
                <w:kern w:val="2"/>
                <w:sz w:val="24"/>
                <w:szCs w:val="24"/>
                <w:highlight w:val="none"/>
                <w:lang w:val="en-US" w:eastAsia="zh-CN" w:bidi="ar-SA"/>
              </w:rPr>
              <w:t>t/a，排放速率为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.012</w:t>
            </w:r>
            <w:r>
              <w:rPr>
                <w:rFonts w:hint="default" w:ascii="Times New Roman" w:hAnsi="Times New Roman" w:eastAsia="宋体" w:cs="Times New Roman"/>
                <w:b w:val="0"/>
                <w:bCs/>
                <w:color w:val="auto"/>
                <w:kern w:val="2"/>
                <w:sz w:val="24"/>
                <w:szCs w:val="24"/>
                <w:highlight w:val="none"/>
                <w:lang w:val="en-US" w:eastAsia="zh-CN" w:bidi="ar-SA"/>
              </w:rPr>
              <w:t>kg/h，排放浓度为</w:t>
            </w:r>
            <w:r>
              <w:rPr>
                <w:rFonts w:hint="eastAsia" w:cs="Times New Roman"/>
                <w:b w:val="0"/>
                <w:bCs/>
                <w:color w:val="auto"/>
                <w:kern w:val="2"/>
                <w:sz w:val="24"/>
                <w:szCs w:val="24"/>
                <w:highlight w:val="none"/>
                <w:lang w:val="en-US" w:eastAsia="zh-CN" w:bidi="ar-SA"/>
              </w:rPr>
              <w:t>1.5</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p>
          <w:p>
            <w:pPr>
              <w:spacing w:line="360" w:lineRule="auto"/>
              <w:ind w:firstLine="480"/>
              <w:rPr>
                <w:rFonts w:hint="default" w:ascii="Times New Roman" w:hAnsi="Times New Roman" w:eastAsia="宋体" w:cs="Times New Roman"/>
                <w:i w:val="0"/>
                <w:iCs w:val="0"/>
                <w:color w:val="auto"/>
                <w:highlight w:val="none"/>
                <w:u w:val="none"/>
              </w:rPr>
            </w:pPr>
            <w:r>
              <w:rPr>
                <w:rFonts w:hint="default" w:ascii="Times New Roman" w:hAnsi="Times New Roman" w:eastAsia="宋体" w:cs="Times New Roman"/>
                <w:i w:val="0"/>
                <w:iCs w:val="0"/>
                <w:color w:val="auto"/>
                <w:highlight w:val="none"/>
                <w:u w:val="none"/>
                <w:lang w:eastAsia="zh-CN"/>
              </w:rPr>
              <w:fldChar w:fldCharType="begin"/>
            </w:r>
            <w:r>
              <w:rPr>
                <w:rFonts w:hint="default" w:ascii="Times New Roman" w:hAnsi="Times New Roman" w:eastAsia="宋体" w:cs="Times New Roman"/>
                <w:i w:val="0"/>
                <w:iCs w:val="0"/>
                <w:color w:val="auto"/>
                <w:highlight w:val="none"/>
                <w:u w:val="none"/>
                <w:lang w:eastAsia="zh-CN"/>
              </w:rPr>
              <w:instrText xml:space="preserve"> = 5 \* GB3 \* MERGEFORMAT </w:instrText>
            </w:r>
            <w:r>
              <w:rPr>
                <w:rFonts w:hint="default" w:ascii="Times New Roman" w:hAnsi="Times New Roman" w:eastAsia="宋体" w:cs="Times New Roman"/>
                <w:i w:val="0"/>
                <w:iCs w:val="0"/>
                <w:color w:val="auto"/>
                <w:highlight w:val="none"/>
                <w:u w:val="none"/>
                <w:lang w:eastAsia="zh-CN"/>
              </w:rPr>
              <w:fldChar w:fldCharType="separate"/>
            </w:r>
            <w:r>
              <w:t>⑤</w:t>
            </w:r>
            <w:r>
              <w:rPr>
                <w:rFonts w:hint="default" w:ascii="Times New Roman" w:hAnsi="Times New Roman" w:eastAsia="宋体" w:cs="Times New Roman"/>
                <w:i w:val="0"/>
                <w:iCs w:val="0"/>
                <w:color w:val="auto"/>
                <w:highlight w:val="none"/>
                <w:u w:val="none"/>
                <w:lang w:eastAsia="zh-CN"/>
              </w:rPr>
              <w:fldChar w:fldCharType="end"/>
            </w:r>
            <w:r>
              <w:rPr>
                <w:rFonts w:hint="default" w:ascii="Times New Roman" w:hAnsi="Times New Roman" w:eastAsia="宋体" w:cs="Times New Roman"/>
                <w:i w:val="0"/>
                <w:iCs w:val="0"/>
                <w:color w:val="auto"/>
                <w:highlight w:val="none"/>
                <w:u w:val="none"/>
                <w:lang w:val="en-US" w:eastAsia="zh-CN"/>
              </w:rPr>
              <w:t>粉料仓</w:t>
            </w:r>
            <w:r>
              <w:rPr>
                <w:rFonts w:hint="default" w:ascii="Times New Roman" w:hAnsi="Times New Roman" w:eastAsia="宋体" w:cs="Times New Roman"/>
                <w:i w:val="0"/>
                <w:iCs w:val="0"/>
                <w:color w:val="auto"/>
                <w:highlight w:val="none"/>
                <w:u w:val="none"/>
              </w:rPr>
              <w:t>呼吸口粉尘</w:t>
            </w:r>
          </w:p>
          <w:p>
            <w:pPr>
              <w:adjustRightInd w:val="0"/>
              <w:snapToGrid w:val="0"/>
              <w:spacing w:line="360" w:lineRule="auto"/>
              <w:ind w:firstLine="480" w:firstLineChars="200"/>
              <w:rPr>
                <w:rFonts w:hint="default" w:ascii="Times New Roman" w:hAnsi="Times New Roman" w:eastAsia="宋体" w:cs="Times New Roman"/>
                <w:i w:val="0"/>
                <w:iCs w:val="0"/>
                <w:color w:val="auto"/>
                <w:highlight w:val="none"/>
                <w:u w:val="none"/>
              </w:rPr>
            </w:pPr>
            <w:r>
              <w:rPr>
                <w:rFonts w:hint="default" w:ascii="Times New Roman" w:hAnsi="Times New Roman" w:eastAsia="宋体" w:cs="Times New Roman"/>
                <w:i w:val="0"/>
                <w:iCs w:val="0"/>
                <w:color w:val="auto"/>
                <w:highlight w:val="none"/>
                <w:u w:val="none"/>
              </w:rPr>
              <w:t>项目</w:t>
            </w:r>
            <w:r>
              <w:rPr>
                <w:rFonts w:hint="eastAsia" w:cs="Times New Roman"/>
                <w:i w:val="0"/>
                <w:iCs w:val="0"/>
                <w:color w:val="auto"/>
                <w:highlight w:val="none"/>
                <w:u w:val="none"/>
                <w:lang w:val="en-US" w:eastAsia="zh-CN"/>
              </w:rPr>
              <w:t>商品混凝土生产区</w:t>
            </w:r>
            <w:r>
              <w:rPr>
                <w:rFonts w:hint="default" w:ascii="Times New Roman" w:hAnsi="Times New Roman" w:eastAsia="宋体" w:cs="Times New Roman"/>
                <w:i w:val="0"/>
                <w:iCs w:val="0"/>
                <w:color w:val="auto"/>
                <w:highlight w:val="none"/>
                <w:u w:val="none"/>
                <w:lang w:val="en-US" w:eastAsia="zh-CN"/>
              </w:rPr>
              <w:t>粉</w:t>
            </w:r>
            <w:r>
              <w:rPr>
                <w:rFonts w:hint="default" w:ascii="Times New Roman" w:hAnsi="Times New Roman" w:eastAsia="宋体" w:cs="Times New Roman"/>
                <w:i w:val="0"/>
                <w:iCs w:val="0"/>
                <w:color w:val="auto"/>
                <w:highlight w:val="none"/>
                <w:u w:val="none"/>
              </w:rPr>
              <w:t>料经真空泵吸入</w:t>
            </w:r>
            <w:r>
              <w:rPr>
                <w:rFonts w:hint="default" w:ascii="Times New Roman" w:hAnsi="Times New Roman" w:eastAsia="宋体" w:cs="Times New Roman"/>
                <w:i w:val="0"/>
                <w:iCs w:val="0"/>
                <w:color w:val="auto"/>
                <w:highlight w:val="none"/>
                <w:u w:val="none"/>
                <w:lang w:val="en-US" w:eastAsia="zh-CN"/>
              </w:rPr>
              <w:t>储料仓</w:t>
            </w:r>
            <w:r>
              <w:rPr>
                <w:rFonts w:hint="default" w:ascii="Times New Roman" w:hAnsi="Times New Roman" w:eastAsia="宋体" w:cs="Times New Roman"/>
                <w:i w:val="0"/>
                <w:iCs w:val="0"/>
                <w:color w:val="auto"/>
                <w:highlight w:val="none"/>
                <w:u w:val="none"/>
              </w:rPr>
              <w:t>中，</w:t>
            </w:r>
            <w:r>
              <w:rPr>
                <w:rFonts w:hint="default" w:ascii="Times New Roman" w:hAnsi="Times New Roman" w:eastAsia="宋体" w:cs="Times New Roman"/>
                <w:i w:val="0"/>
                <w:iCs w:val="0"/>
                <w:color w:val="auto"/>
                <w:highlight w:val="none"/>
                <w:u w:val="none"/>
                <w:lang w:val="en-US" w:eastAsia="zh-CN"/>
              </w:rPr>
              <w:t>参照《排放源统计调查产排污核算方法和系数手册》3021 水泥制品制造（含 3022 砼结构构件、3029 其他水泥类似制品制造）行业系数表的物料储存颗粒物产生系数为0.19kg/t-产品，本项目</w:t>
            </w:r>
            <w:r>
              <w:rPr>
                <w:rFonts w:hint="default" w:ascii="Times New Roman" w:hAnsi="Times New Roman" w:eastAsia="宋体" w:cs="Times New Roman"/>
                <w:i w:val="0"/>
                <w:iCs w:val="0"/>
                <w:color w:val="auto"/>
                <w:highlight w:val="none"/>
                <w:u w:val="none"/>
              </w:rPr>
              <w:t>原料</w:t>
            </w:r>
            <w:r>
              <w:rPr>
                <w:rFonts w:hint="default" w:ascii="Times New Roman" w:hAnsi="Times New Roman" w:eastAsia="宋体" w:cs="Times New Roman"/>
                <w:i w:val="0"/>
                <w:iCs w:val="0"/>
                <w:color w:val="auto"/>
                <w:highlight w:val="none"/>
                <w:u w:val="none"/>
                <w:lang w:val="en-US" w:eastAsia="zh-CN"/>
              </w:rPr>
              <w:t>（粉煤灰、矿粉）</w:t>
            </w:r>
            <w:r>
              <w:rPr>
                <w:rFonts w:hint="default" w:ascii="Times New Roman" w:hAnsi="Times New Roman" w:eastAsia="宋体" w:cs="Times New Roman"/>
                <w:i w:val="0"/>
                <w:iCs w:val="0"/>
                <w:color w:val="auto"/>
                <w:highlight w:val="none"/>
                <w:u w:val="none"/>
              </w:rPr>
              <w:t>用量约为</w:t>
            </w:r>
            <w:r>
              <w:rPr>
                <w:rFonts w:hint="eastAsia" w:cs="Times New Roman"/>
                <w:i w:val="0"/>
                <w:iCs w:val="0"/>
                <w:color w:val="auto"/>
                <w:highlight w:val="none"/>
                <w:u w:val="none"/>
                <w:lang w:val="en-US" w:eastAsia="zh-CN"/>
              </w:rPr>
              <w:t>1360</w:t>
            </w:r>
            <w:r>
              <w:rPr>
                <w:rFonts w:hint="default" w:ascii="Times New Roman" w:hAnsi="Times New Roman" w:eastAsia="宋体" w:cs="Times New Roman"/>
                <w:i w:val="0"/>
                <w:iCs w:val="0"/>
                <w:color w:val="auto"/>
                <w:highlight w:val="none"/>
                <w:u w:val="none"/>
              </w:rPr>
              <w:t>t/a，本项目</w:t>
            </w:r>
            <w:r>
              <w:rPr>
                <w:rFonts w:hint="default" w:ascii="Times New Roman" w:hAnsi="Times New Roman" w:eastAsia="宋体" w:cs="Times New Roman"/>
                <w:i w:val="0"/>
                <w:iCs w:val="0"/>
                <w:color w:val="auto"/>
                <w:highlight w:val="none"/>
                <w:u w:val="none"/>
                <w:lang w:val="en-US" w:eastAsia="zh-CN"/>
              </w:rPr>
              <w:t>储料仓</w:t>
            </w:r>
            <w:r>
              <w:rPr>
                <w:rFonts w:hint="default" w:ascii="Times New Roman" w:hAnsi="Times New Roman" w:eastAsia="宋体" w:cs="Times New Roman"/>
                <w:i w:val="0"/>
                <w:iCs w:val="0"/>
                <w:color w:val="auto"/>
                <w:highlight w:val="none"/>
                <w:u w:val="none"/>
              </w:rPr>
              <w:t>呼吸口粉尘产生量为</w:t>
            </w:r>
            <w:r>
              <w:rPr>
                <w:rFonts w:hint="eastAsia" w:cs="Times New Roman"/>
                <w:i w:val="0"/>
                <w:iCs w:val="0"/>
                <w:color w:val="auto"/>
                <w:highlight w:val="none"/>
                <w:u w:val="none"/>
                <w:lang w:val="en-US" w:eastAsia="zh-CN"/>
              </w:rPr>
              <w:t>2.28</w:t>
            </w:r>
            <w:r>
              <w:rPr>
                <w:rFonts w:hint="default" w:ascii="Times New Roman" w:hAnsi="Times New Roman" w:eastAsia="宋体" w:cs="Times New Roman"/>
                <w:i w:val="0"/>
                <w:iCs w:val="0"/>
                <w:color w:val="auto"/>
                <w:highlight w:val="none"/>
                <w:u w:val="none"/>
              </w:rPr>
              <w:t>t。项目采用密闭系统生产加工，</w:t>
            </w:r>
            <w:r>
              <w:rPr>
                <w:rFonts w:hint="default" w:ascii="Times New Roman" w:hAnsi="Times New Roman" w:eastAsia="宋体" w:cs="Times New Roman"/>
                <w:i w:val="0"/>
                <w:iCs w:val="0"/>
                <w:color w:val="auto"/>
                <w:highlight w:val="none"/>
                <w:u w:val="none"/>
                <w:lang w:val="en-US" w:eastAsia="zh-CN"/>
              </w:rPr>
              <w:t>密闭收集，通过</w:t>
            </w:r>
            <w:r>
              <w:rPr>
                <w:rFonts w:hint="default" w:ascii="Times New Roman" w:hAnsi="Times New Roman" w:eastAsia="宋体" w:cs="Times New Roman"/>
                <w:i w:val="0"/>
                <w:iCs w:val="0"/>
                <w:color w:val="auto"/>
                <w:sz w:val="24"/>
                <w:szCs w:val="24"/>
                <w:highlight w:val="none"/>
                <w:u w:val="none"/>
                <w:lang w:val="en-US" w:eastAsia="zh-CN"/>
              </w:rPr>
              <w:t>粉料仓</w:t>
            </w:r>
            <w:r>
              <w:rPr>
                <w:rFonts w:hint="default" w:ascii="Times New Roman" w:hAnsi="Times New Roman" w:eastAsia="宋体" w:cs="Times New Roman"/>
                <w:i w:val="0"/>
                <w:iCs w:val="0"/>
                <w:color w:val="auto"/>
                <w:sz w:val="24"/>
                <w:szCs w:val="24"/>
                <w:highlight w:val="none"/>
                <w:u w:val="none"/>
              </w:rPr>
              <w:t>呼吸口</w:t>
            </w:r>
            <w:r>
              <w:rPr>
                <w:rFonts w:hint="default" w:ascii="Times New Roman" w:hAnsi="Times New Roman" w:eastAsia="宋体" w:cs="Times New Roman"/>
                <w:i w:val="0"/>
                <w:iCs w:val="0"/>
                <w:color w:val="auto"/>
                <w:sz w:val="24"/>
                <w:szCs w:val="24"/>
                <w:highlight w:val="none"/>
                <w:u w:val="none"/>
                <w:lang w:val="en-US" w:eastAsia="zh-CN"/>
              </w:rPr>
              <w:t>接着</w:t>
            </w:r>
            <w:r>
              <w:rPr>
                <w:rFonts w:hint="eastAsia" w:cs="Times New Roman"/>
                <w:i w:val="0"/>
                <w:iCs w:val="0"/>
                <w:color w:val="auto"/>
                <w:sz w:val="24"/>
                <w:szCs w:val="24"/>
                <w:highlight w:val="none"/>
                <w:u w:val="none"/>
                <w:lang w:val="en-US" w:eastAsia="zh-CN"/>
              </w:rPr>
              <w:t>自带风机的</w:t>
            </w:r>
            <w:r>
              <w:rPr>
                <w:rFonts w:hint="default" w:ascii="Times New Roman" w:hAnsi="Times New Roman" w:eastAsia="宋体" w:cs="Times New Roman"/>
                <w:i w:val="0"/>
                <w:iCs w:val="0"/>
                <w:color w:val="auto"/>
                <w:sz w:val="24"/>
                <w:szCs w:val="24"/>
                <w:highlight w:val="none"/>
                <w:u w:val="none"/>
                <w:lang w:val="en-US" w:eastAsia="zh-CN"/>
              </w:rPr>
              <w:t>布袋除尘器</w:t>
            </w:r>
            <w:r>
              <w:rPr>
                <w:rFonts w:hint="eastAsia"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highlight w:val="none"/>
                <w:u w:val="none"/>
              </w:rPr>
              <w:t>除尘效率为99</w:t>
            </w:r>
            <w:r>
              <w:rPr>
                <w:rFonts w:hint="eastAsia" w:cs="Times New Roman"/>
                <w:i w:val="0"/>
                <w:iCs w:val="0"/>
                <w:color w:val="auto"/>
                <w:highlight w:val="none"/>
                <w:u w:val="none"/>
                <w:lang w:val="en-US" w:eastAsia="zh-CN"/>
              </w:rPr>
              <w:t>.7</w:t>
            </w:r>
            <w:r>
              <w:rPr>
                <w:rFonts w:hint="default" w:ascii="Times New Roman" w:hAnsi="Times New Roman" w:eastAsia="宋体" w:cs="Times New Roman"/>
                <w:i w:val="0"/>
                <w:iCs w:val="0"/>
                <w:color w:val="auto"/>
                <w:highlight w:val="none"/>
                <w:u w:val="none"/>
              </w:rPr>
              <w:t>%</w:t>
            </w:r>
            <w:r>
              <w:rPr>
                <w:rFonts w:hint="eastAsia"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highlight w:val="none"/>
                <w:u w:val="none"/>
              </w:rPr>
              <w:t>风机风量</w:t>
            </w:r>
            <w:r>
              <w:rPr>
                <w:rFonts w:hint="default" w:ascii="Times New Roman" w:hAnsi="Times New Roman" w:eastAsia="宋体" w:cs="Times New Roman"/>
                <w:i w:val="0"/>
                <w:iCs w:val="0"/>
                <w:color w:val="auto"/>
                <w:highlight w:val="none"/>
                <w:u w:val="none"/>
                <w:lang w:val="en-US" w:eastAsia="zh-CN"/>
              </w:rPr>
              <w:t>5</w:t>
            </w:r>
            <w:r>
              <w:rPr>
                <w:rFonts w:hint="default" w:ascii="Times New Roman" w:hAnsi="Times New Roman" w:eastAsia="宋体" w:cs="Times New Roman"/>
                <w:i w:val="0"/>
                <w:iCs w:val="0"/>
                <w:color w:val="auto"/>
                <w:highlight w:val="none"/>
                <w:u w:val="none"/>
              </w:rPr>
              <w:t>000m</w:t>
            </w:r>
            <w:r>
              <w:rPr>
                <w:rFonts w:hint="default" w:ascii="Times New Roman" w:hAnsi="Times New Roman" w:eastAsia="宋体" w:cs="Times New Roman"/>
                <w:i w:val="0"/>
                <w:iCs w:val="0"/>
                <w:color w:val="auto"/>
                <w:highlight w:val="none"/>
                <w:u w:val="none"/>
                <w:vertAlign w:val="superscript"/>
              </w:rPr>
              <w:t>3</w:t>
            </w:r>
            <w:r>
              <w:rPr>
                <w:rFonts w:hint="default" w:ascii="Times New Roman" w:hAnsi="Times New Roman" w:eastAsia="宋体" w:cs="Times New Roman"/>
                <w:i w:val="0"/>
                <w:iCs w:val="0"/>
                <w:color w:val="auto"/>
                <w:highlight w:val="none"/>
                <w:u w:val="none"/>
              </w:rPr>
              <w:t>/h）</w:t>
            </w:r>
            <w:r>
              <w:rPr>
                <w:rFonts w:hint="default" w:ascii="Times New Roman" w:hAnsi="Times New Roman" w:eastAsia="宋体" w:cs="Times New Roman"/>
                <w:i w:val="0"/>
                <w:iCs w:val="0"/>
                <w:color w:val="auto"/>
                <w:sz w:val="24"/>
                <w:szCs w:val="24"/>
                <w:highlight w:val="none"/>
                <w:u w:val="none"/>
                <w:lang w:val="en-US" w:eastAsia="zh-CN"/>
              </w:rPr>
              <w:t>，</w:t>
            </w:r>
            <w:r>
              <w:rPr>
                <w:rFonts w:hint="default" w:ascii="Times New Roman" w:hAnsi="Times New Roman" w:eastAsia="宋体" w:cs="Times New Roman"/>
                <w:i w:val="0"/>
                <w:iCs w:val="0"/>
                <w:color w:val="auto"/>
                <w:sz w:val="24"/>
                <w:szCs w:val="24"/>
                <w:highlight w:val="none"/>
                <w:u w:val="none"/>
              </w:rPr>
              <w:t>处理后由</w:t>
            </w:r>
            <w:r>
              <w:rPr>
                <w:rFonts w:hint="eastAsia" w:cs="Times New Roman"/>
                <w:i w:val="0"/>
                <w:iCs w:val="0"/>
                <w:color w:val="auto"/>
                <w:sz w:val="24"/>
                <w:szCs w:val="24"/>
                <w:highlight w:val="none"/>
                <w:u w:val="none"/>
                <w:lang w:val="en-US" w:eastAsia="zh-CN"/>
              </w:rPr>
              <w:t>15</w:t>
            </w:r>
            <w:r>
              <w:rPr>
                <w:rFonts w:hint="default" w:ascii="Times New Roman" w:hAnsi="Times New Roman" w:eastAsia="宋体" w:cs="Times New Roman"/>
                <w:i w:val="0"/>
                <w:iCs w:val="0"/>
                <w:color w:val="auto"/>
                <w:sz w:val="24"/>
                <w:szCs w:val="24"/>
                <w:highlight w:val="none"/>
                <w:u w:val="none"/>
              </w:rPr>
              <w:t>m排气筒（</w:t>
            </w:r>
            <w:r>
              <w:rPr>
                <w:rFonts w:hint="default" w:ascii="Times New Roman" w:hAnsi="Times New Roman" w:eastAsia="宋体" w:cs="Times New Roman"/>
                <w:i w:val="0"/>
                <w:iCs w:val="0"/>
                <w:color w:val="auto"/>
                <w:sz w:val="24"/>
                <w:szCs w:val="24"/>
                <w:highlight w:val="none"/>
                <w:u w:val="none"/>
                <w:lang w:eastAsia="zh-CN"/>
              </w:rPr>
              <w:t>DA00</w:t>
            </w:r>
            <w:r>
              <w:rPr>
                <w:rFonts w:hint="eastAsia" w:cs="Times New Roman"/>
                <w:i w:val="0"/>
                <w:iCs w:val="0"/>
                <w:color w:val="auto"/>
                <w:sz w:val="24"/>
                <w:szCs w:val="24"/>
                <w:highlight w:val="none"/>
                <w:u w:val="none"/>
                <w:lang w:val="en-US" w:eastAsia="zh-CN"/>
              </w:rPr>
              <w:t>6</w:t>
            </w:r>
            <w:r>
              <w:rPr>
                <w:rFonts w:hint="default" w:ascii="Times New Roman" w:hAnsi="Times New Roman" w:eastAsia="宋体" w:cs="Times New Roman"/>
                <w:i w:val="0"/>
                <w:iCs w:val="0"/>
                <w:color w:val="auto"/>
                <w:sz w:val="24"/>
                <w:szCs w:val="24"/>
                <w:highlight w:val="none"/>
                <w:u w:val="none"/>
              </w:rPr>
              <w:t>）排放</w:t>
            </w:r>
            <w:r>
              <w:rPr>
                <w:rFonts w:hint="default" w:ascii="Times New Roman" w:hAnsi="Times New Roman" w:eastAsia="宋体" w:cs="Times New Roman"/>
                <w:i w:val="0"/>
                <w:iCs w:val="0"/>
                <w:color w:val="auto"/>
                <w:highlight w:val="none"/>
                <w:u w:val="none"/>
              </w:rPr>
              <w:t>，则</w:t>
            </w:r>
            <w:r>
              <w:rPr>
                <w:rFonts w:hint="default" w:ascii="Times New Roman" w:hAnsi="Times New Roman" w:eastAsia="宋体" w:cs="Times New Roman"/>
                <w:i w:val="0"/>
                <w:iCs w:val="0"/>
                <w:color w:val="auto"/>
                <w:highlight w:val="none"/>
                <w:u w:val="none"/>
                <w:lang w:val="en-US" w:eastAsia="zh-CN"/>
              </w:rPr>
              <w:t>粉料仓</w:t>
            </w:r>
            <w:r>
              <w:rPr>
                <w:rFonts w:hint="default" w:ascii="Times New Roman" w:hAnsi="Times New Roman" w:eastAsia="宋体" w:cs="Times New Roman"/>
                <w:i w:val="0"/>
                <w:iCs w:val="0"/>
                <w:color w:val="auto"/>
                <w:highlight w:val="none"/>
                <w:u w:val="none"/>
              </w:rPr>
              <w:t>呼吸口粉尘的排放量为</w:t>
            </w:r>
            <w:r>
              <w:rPr>
                <w:rFonts w:hint="default" w:ascii="Times New Roman" w:hAnsi="Times New Roman" w:eastAsia="宋体" w:cs="Times New Roman"/>
                <w:i w:val="0"/>
                <w:iCs w:val="0"/>
                <w:color w:val="auto"/>
                <w:highlight w:val="none"/>
                <w:u w:val="none"/>
                <w:lang w:eastAsia="zh-CN"/>
              </w:rPr>
              <w:t>0.</w:t>
            </w:r>
            <w:r>
              <w:rPr>
                <w:rFonts w:hint="default" w:ascii="Times New Roman" w:hAnsi="Times New Roman" w:eastAsia="宋体" w:cs="Times New Roman"/>
                <w:i w:val="0"/>
                <w:iCs w:val="0"/>
                <w:color w:val="auto"/>
                <w:highlight w:val="none"/>
                <w:u w:val="none"/>
                <w:lang w:val="en-US" w:eastAsia="zh-CN"/>
              </w:rPr>
              <w:t>0</w:t>
            </w:r>
            <w:r>
              <w:rPr>
                <w:rFonts w:hint="eastAsia" w:cs="Times New Roman"/>
                <w:i w:val="0"/>
                <w:iCs w:val="0"/>
                <w:color w:val="auto"/>
                <w:highlight w:val="none"/>
                <w:u w:val="none"/>
                <w:lang w:val="en-US" w:eastAsia="zh-CN"/>
              </w:rPr>
              <w:t>68</w:t>
            </w:r>
            <w:r>
              <w:rPr>
                <w:rFonts w:hint="default" w:ascii="Times New Roman" w:hAnsi="Times New Roman" w:eastAsia="宋体" w:cs="Times New Roman"/>
                <w:i w:val="0"/>
                <w:iCs w:val="0"/>
                <w:color w:val="auto"/>
                <w:highlight w:val="none"/>
                <w:u w:val="none"/>
              </w:rPr>
              <w:t>/a，</w:t>
            </w:r>
            <w:r>
              <w:rPr>
                <w:rFonts w:hint="eastAsia" w:cs="Times New Roman"/>
                <w:i w:val="0"/>
                <w:iCs w:val="0"/>
                <w:color w:val="auto"/>
                <w:highlight w:val="none"/>
                <w:u w:val="none"/>
                <w:lang w:val="en-US" w:eastAsia="zh-CN"/>
              </w:rPr>
              <w:t>0.019</w:t>
            </w:r>
            <w:r>
              <w:rPr>
                <w:rFonts w:hint="default" w:ascii="Times New Roman" w:hAnsi="Times New Roman" w:eastAsia="宋体" w:cs="Times New Roman"/>
                <w:i w:val="0"/>
                <w:iCs w:val="0"/>
                <w:color w:val="auto"/>
                <w:highlight w:val="none"/>
                <w:u w:val="none"/>
              </w:rPr>
              <w:t>kg/h，排放浓度约为</w:t>
            </w:r>
            <w:r>
              <w:rPr>
                <w:rFonts w:hint="eastAsia" w:cs="Times New Roman"/>
                <w:i w:val="0"/>
                <w:iCs w:val="0"/>
                <w:color w:val="auto"/>
                <w:highlight w:val="none"/>
                <w:u w:val="none"/>
                <w:lang w:val="en-US" w:eastAsia="zh-CN"/>
              </w:rPr>
              <w:t>3.8</w:t>
            </w:r>
            <w:r>
              <w:rPr>
                <w:rFonts w:hint="default" w:ascii="Times New Roman" w:hAnsi="Times New Roman" w:eastAsia="宋体" w:cs="Times New Roman"/>
                <w:i w:val="0"/>
                <w:iCs w:val="0"/>
                <w:color w:val="auto"/>
                <w:highlight w:val="none"/>
                <w:u w:val="none"/>
              </w:rPr>
              <w:t>mg/m</w:t>
            </w:r>
            <w:r>
              <w:rPr>
                <w:rFonts w:hint="default" w:ascii="Times New Roman" w:hAnsi="Times New Roman" w:eastAsia="宋体" w:cs="Times New Roman"/>
                <w:i w:val="0"/>
                <w:iCs w:val="0"/>
                <w:color w:val="auto"/>
                <w:highlight w:val="none"/>
                <w:u w:val="none"/>
                <w:vertAlign w:val="superscript"/>
              </w:rPr>
              <w:t>3</w:t>
            </w:r>
            <w:r>
              <w:rPr>
                <w:rFonts w:hint="default" w:ascii="Times New Roman" w:hAnsi="Times New Roman" w:eastAsia="宋体" w:cs="Times New Roman"/>
                <w:i w:val="0"/>
                <w:iCs w:val="0"/>
                <w:color w:val="auto"/>
                <w:highlight w:val="none"/>
                <w:u w:val="none"/>
              </w:rPr>
              <w:t>。</w:t>
            </w:r>
          </w:p>
          <w:p>
            <w:pPr>
              <w:adjustRightInd w:val="0"/>
              <w:snapToGrid w:val="0"/>
              <w:spacing w:line="360" w:lineRule="auto"/>
              <w:ind w:firstLine="480" w:firstLineChars="200"/>
              <w:rPr>
                <w:color w:val="auto"/>
              </w:rPr>
            </w:pPr>
            <w:r>
              <w:rPr>
                <w:rFonts w:hint="eastAsia"/>
                <w:color w:val="auto"/>
              </w:rPr>
              <w:fldChar w:fldCharType="begin"/>
            </w:r>
            <w:r>
              <w:rPr>
                <w:rFonts w:hint="eastAsia"/>
                <w:color w:val="auto"/>
              </w:rPr>
              <w:instrText xml:space="preserve"> = 6 \* GB3 \* MERGEFORMAT </w:instrText>
            </w:r>
            <w:r>
              <w:rPr>
                <w:rFonts w:hint="eastAsia"/>
                <w:color w:val="auto"/>
              </w:rPr>
              <w:fldChar w:fldCharType="separate"/>
            </w:r>
            <w:r>
              <w:t>⑥</w:t>
            </w:r>
            <w:r>
              <w:rPr>
                <w:rFonts w:hint="eastAsia"/>
                <w:color w:val="auto"/>
              </w:rPr>
              <w:fldChar w:fldCharType="end"/>
            </w:r>
            <w:r>
              <w:rPr>
                <w:rFonts w:hint="eastAsia"/>
                <w:color w:val="auto"/>
              </w:rPr>
              <w:t>车辆行驶扬尘</w:t>
            </w:r>
          </w:p>
          <w:p>
            <w:pPr>
              <w:adjustRightInd w:val="0"/>
              <w:snapToGrid w:val="0"/>
              <w:spacing w:line="360" w:lineRule="auto"/>
              <w:ind w:firstLine="480" w:firstLineChars="200"/>
              <w:rPr>
                <w:color w:val="auto"/>
              </w:rPr>
            </w:pPr>
            <w:r>
              <w:rPr>
                <w:color w:val="auto"/>
              </w:rPr>
              <w:t>根据有关文献资料介绍，施工过程中，车辆行驶产生的扬尘占总扬尘的60%以上。</w:t>
            </w:r>
          </w:p>
          <w:p>
            <w:pPr>
              <w:adjustRightInd w:val="0"/>
              <w:snapToGrid w:val="0"/>
              <w:spacing w:line="360" w:lineRule="auto"/>
              <w:ind w:firstLine="480" w:firstLineChars="200"/>
              <w:rPr>
                <w:color w:val="auto"/>
              </w:rPr>
            </w:pPr>
            <w:r>
              <w:rPr>
                <w:color w:val="auto"/>
              </w:rPr>
              <w:t>车辆行驶产生的扬尘，在完全干燥的情况下，可按以下经验公式计算：</w:t>
            </w:r>
          </w:p>
          <w:p>
            <w:pPr>
              <w:adjustRightInd w:val="0"/>
              <w:snapToGrid w:val="0"/>
              <w:spacing w:line="360" w:lineRule="auto"/>
              <w:ind w:firstLine="480" w:firstLineChars="200"/>
              <w:jc w:val="center"/>
              <w:rPr>
                <w:color w:val="auto"/>
              </w:rPr>
            </w:pPr>
            <w:bookmarkStart w:id="17" w:name="_Toc23755"/>
            <w:r>
              <w:rPr>
                <w:rFonts w:hint="eastAsia"/>
                <w:color w:val="auto"/>
              </w:rPr>
              <w:drawing>
                <wp:inline distT="0" distB="0" distL="114300" distR="114300">
                  <wp:extent cx="2505075" cy="600710"/>
                  <wp:effectExtent l="0" t="0" r="952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2505075" cy="600710"/>
                          </a:xfrm>
                          <a:prstGeom prst="rect">
                            <a:avLst/>
                          </a:prstGeom>
                          <a:noFill/>
                          <a:ln>
                            <a:noFill/>
                          </a:ln>
                        </pic:spPr>
                      </pic:pic>
                    </a:graphicData>
                  </a:graphic>
                </wp:inline>
              </w:drawing>
            </w:r>
            <w:bookmarkEnd w:id="17"/>
          </w:p>
          <w:p>
            <w:pPr>
              <w:spacing w:line="360" w:lineRule="auto"/>
              <w:ind w:firstLine="480" w:firstLineChars="200"/>
              <w:rPr>
                <w:color w:val="auto"/>
              </w:rPr>
            </w:pPr>
            <w:r>
              <w:rPr>
                <w:color w:val="auto"/>
              </w:rPr>
              <w:t>式中：Q—汽车行驶的扬尘量，kg/km·辆；</w:t>
            </w:r>
          </w:p>
          <w:p>
            <w:pPr>
              <w:spacing w:line="360" w:lineRule="auto"/>
              <w:ind w:firstLine="1200" w:firstLineChars="500"/>
              <w:rPr>
                <w:color w:val="auto"/>
              </w:rPr>
            </w:pPr>
            <w:r>
              <w:rPr>
                <w:color w:val="auto"/>
              </w:rPr>
              <w:t>V—汽车速度，km/h；</w:t>
            </w:r>
          </w:p>
          <w:p>
            <w:pPr>
              <w:spacing w:line="360" w:lineRule="auto"/>
              <w:ind w:firstLine="1200" w:firstLineChars="500"/>
              <w:rPr>
                <w:color w:val="auto"/>
              </w:rPr>
            </w:pPr>
            <w:r>
              <w:rPr>
                <w:color w:val="auto"/>
              </w:rPr>
              <w:t>W—汽车载重量，T；</w:t>
            </w:r>
          </w:p>
          <w:p>
            <w:pPr>
              <w:spacing w:line="360" w:lineRule="auto"/>
              <w:ind w:firstLine="1200" w:firstLineChars="500"/>
              <w:rPr>
                <w:color w:val="auto"/>
              </w:rPr>
            </w:pPr>
            <w:r>
              <w:rPr>
                <w:color w:val="auto"/>
              </w:rPr>
              <w:t>P—道路表面粉尘量，kg/m</w:t>
            </w:r>
            <w:r>
              <w:rPr>
                <w:color w:val="auto"/>
                <w:vertAlign w:val="superscript"/>
              </w:rPr>
              <w:t>2</w:t>
            </w:r>
            <w:r>
              <w:rPr>
                <w:color w:val="auto"/>
              </w:rPr>
              <w:t>。</w:t>
            </w:r>
          </w:p>
          <w:p>
            <w:pPr>
              <w:spacing w:line="360" w:lineRule="auto"/>
              <w:ind w:firstLine="480" w:firstLineChars="200"/>
              <w:rPr>
                <w:color w:val="auto"/>
              </w:rPr>
            </w:pPr>
            <w:r>
              <w:rPr>
                <w:color w:val="auto"/>
              </w:rPr>
              <w:fldChar w:fldCharType="begin"/>
            </w:r>
            <w:r>
              <w:rPr>
                <w:color w:val="auto"/>
              </w:rPr>
              <w:instrText xml:space="preserve"> HYPERLINK \l "bookmark97" </w:instrText>
            </w:r>
            <w:r>
              <w:rPr>
                <w:color w:val="auto"/>
              </w:rPr>
              <w:fldChar w:fldCharType="separate"/>
            </w:r>
            <w:r>
              <w:rPr>
                <w:color w:val="auto"/>
              </w:rPr>
              <w:t>表</w:t>
            </w:r>
            <w:r>
              <w:rPr>
                <w:rFonts w:hint="eastAsia"/>
                <w:color w:val="auto"/>
              </w:rPr>
              <w:t>4-1</w:t>
            </w:r>
            <w:r>
              <w:rPr>
                <w:color w:val="auto"/>
              </w:rPr>
              <w:t>为</w:t>
            </w:r>
            <w:r>
              <w:rPr>
                <w:color w:val="auto"/>
              </w:rPr>
              <w:fldChar w:fldCharType="end"/>
            </w:r>
            <w:r>
              <w:rPr>
                <w:color w:val="auto"/>
              </w:rPr>
              <w:t>一辆10t卡车，通过一段长为1km的路面时，不同路面清洁程度，不同行驶速度情况下的扬尘量。</w:t>
            </w:r>
          </w:p>
          <w:p>
            <w:pPr>
              <w:pStyle w:val="60"/>
              <w:numPr>
                <w:ilvl w:val="0"/>
                <w:numId w:val="0"/>
              </w:numPr>
              <w:rPr>
                <w:color w:val="auto"/>
                <w:sz w:val="21"/>
                <w:szCs w:val="21"/>
              </w:rPr>
            </w:pPr>
            <w:bookmarkStart w:id="18" w:name="bookmark97"/>
            <w:bookmarkEnd w:id="18"/>
            <w:r>
              <w:rPr>
                <w:color w:val="auto"/>
                <w:sz w:val="21"/>
                <w:szCs w:val="21"/>
              </w:rPr>
              <w:t>表</w:t>
            </w:r>
            <w:r>
              <w:rPr>
                <w:rFonts w:hint="eastAsia"/>
                <w:color w:val="auto"/>
                <w:sz w:val="21"/>
                <w:szCs w:val="21"/>
              </w:rPr>
              <w:t>4-1</w:t>
            </w:r>
            <w:r>
              <w:rPr>
                <w:color w:val="auto"/>
                <w:sz w:val="21"/>
                <w:szCs w:val="21"/>
              </w:rPr>
              <w:t xml:space="preserve"> 在不同车速和地面清洁程度的汽车扬尘量  </w:t>
            </w:r>
            <w:r>
              <w:rPr>
                <w:rFonts w:hint="eastAsia"/>
                <w:color w:val="auto"/>
                <w:sz w:val="21"/>
                <w:szCs w:val="21"/>
              </w:rPr>
              <w:t xml:space="preserve">  </w:t>
            </w:r>
            <w:r>
              <w:rPr>
                <w:color w:val="auto"/>
                <w:sz w:val="21"/>
                <w:szCs w:val="21"/>
              </w:rPr>
              <w:t xml:space="preserve">  单位：kg/km·辆</w:t>
            </w:r>
          </w:p>
          <w:tbl>
            <w:tblPr>
              <w:tblStyle w:val="84"/>
              <w:tblW w:w="8660" w:type="dxa"/>
              <w:jc w:val="center"/>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2453"/>
              <w:gridCol w:w="1139"/>
              <w:gridCol w:w="1020"/>
              <w:gridCol w:w="1033"/>
              <w:gridCol w:w="978"/>
              <w:gridCol w:w="1065"/>
              <w:gridCol w:w="972"/>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Ex>
              <w:trPr>
                <w:trHeight w:val="306" w:hRule="atLeast"/>
                <w:jc w:val="center"/>
              </w:trPr>
              <w:tc>
                <w:tcPr>
                  <w:tcW w:w="2453" w:type="dxa"/>
                  <w:tcBorders>
                    <w:top w:val="single" w:color="auto" w:sz="12" w:space="0"/>
                    <w:left w:val="nil"/>
                    <w:bottom w:val="single" w:color="auto" w:sz="4" w:space="0"/>
                    <w:tl2br w:val="single" w:color="000000" w:sz="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 xml:space="preserve">      P（kg/m</w:t>
                  </w:r>
                  <w:r>
                    <w:rPr>
                      <w:rFonts w:ascii="Times New Roman" w:hAnsi="Times New Roman"/>
                      <w:color w:val="auto"/>
                      <w:sz w:val="21"/>
                      <w:szCs w:val="21"/>
                      <w:vertAlign w:val="superscript"/>
                    </w:rPr>
                    <w:t>2</w:t>
                  </w:r>
                  <w:r>
                    <w:rPr>
                      <w:rFonts w:ascii="Times New Roman" w:hAnsi="Times New Roman"/>
                      <w:color w:val="auto"/>
                      <w:sz w:val="21"/>
                      <w:szCs w:val="21"/>
                    </w:rPr>
                    <w:t>）</w:t>
                  </w:r>
                </w:p>
                <w:p>
                  <w:pPr>
                    <w:pStyle w:val="61"/>
                    <w:spacing w:before="24" w:after="24"/>
                    <w:ind w:left="-48" w:firstLine="210" w:firstLineChars="100"/>
                    <w:jc w:val="both"/>
                    <w:rPr>
                      <w:rFonts w:ascii="Times New Roman" w:hAnsi="Times New Roman"/>
                      <w:color w:val="auto"/>
                      <w:sz w:val="21"/>
                      <w:szCs w:val="21"/>
                    </w:rPr>
                  </w:pPr>
                  <w:r>
                    <w:rPr>
                      <w:rFonts w:ascii="Times New Roman" w:hAnsi="Times New Roman"/>
                      <w:color w:val="auto"/>
                      <w:sz w:val="21"/>
                      <w:szCs w:val="21"/>
                    </w:rPr>
                    <w:t>车速（km/h）</w:t>
                  </w:r>
                </w:p>
              </w:tc>
              <w:tc>
                <w:tcPr>
                  <w:tcW w:w="1139" w:type="dxa"/>
                  <w:tcBorders>
                    <w:top w:val="single" w:color="auto" w:sz="12"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w:t>
                  </w:r>
                </w:p>
              </w:tc>
              <w:tc>
                <w:tcPr>
                  <w:tcW w:w="1020" w:type="dxa"/>
                  <w:tcBorders>
                    <w:top w:val="single" w:color="auto" w:sz="12"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0.2</w:t>
                  </w:r>
                </w:p>
              </w:tc>
              <w:tc>
                <w:tcPr>
                  <w:tcW w:w="1033" w:type="dxa"/>
                  <w:tcBorders>
                    <w:top w:val="single" w:color="auto" w:sz="12"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0.3</w:t>
                  </w:r>
                </w:p>
              </w:tc>
              <w:tc>
                <w:tcPr>
                  <w:tcW w:w="978" w:type="dxa"/>
                  <w:tcBorders>
                    <w:top w:val="single" w:color="auto" w:sz="12"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0.4</w:t>
                  </w:r>
                </w:p>
              </w:tc>
              <w:tc>
                <w:tcPr>
                  <w:tcW w:w="1065" w:type="dxa"/>
                  <w:tcBorders>
                    <w:top w:val="single" w:color="auto" w:sz="12"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0.5</w:t>
                  </w:r>
                </w:p>
              </w:tc>
              <w:tc>
                <w:tcPr>
                  <w:tcW w:w="972" w:type="dxa"/>
                  <w:tcBorders>
                    <w:top w:val="single" w:color="auto" w:sz="12" w:space="0"/>
                    <w:bottom w:val="single" w:color="auto" w:sz="4" w:space="0"/>
                    <w:right w:val="nil"/>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Ex>
              <w:trPr>
                <w:trHeight w:val="306" w:hRule="atLeast"/>
                <w:jc w:val="center"/>
              </w:trPr>
              <w:tc>
                <w:tcPr>
                  <w:tcW w:w="2453" w:type="dxa"/>
                  <w:tcBorders>
                    <w:top w:val="single" w:color="auto" w:sz="4" w:space="0"/>
                    <w:left w:val="nil"/>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5</w:t>
                  </w:r>
                </w:p>
              </w:tc>
              <w:tc>
                <w:tcPr>
                  <w:tcW w:w="1139"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0.051</w:t>
                  </w:r>
                </w:p>
              </w:tc>
              <w:tc>
                <w:tcPr>
                  <w:tcW w:w="1020"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0.086</w:t>
                  </w:r>
                </w:p>
              </w:tc>
              <w:tc>
                <w:tcPr>
                  <w:tcW w:w="1033"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0.116</w:t>
                  </w:r>
                </w:p>
              </w:tc>
              <w:tc>
                <w:tcPr>
                  <w:tcW w:w="978"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0.144</w:t>
                  </w:r>
                </w:p>
              </w:tc>
              <w:tc>
                <w:tcPr>
                  <w:tcW w:w="1065"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0.171</w:t>
                  </w:r>
                </w:p>
              </w:tc>
              <w:tc>
                <w:tcPr>
                  <w:tcW w:w="972" w:type="dxa"/>
                  <w:tcBorders>
                    <w:top w:val="single" w:color="auto" w:sz="4" w:space="0"/>
                    <w:bottom w:val="single" w:color="auto" w:sz="4" w:space="0"/>
                    <w:right w:val="nil"/>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0.287</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Ex>
              <w:trPr>
                <w:trHeight w:val="306" w:hRule="atLeast"/>
                <w:jc w:val="center"/>
              </w:trPr>
              <w:tc>
                <w:tcPr>
                  <w:tcW w:w="2453" w:type="dxa"/>
                  <w:tcBorders>
                    <w:top w:val="single" w:color="auto" w:sz="4" w:space="0"/>
                    <w:left w:val="nil"/>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10</w:t>
                  </w:r>
                </w:p>
              </w:tc>
              <w:tc>
                <w:tcPr>
                  <w:tcW w:w="1139"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0.102</w:t>
                  </w:r>
                </w:p>
              </w:tc>
              <w:tc>
                <w:tcPr>
                  <w:tcW w:w="1020"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0.171</w:t>
                  </w:r>
                </w:p>
              </w:tc>
              <w:tc>
                <w:tcPr>
                  <w:tcW w:w="1033"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0.232</w:t>
                  </w:r>
                </w:p>
              </w:tc>
              <w:tc>
                <w:tcPr>
                  <w:tcW w:w="978"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0.289</w:t>
                  </w:r>
                </w:p>
              </w:tc>
              <w:tc>
                <w:tcPr>
                  <w:tcW w:w="1065"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0.341</w:t>
                  </w:r>
                </w:p>
              </w:tc>
              <w:tc>
                <w:tcPr>
                  <w:tcW w:w="972" w:type="dxa"/>
                  <w:tcBorders>
                    <w:top w:val="single" w:color="auto" w:sz="4" w:space="0"/>
                    <w:bottom w:val="single" w:color="auto" w:sz="4" w:space="0"/>
                    <w:right w:val="nil"/>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0.574</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Ex>
              <w:trPr>
                <w:trHeight w:val="306" w:hRule="atLeast"/>
                <w:jc w:val="center"/>
              </w:trPr>
              <w:tc>
                <w:tcPr>
                  <w:tcW w:w="2453" w:type="dxa"/>
                  <w:tcBorders>
                    <w:top w:val="single" w:color="auto" w:sz="4" w:space="0"/>
                    <w:left w:val="nil"/>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15</w:t>
                  </w:r>
                </w:p>
              </w:tc>
              <w:tc>
                <w:tcPr>
                  <w:tcW w:w="1139"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0.153</w:t>
                  </w:r>
                </w:p>
              </w:tc>
              <w:tc>
                <w:tcPr>
                  <w:tcW w:w="1020"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0.257</w:t>
                  </w:r>
                </w:p>
              </w:tc>
              <w:tc>
                <w:tcPr>
                  <w:tcW w:w="1033"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0.349</w:t>
                  </w:r>
                </w:p>
              </w:tc>
              <w:tc>
                <w:tcPr>
                  <w:tcW w:w="978"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0.433</w:t>
                  </w:r>
                </w:p>
              </w:tc>
              <w:tc>
                <w:tcPr>
                  <w:tcW w:w="1065" w:type="dxa"/>
                  <w:tcBorders>
                    <w:top w:val="single" w:color="auto" w:sz="4" w:space="0"/>
                    <w:bottom w:val="single" w:color="auto" w:sz="4"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0.512</w:t>
                  </w:r>
                </w:p>
              </w:tc>
              <w:tc>
                <w:tcPr>
                  <w:tcW w:w="972" w:type="dxa"/>
                  <w:tcBorders>
                    <w:top w:val="single" w:color="auto" w:sz="4" w:space="0"/>
                    <w:bottom w:val="single" w:color="auto" w:sz="4" w:space="0"/>
                    <w:right w:val="nil"/>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0.861</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Ex>
              <w:trPr>
                <w:trHeight w:val="306" w:hRule="atLeast"/>
                <w:jc w:val="center"/>
              </w:trPr>
              <w:tc>
                <w:tcPr>
                  <w:tcW w:w="2453" w:type="dxa"/>
                  <w:tcBorders>
                    <w:top w:val="single" w:color="auto" w:sz="4" w:space="0"/>
                    <w:left w:val="nil"/>
                    <w:bottom w:val="single" w:color="auto" w:sz="1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20</w:t>
                  </w:r>
                </w:p>
              </w:tc>
              <w:tc>
                <w:tcPr>
                  <w:tcW w:w="1139" w:type="dxa"/>
                  <w:tcBorders>
                    <w:top w:val="single" w:color="auto" w:sz="4" w:space="0"/>
                    <w:bottom w:val="single" w:color="auto" w:sz="1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0.255</w:t>
                  </w:r>
                </w:p>
              </w:tc>
              <w:tc>
                <w:tcPr>
                  <w:tcW w:w="1020" w:type="dxa"/>
                  <w:tcBorders>
                    <w:top w:val="single" w:color="auto" w:sz="4" w:space="0"/>
                    <w:bottom w:val="single" w:color="auto" w:sz="1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0.429</w:t>
                  </w:r>
                </w:p>
              </w:tc>
              <w:tc>
                <w:tcPr>
                  <w:tcW w:w="1033" w:type="dxa"/>
                  <w:tcBorders>
                    <w:top w:val="single" w:color="auto" w:sz="4" w:space="0"/>
                    <w:bottom w:val="single" w:color="auto" w:sz="1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0.582</w:t>
                  </w:r>
                </w:p>
              </w:tc>
              <w:tc>
                <w:tcPr>
                  <w:tcW w:w="978" w:type="dxa"/>
                  <w:tcBorders>
                    <w:top w:val="single" w:color="auto" w:sz="4" w:space="0"/>
                    <w:bottom w:val="single" w:color="auto" w:sz="1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0.722</w:t>
                  </w:r>
                </w:p>
              </w:tc>
              <w:tc>
                <w:tcPr>
                  <w:tcW w:w="1065" w:type="dxa"/>
                  <w:tcBorders>
                    <w:top w:val="single" w:color="auto" w:sz="4" w:space="0"/>
                    <w:bottom w:val="single" w:color="auto" w:sz="12" w:space="0"/>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0.853</w:t>
                  </w:r>
                </w:p>
              </w:tc>
              <w:tc>
                <w:tcPr>
                  <w:tcW w:w="972" w:type="dxa"/>
                  <w:tcBorders>
                    <w:top w:val="single" w:color="auto" w:sz="4" w:space="0"/>
                    <w:bottom w:val="single" w:color="auto" w:sz="12" w:space="0"/>
                    <w:right w:val="nil"/>
                  </w:tcBorders>
                  <w:vAlign w:val="center"/>
                </w:tcPr>
                <w:p>
                  <w:pPr>
                    <w:pStyle w:val="61"/>
                    <w:spacing w:before="24" w:after="24"/>
                    <w:rPr>
                      <w:rFonts w:ascii="Times New Roman" w:hAnsi="Times New Roman"/>
                      <w:color w:val="auto"/>
                      <w:sz w:val="21"/>
                      <w:szCs w:val="21"/>
                    </w:rPr>
                  </w:pPr>
                  <w:r>
                    <w:rPr>
                      <w:rFonts w:ascii="Times New Roman" w:hAnsi="Times New Roman"/>
                      <w:color w:val="auto"/>
                      <w:sz w:val="21"/>
                      <w:szCs w:val="21"/>
                    </w:rPr>
                    <w:t>1.435</w:t>
                  </w:r>
                </w:p>
              </w:tc>
            </w:tr>
          </w:tbl>
          <w:p>
            <w:pPr>
              <w:spacing w:line="360" w:lineRule="auto"/>
              <w:ind w:firstLine="480" w:firstLineChars="200"/>
              <w:rPr>
                <w:color w:val="auto"/>
              </w:rPr>
            </w:pPr>
            <w:r>
              <w:rPr>
                <w:color w:val="auto"/>
              </w:rPr>
              <w:t>从表4.1可见，在同样的路面条件下，车速越快，扬尘量越大，在同样的车速情况下，路面粉尘越大，扬尘量越大。因此，限制施工车辆速度和保持路面清洁是减小扬尘的有效手段。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本项目废气污染物源源强核算结果及相关参数见表</w:t>
            </w:r>
            <w:r>
              <w:rPr>
                <w:rFonts w:hint="default" w:ascii="Times New Roman" w:hAnsi="Times New Roman" w:cs="Times New Roman"/>
                <w:color w:val="auto"/>
                <w:sz w:val="24"/>
                <w:highlight w:val="none"/>
              </w:rPr>
              <w:t>4</w:t>
            </w:r>
            <w:r>
              <w:rPr>
                <w:rFonts w:hint="eastAsia"/>
                <w:color w:val="auto"/>
                <w:sz w:val="24"/>
                <w:highlight w:val="none"/>
              </w:rPr>
              <w:t>-</w:t>
            </w:r>
            <w:r>
              <w:rPr>
                <w:rFonts w:hint="eastAsia" w:ascii="Times New Roman" w:hAnsi="Times New Roman" w:cs="Times New Roman"/>
                <w:color w:val="auto"/>
                <w:sz w:val="24"/>
                <w:highlight w:val="none"/>
                <w:lang w:val="en-US" w:eastAsia="zh-CN"/>
              </w:rPr>
              <w:t>2</w:t>
            </w:r>
            <w:r>
              <w:rPr>
                <w:color w:val="auto"/>
                <w:sz w:val="24"/>
                <w:highlight w:val="none"/>
              </w:rPr>
              <w:t>。</w:t>
            </w:r>
          </w:p>
          <w:p>
            <w:pPr>
              <w:pStyle w:val="92"/>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rPr>
              <w:t>4</w:t>
            </w:r>
            <w:r>
              <w:rPr>
                <w:rFonts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rPr>
              <w:t xml:space="preserve">  </w:t>
            </w:r>
            <w:r>
              <w:rPr>
                <w:rFonts w:ascii="Times New Roman" w:hAnsi="Times New Roman" w:cs="Times New Roman"/>
                <w:b/>
                <w:bCs/>
                <w:color w:val="auto"/>
                <w:sz w:val="21"/>
                <w:szCs w:val="21"/>
                <w:highlight w:val="none"/>
              </w:rPr>
              <w:t>废气污染物源源强核算结果及相关参数一览表</w:t>
            </w:r>
          </w:p>
          <w:tbl>
            <w:tblPr>
              <w:tblStyle w:val="32"/>
              <w:tblW w:w="866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1"/>
              <w:gridCol w:w="544"/>
              <w:gridCol w:w="383"/>
              <w:gridCol w:w="380"/>
              <w:gridCol w:w="383"/>
              <w:gridCol w:w="522"/>
              <w:gridCol w:w="654"/>
              <w:gridCol w:w="579"/>
              <w:gridCol w:w="553"/>
              <w:gridCol w:w="704"/>
              <w:gridCol w:w="477"/>
              <w:gridCol w:w="383"/>
              <w:gridCol w:w="380"/>
              <w:gridCol w:w="522"/>
              <w:gridCol w:w="654"/>
              <w:gridCol w:w="484"/>
              <w:gridCol w:w="6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381" w:type="dxa"/>
                  <w:vMerge w:val="restart"/>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生产线</w:t>
                  </w:r>
                </w:p>
              </w:tc>
              <w:tc>
                <w:tcPr>
                  <w:tcW w:w="544" w:type="dxa"/>
                  <w:vMerge w:val="restart"/>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污染源</w:t>
                  </w:r>
                </w:p>
              </w:tc>
              <w:tc>
                <w:tcPr>
                  <w:tcW w:w="383" w:type="dxa"/>
                  <w:vMerge w:val="restart"/>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排放方式</w:t>
                  </w:r>
                </w:p>
              </w:tc>
              <w:tc>
                <w:tcPr>
                  <w:tcW w:w="380" w:type="dxa"/>
                  <w:vMerge w:val="restart"/>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污染物</w:t>
                  </w:r>
                </w:p>
              </w:tc>
              <w:tc>
                <w:tcPr>
                  <w:tcW w:w="2691" w:type="dxa"/>
                  <w:gridSpan w:val="5"/>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污染物产生</w:t>
                  </w:r>
                </w:p>
              </w:tc>
              <w:tc>
                <w:tcPr>
                  <w:tcW w:w="1564" w:type="dxa"/>
                  <w:gridSpan w:val="3"/>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治理措施</w:t>
                  </w:r>
                </w:p>
              </w:tc>
              <w:tc>
                <w:tcPr>
                  <w:tcW w:w="2725" w:type="dxa"/>
                  <w:gridSpan w:val="5"/>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污染物排放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505" w:hRule="atLeast"/>
                <w:jc w:val="center"/>
              </w:trPr>
              <w:tc>
                <w:tcPr>
                  <w:tcW w:w="381" w:type="dxa"/>
                  <w:vMerge w:val="continue"/>
                  <w:tcBorders>
                    <w:tl2br w:val="nil"/>
                    <w:tr2bl w:val="nil"/>
                  </w:tcBorders>
                  <w:noWrap w:val="0"/>
                  <w:vAlign w:val="center"/>
                </w:tcPr>
                <w:p>
                  <w:pPr>
                    <w:widowControl/>
                    <w:spacing w:line="240" w:lineRule="auto"/>
                    <w:jc w:val="center"/>
                    <w:rPr>
                      <w:rFonts w:hint="default"/>
                      <w:bCs/>
                      <w:color w:val="auto"/>
                      <w:spacing w:val="-10"/>
                      <w:sz w:val="21"/>
                      <w:szCs w:val="21"/>
                      <w:highlight w:val="none"/>
                    </w:rPr>
                  </w:pPr>
                </w:p>
              </w:tc>
              <w:tc>
                <w:tcPr>
                  <w:tcW w:w="544" w:type="dxa"/>
                  <w:vMerge w:val="continue"/>
                  <w:tcBorders>
                    <w:tl2br w:val="nil"/>
                    <w:tr2bl w:val="nil"/>
                  </w:tcBorders>
                  <w:noWrap w:val="0"/>
                  <w:vAlign w:val="center"/>
                </w:tcPr>
                <w:p>
                  <w:pPr>
                    <w:widowControl/>
                    <w:spacing w:line="240" w:lineRule="auto"/>
                    <w:jc w:val="center"/>
                    <w:rPr>
                      <w:rFonts w:hint="default"/>
                      <w:bCs/>
                      <w:color w:val="auto"/>
                      <w:spacing w:val="-10"/>
                      <w:sz w:val="21"/>
                      <w:szCs w:val="21"/>
                      <w:highlight w:val="none"/>
                    </w:rPr>
                  </w:pPr>
                </w:p>
              </w:tc>
              <w:tc>
                <w:tcPr>
                  <w:tcW w:w="383" w:type="dxa"/>
                  <w:vMerge w:val="continue"/>
                  <w:tcBorders>
                    <w:tl2br w:val="nil"/>
                    <w:tr2bl w:val="nil"/>
                  </w:tcBorders>
                  <w:noWrap w:val="0"/>
                  <w:vAlign w:val="center"/>
                </w:tcPr>
                <w:p>
                  <w:pPr>
                    <w:widowControl/>
                    <w:spacing w:line="240" w:lineRule="auto"/>
                    <w:jc w:val="center"/>
                    <w:rPr>
                      <w:rFonts w:hint="default"/>
                      <w:bCs/>
                      <w:color w:val="auto"/>
                      <w:spacing w:val="-10"/>
                      <w:sz w:val="21"/>
                      <w:szCs w:val="21"/>
                      <w:highlight w:val="none"/>
                    </w:rPr>
                  </w:pPr>
                </w:p>
              </w:tc>
              <w:tc>
                <w:tcPr>
                  <w:tcW w:w="380" w:type="dxa"/>
                  <w:vMerge w:val="continue"/>
                  <w:tcBorders>
                    <w:tl2br w:val="nil"/>
                    <w:tr2bl w:val="nil"/>
                  </w:tcBorders>
                  <w:noWrap w:val="0"/>
                  <w:vAlign w:val="center"/>
                </w:tcPr>
                <w:p>
                  <w:pPr>
                    <w:widowControl/>
                    <w:spacing w:line="240" w:lineRule="auto"/>
                    <w:jc w:val="center"/>
                    <w:rPr>
                      <w:rFonts w:hint="default"/>
                      <w:bCs/>
                      <w:color w:val="auto"/>
                      <w:spacing w:val="-10"/>
                      <w:sz w:val="21"/>
                      <w:szCs w:val="21"/>
                      <w:highlight w:val="none"/>
                    </w:rPr>
                  </w:pPr>
                </w:p>
              </w:tc>
              <w:tc>
                <w:tcPr>
                  <w:tcW w:w="383"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核算方法</w:t>
                  </w:r>
                </w:p>
              </w:tc>
              <w:tc>
                <w:tcPr>
                  <w:tcW w:w="522"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废气量</w:t>
                  </w:r>
                  <w:r>
                    <w:rPr>
                      <w:rFonts w:hint="default" w:ascii="Times New Roman" w:hAnsi="Times New Roman" w:cs="Times New Roman"/>
                      <w:bCs/>
                      <w:color w:val="auto"/>
                      <w:spacing w:val="-10"/>
                      <w:kern w:val="0"/>
                      <w:sz w:val="21"/>
                      <w:szCs w:val="21"/>
                      <w:highlight w:val="none"/>
                      <w:lang w:bidi="ar"/>
                    </w:rPr>
                    <w:t>m</w:t>
                  </w:r>
                  <w:r>
                    <w:rPr>
                      <w:rFonts w:hint="default" w:ascii="Times New Roman" w:hAnsi="Times New Roman" w:cs="Times New Roman"/>
                      <w:bCs/>
                      <w:color w:val="auto"/>
                      <w:spacing w:val="-10"/>
                      <w:kern w:val="0"/>
                      <w:sz w:val="21"/>
                      <w:szCs w:val="21"/>
                      <w:highlight w:val="none"/>
                      <w:vertAlign w:val="superscript"/>
                      <w:lang w:bidi="ar"/>
                    </w:rPr>
                    <w:t>3</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h</w:t>
                  </w:r>
                </w:p>
              </w:tc>
              <w:tc>
                <w:tcPr>
                  <w:tcW w:w="654" w:type="dxa"/>
                  <w:tcBorders>
                    <w:tl2br w:val="nil"/>
                    <w:tr2bl w:val="nil"/>
                  </w:tcBorders>
                  <w:noWrap w:val="0"/>
                  <w:vAlign w:val="center"/>
                </w:tcPr>
                <w:p>
                  <w:pPr>
                    <w:widowControl/>
                    <w:spacing w:line="240" w:lineRule="auto"/>
                    <w:jc w:val="center"/>
                    <w:textAlignment w:val="center"/>
                    <w:rPr>
                      <w:rFonts w:hint="default"/>
                      <w:bCs/>
                      <w:color w:val="auto"/>
                      <w:spacing w:val="-10"/>
                      <w:kern w:val="0"/>
                      <w:sz w:val="21"/>
                      <w:szCs w:val="21"/>
                      <w:highlight w:val="none"/>
                      <w:lang w:bidi="ar"/>
                    </w:rPr>
                  </w:pPr>
                  <w:r>
                    <w:rPr>
                      <w:rFonts w:hint="default"/>
                      <w:bCs/>
                      <w:color w:val="auto"/>
                      <w:spacing w:val="-10"/>
                      <w:kern w:val="0"/>
                      <w:sz w:val="21"/>
                      <w:szCs w:val="21"/>
                      <w:highlight w:val="none"/>
                      <w:lang w:bidi="ar"/>
                    </w:rPr>
                    <w:t>产生</w:t>
                  </w:r>
                </w:p>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浓度</w:t>
                  </w:r>
                  <w:r>
                    <w:rPr>
                      <w:rFonts w:hint="default" w:ascii="Times New Roman" w:hAnsi="Times New Roman" w:cs="Times New Roman"/>
                      <w:bCs/>
                      <w:color w:val="auto"/>
                      <w:spacing w:val="-10"/>
                      <w:kern w:val="0"/>
                      <w:sz w:val="21"/>
                      <w:szCs w:val="21"/>
                      <w:highlight w:val="none"/>
                      <w:lang w:bidi="ar"/>
                    </w:rPr>
                    <w:t>mg</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m</w:t>
                  </w:r>
                  <w:r>
                    <w:rPr>
                      <w:rFonts w:hint="default" w:ascii="Times New Roman" w:hAnsi="Times New Roman" w:cs="Times New Roman"/>
                      <w:bCs/>
                      <w:color w:val="auto"/>
                      <w:spacing w:val="-10"/>
                      <w:kern w:val="0"/>
                      <w:sz w:val="21"/>
                      <w:szCs w:val="21"/>
                      <w:highlight w:val="none"/>
                      <w:vertAlign w:val="superscript"/>
                      <w:lang w:bidi="ar"/>
                    </w:rPr>
                    <w:t>3</w:t>
                  </w:r>
                </w:p>
              </w:tc>
              <w:tc>
                <w:tcPr>
                  <w:tcW w:w="579"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产生量</w:t>
                  </w:r>
                  <w:r>
                    <w:rPr>
                      <w:rFonts w:hint="default" w:ascii="Times New Roman" w:hAnsi="Times New Roman" w:cs="Times New Roman"/>
                      <w:bCs/>
                      <w:color w:val="auto"/>
                      <w:spacing w:val="-10"/>
                      <w:kern w:val="0"/>
                      <w:sz w:val="21"/>
                      <w:szCs w:val="21"/>
                      <w:highlight w:val="none"/>
                      <w:lang w:bidi="ar"/>
                    </w:rPr>
                    <w:t>kg</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h</w:t>
                  </w:r>
                </w:p>
              </w:tc>
              <w:tc>
                <w:tcPr>
                  <w:tcW w:w="553"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年产生量</w:t>
                  </w:r>
                  <w:r>
                    <w:rPr>
                      <w:rFonts w:hint="default" w:ascii="Times New Roman" w:hAnsi="Times New Roman" w:cs="Times New Roman"/>
                      <w:bCs/>
                      <w:color w:val="auto"/>
                      <w:spacing w:val="-10"/>
                      <w:kern w:val="0"/>
                      <w:sz w:val="21"/>
                      <w:szCs w:val="21"/>
                      <w:highlight w:val="none"/>
                      <w:lang w:bidi="ar"/>
                    </w:rPr>
                    <w:t>t</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a</w:t>
                  </w:r>
                </w:p>
              </w:tc>
              <w:tc>
                <w:tcPr>
                  <w:tcW w:w="704"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工艺</w:t>
                  </w:r>
                </w:p>
              </w:tc>
              <w:tc>
                <w:tcPr>
                  <w:tcW w:w="477"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效率%</w:t>
                  </w:r>
                </w:p>
              </w:tc>
              <w:tc>
                <w:tcPr>
                  <w:tcW w:w="383"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是否可行技术</w:t>
                  </w:r>
                </w:p>
              </w:tc>
              <w:tc>
                <w:tcPr>
                  <w:tcW w:w="380"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核算方法</w:t>
                  </w:r>
                </w:p>
              </w:tc>
              <w:tc>
                <w:tcPr>
                  <w:tcW w:w="522"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废气量</w:t>
                  </w:r>
                  <w:r>
                    <w:rPr>
                      <w:rFonts w:hint="default" w:ascii="Times New Roman" w:hAnsi="Times New Roman" w:cs="Times New Roman"/>
                      <w:bCs/>
                      <w:color w:val="auto"/>
                      <w:spacing w:val="-10"/>
                      <w:kern w:val="0"/>
                      <w:sz w:val="21"/>
                      <w:szCs w:val="21"/>
                      <w:highlight w:val="none"/>
                      <w:lang w:bidi="ar"/>
                    </w:rPr>
                    <w:t>m</w:t>
                  </w:r>
                  <w:r>
                    <w:rPr>
                      <w:rFonts w:hint="default" w:ascii="Times New Roman" w:hAnsi="Times New Roman" w:cs="Times New Roman"/>
                      <w:bCs/>
                      <w:color w:val="auto"/>
                      <w:spacing w:val="-10"/>
                      <w:kern w:val="0"/>
                      <w:sz w:val="21"/>
                      <w:szCs w:val="21"/>
                      <w:highlight w:val="none"/>
                      <w:vertAlign w:val="superscript"/>
                      <w:lang w:bidi="ar"/>
                    </w:rPr>
                    <w:t>3</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h</w:t>
                  </w:r>
                </w:p>
              </w:tc>
              <w:tc>
                <w:tcPr>
                  <w:tcW w:w="654"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排放浓度</w:t>
                  </w:r>
                  <w:r>
                    <w:rPr>
                      <w:rFonts w:hint="default" w:ascii="Times New Roman" w:hAnsi="Times New Roman" w:cs="Times New Roman"/>
                      <w:bCs/>
                      <w:color w:val="auto"/>
                      <w:spacing w:val="-10"/>
                      <w:kern w:val="0"/>
                      <w:sz w:val="21"/>
                      <w:szCs w:val="21"/>
                      <w:highlight w:val="none"/>
                      <w:lang w:bidi="ar"/>
                    </w:rPr>
                    <w:t>mg</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m</w:t>
                  </w:r>
                  <w:r>
                    <w:rPr>
                      <w:rFonts w:hint="default" w:ascii="Times New Roman" w:hAnsi="Times New Roman" w:cs="Times New Roman"/>
                      <w:bCs/>
                      <w:color w:val="auto"/>
                      <w:spacing w:val="-10"/>
                      <w:kern w:val="0"/>
                      <w:sz w:val="21"/>
                      <w:szCs w:val="21"/>
                      <w:highlight w:val="none"/>
                      <w:vertAlign w:val="superscript"/>
                      <w:lang w:bidi="ar"/>
                    </w:rPr>
                    <w:t>3</w:t>
                  </w:r>
                </w:p>
              </w:tc>
              <w:tc>
                <w:tcPr>
                  <w:tcW w:w="484"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排放量</w:t>
                  </w:r>
                  <w:r>
                    <w:rPr>
                      <w:rFonts w:hint="default" w:ascii="Times New Roman" w:hAnsi="Times New Roman" w:cs="Times New Roman"/>
                      <w:bCs/>
                      <w:color w:val="auto"/>
                      <w:spacing w:val="-10"/>
                      <w:kern w:val="0"/>
                      <w:sz w:val="21"/>
                      <w:szCs w:val="21"/>
                      <w:highlight w:val="none"/>
                      <w:lang w:bidi="ar"/>
                    </w:rPr>
                    <w:t>kg</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h</w:t>
                  </w:r>
                </w:p>
              </w:tc>
              <w:tc>
                <w:tcPr>
                  <w:tcW w:w="685" w:type="dxa"/>
                  <w:tcBorders>
                    <w:tl2br w:val="nil"/>
                    <w:tr2bl w:val="nil"/>
                  </w:tcBorders>
                  <w:noWrap w:val="0"/>
                  <w:vAlign w:val="center"/>
                </w:tcPr>
                <w:p>
                  <w:pPr>
                    <w:widowControl/>
                    <w:spacing w:line="240" w:lineRule="auto"/>
                    <w:jc w:val="center"/>
                    <w:textAlignment w:val="center"/>
                    <w:rPr>
                      <w:rFonts w:hint="default"/>
                      <w:bCs/>
                      <w:color w:val="auto"/>
                      <w:spacing w:val="-10"/>
                      <w:sz w:val="21"/>
                      <w:szCs w:val="21"/>
                      <w:highlight w:val="none"/>
                    </w:rPr>
                  </w:pPr>
                  <w:r>
                    <w:rPr>
                      <w:rFonts w:hint="default"/>
                      <w:bCs/>
                      <w:color w:val="auto"/>
                      <w:spacing w:val="-10"/>
                      <w:kern w:val="0"/>
                      <w:sz w:val="21"/>
                      <w:szCs w:val="21"/>
                      <w:highlight w:val="none"/>
                      <w:lang w:bidi="ar"/>
                    </w:rPr>
                    <w:t>年排放量</w:t>
                  </w:r>
                  <w:r>
                    <w:rPr>
                      <w:rFonts w:hint="default" w:ascii="Times New Roman" w:hAnsi="Times New Roman" w:cs="Times New Roman"/>
                      <w:bCs/>
                      <w:color w:val="auto"/>
                      <w:spacing w:val="-10"/>
                      <w:kern w:val="0"/>
                      <w:sz w:val="21"/>
                      <w:szCs w:val="21"/>
                      <w:highlight w:val="none"/>
                      <w:lang w:bidi="ar"/>
                    </w:rPr>
                    <w:t>t</w:t>
                  </w:r>
                  <w:r>
                    <w:rPr>
                      <w:rFonts w:hint="default"/>
                      <w:bCs/>
                      <w:color w:val="auto"/>
                      <w:spacing w:val="-10"/>
                      <w:kern w:val="0"/>
                      <w:sz w:val="21"/>
                      <w:szCs w:val="21"/>
                      <w:highlight w:val="none"/>
                      <w:lang w:bidi="ar"/>
                    </w:rPr>
                    <w:t>/</w:t>
                  </w:r>
                  <w:r>
                    <w:rPr>
                      <w:rFonts w:hint="default" w:ascii="Times New Roman" w:hAnsi="Times New Roman" w:cs="Times New Roman"/>
                      <w:bCs/>
                      <w:color w:val="auto"/>
                      <w:spacing w:val="-10"/>
                      <w:kern w:val="0"/>
                      <w:sz w:val="21"/>
                      <w:szCs w:val="21"/>
                      <w:highlight w:val="none"/>
                      <w:lang w:bidi="ar"/>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35" w:hRule="atLeast"/>
                <w:jc w:val="center"/>
              </w:trPr>
              <w:tc>
                <w:tcPr>
                  <w:tcW w:w="381" w:type="dxa"/>
                  <w:vMerge w:val="restart"/>
                  <w:tcBorders>
                    <w:tl2br w:val="nil"/>
                    <w:tr2bl w:val="nil"/>
                  </w:tcBorders>
                  <w:shd w:val="clear" w:color="auto" w:fill="auto"/>
                  <w:noWrap w:val="0"/>
                  <w:vAlign w:val="center"/>
                </w:tcPr>
                <w:p>
                  <w:pPr>
                    <w:pStyle w:val="57"/>
                    <w:adjustRightInd w:val="0"/>
                    <w:snapToGrid w:val="0"/>
                    <w:spacing w:line="240" w:lineRule="auto"/>
                    <w:rPr>
                      <w:rFonts w:hint="default" w:ascii="Times New Roman" w:hAnsi="Times New Roman" w:eastAsia="宋体" w:cs="Times New Roman"/>
                      <w:color w:val="auto"/>
                      <w:spacing w:val="-10"/>
                      <w:kern w:val="0"/>
                      <w:sz w:val="21"/>
                      <w:szCs w:val="21"/>
                      <w:highlight w:val="none"/>
                      <w:lang w:val="en-US" w:eastAsia="zh-CN" w:bidi="ar-SA"/>
                    </w:rPr>
                  </w:pPr>
                  <w:r>
                    <w:rPr>
                      <w:rFonts w:hint="eastAsia"/>
                      <w:color w:val="auto"/>
                      <w:spacing w:val="-10"/>
                      <w:sz w:val="21"/>
                      <w:szCs w:val="21"/>
                      <w:highlight w:val="none"/>
                      <w:lang w:val="en-US" w:eastAsia="zh-CN"/>
                    </w:rPr>
                    <w:t xml:space="preserve">物料搅拌  </w:t>
                  </w:r>
                </w:p>
              </w:tc>
              <w:tc>
                <w:tcPr>
                  <w:tcW w:w="544" w:type="dxa"/>
                  <w:tcBorders>
                    <w:tl2br w:val="nil"/>
                    <w:tr2bl w:val="nil"/>
                  </w:tcBorders>
                  <w:shd w:val="clear" w:color="auto" w:fill="auto"/>
                  <w:noWrap w:val="0"/>
                  <w:vAlign w:val="center"/>
                </w:tcPr>
                <w:p>
                  <w:pPr>
                    <w:pStyle w:val="57"/>
                    <w:adjustRightInd w:val="0"/>
                    <w:snapToGrid w:val="0"/>
                    <w:spacing w:line="240" w:lineRule="auto"/>
                    <w:rPr>
                      <w:rFonts w:hint="default" w:ascii="Times New Roman" w:hAnsi="Times New Roman" w:eastAsia="宋体" w:cs="Times New Roman"/>
                      <w:color w:val="auto"/>
                      <w:spacing w:val="-10"/>
                      <w:kern w:val="0"/>
                      <w:sz w:val="21"/>
                      <w:szCs w:val="21"/>
                      <w:highlight w:val="none"/>
                      <w:lang w:val="en-US" w:eastAsia="zh-CN" w:bidi="ar-SA"/>
                    </w:rPr>
                  </w:pPr>
                  <w:r>
                    <w:rPr>
                      <w:rFonts w:hint="eastAsia"/>
                      <w:color w:val="auto"/>
                      <w:spacing w:val="-10"/>
                      <w:sz w:val="21"/>
                      <w:szCs w:val="21"/>
                      <w:highlight w:val="none"/>
                      <w:lang w:val="en-US" w:eastAsia="zh-CN"/>
                    </w:rPr>
                    <w:t>搅拌DA004</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有组织</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颗粒物</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80000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eastAsia="宋体" w:cs="Times New Roman"/>
                      <w:color w:val="auto"/>
                      <w:spacing w:val="-10"/>
                      <w:kern w:val="0"/>
                      <w:sz w:val="21"/>
                      <w:szCs w:val="21"/>
                      <w:highlight w:val="none"/>
                      <w:lang w:val="en-US" w:eastAsia="zh-CN" w:bidi="ar"/>
                    </w:rPr>
                    <w:t>166.67</w:t>
                  </w:r>
                </w:p>
              </w:tc>
              <w:tc>
                <w:tcPr>
                  <w:tcW w:w="579"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1.33</w:t>
                  </w:r>
                </w:p>
              </w:tc>
              <w:tc>
                <w:tcPr>
                  <w:tcW w:w="55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1.56</w:t>
                  </w:r>
                </w:p>
              </w:tc>
              <w:tc>
                <w:tcPr>
                  <w:tcW w:w="704" w:type="dxa"/>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布袋除尘器</w:t>
                  </w:r>
                </w:p>
              </w:tc>
              <w:tc>
                <w:tcPr>
                  <w:tcW w:w="477"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ascii="Times New Roman" w:hAnsi="Times New Roman" w:cs="Times New Roman"/>
                      <w:color w:val="auto"/>
                      <w:spacing w:val="-10"/>
                      <w:kern w:val="0"/>
                      <w:sz w:val="21"/>
                      <w:szCs w:val="21"/>
                      <w:highlight w:val="none"/>
                      <w:lang w:val="en-US" w:eastAsia="zh-CN" w:bidi="ar"/>
                    </w:rPr>
                    <w:t>99</w:t>
                  </w:r>
                  <w:r>
                    <w:rPr>
                      <w:rFonts w:hint="eastAsia"/>
                      <w:color w:val="auto"/>
                      <w:spacing w:val="-10"/>
                      <w:kern w:val="0"/>
                      <w:sz w:val="21"/>
                      <w:szCs w:val="21"/>
                      <w:highlight w:val="none"/>
                      <w:lang w:val="en-US" w:eastAsia="zh-CN" w:bidi="ar"/>
                    </w:rPr>
                    <w:t>.7</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是</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80000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eastAsia="宋体" w:cs="Times New Roman"/>
                      <w:color w:val="auto"/>
                      <w:spacing w:val="-10"/>
                      <w:kern w:val="0"/>
                      <w:sz w:val="21"/>
                      <w:szCs w:val="21"/>
                      <w:highlight w:val="none"/>
                      <w:lang w:val="en-US" w:eastAsia="zh-CN" w:bidi="ar"/>
                    </w:rPr>
                    <w:t>0.5</w:t>
                  </w:r>
                </w:p>
              </w:tc>
              <w:tc>
                <w:tcPr>
                  <w:tcW w:w="48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0.004</w:t>
                  </w:r>
                </w:p>
              </w:tc>
              <w:tc>
                <w:tcPr>
                  <w:tcW w:w="685"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s="Times New Roman"/>
                      <w:color w:val="auto"/>
                      <w:spacing w:val="-10"/>
                      <w:kern w:val="0"/>
                      <w:sz w:val="21"/>
                      <w:szCs w:val="21"/>
                      <w:highlight w:val="none"/>
                      <w:lang w:val="en-US" w:eastAsia="zh-CN" w:bidi="ar"/>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6" w:hRule="atLeast"/>
                <w:jc w:val="center"/>
              </w:trPr>
              <w:tc>
                <w:tcPr>
                  <w:tcW w:w="381" w:type="dxa"/>
                  <w:vMerge w:val="continue"/>
                  <w:tcBorders>
                    <w:tl2br w:val="nil"/>
                    <w:tr2bl w:val="nil"/>
                  </w:tcBorders>
                  <w:noWrap w:val="0"/>
                  <w:vAlign w:val="center"/>
                </w:tcPr>
                <w:p>
                  <w:pPr>
                    <w:widowControl/>
                    <w:spacing w:line="240" w:lineRule="auto"/>
                    <w:jc w:val="center"/>
                    <w:rPr>
                      <w:rFonts w:hint="default"/>
                      <w:bCs/>
                      <w:color w:val="auto"/>
                      <w:spacing w:val="-10"/>
                      <w:sz w:val="21"/>
                      <w:szCs w:val="21"/>
                      <w:highlight w:val="none"/>
                    </w:rPr>
                  </w:pPr>
                </w:p>
              </w:tc>
              <w:tc>
                <w:tcPr>
                  <w:tcW w:w="544" w:type="dxa"/>
                  <w:tcBorders>
                    <w:tl2br w:val="nil"/>
                    <w:tr2bl w:val="nil"/>
                  </w:tcBorders>
                  <w:shd w:val="clear" w:color="auto" w:fill="auto"/>
                  <w:noWrap w:val="0"/>
                  <w:vAlign w:val="center"/>
                </w:tcPr>
                <w:p>
                  <w:pPr>
                    <w:pStyle w:val="57"/>
                    <w:adjustRightInd w:val="0"/>
                    <w:snapToGrid w:val="0"/>
                    <w:spacing w:line="240" w:lineRule="auto"/>
                    <w:rPr>
                      <w:rFonts w:hint="default" w:ascii="Times New Roman" w:hAnsi="Times New Roman" w:eastAsia="宋体" w:cs="Times New Roman"/>
                      <w:color w:val="auto"/>
                      <w:spacing w:val="-10"/>
                      <w:kern w:val="0"/>
                      <w:sz w:val="21"/>
                      <w:szCs w:val="21"/>
                      <w:highlight w:val="none"/>
                      <w:lang w:val="en-US" w:eastAsia="zh-CN" w:bidi="ar-SA"/>
                    </w:rPr>
                  </w:pPr>
                  <w:r>
                    <w:rPr>
                      <w:rFonts w:hint="eastAsia"/>
                      <w:color w:val="auto"/>
                      <w:spacing w:val="-10"/>
                      <w:sz w:val="21"/>
                      <w:szCs w:val="21"/>
                      <w:highlight w:val="none"/>
                      <w:lang w:val="en-US" w:eastAsia="zh-CN"/>
                    </w:rPr>
                    <w:t>搅拌DA005</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有组织</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颗粒物</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80000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eastAsia="宋体" w:cs="Times New Roman"/>
                      <w:color w:val="auto"/>
                      <w:spacing w:val="-10"/>
                      <w:kern w:val="0"/>
                      <w:sz w:val="21"/>
                      <w:szCs w:val="21"/>
                      <w:highlight w:val="none"/>
                      <w:lang w:val="en-US" w:eastAsia="zh-CN" w:bidi="ar"/>
                    </w:rPr>
                    <w:t>500</w:t>
                  </w:r>
                </w:p>
              </w:tc>
              <w:tc>
                <w:tcPr>
                  <w:tcW w:w="579"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eastAsia="宋体" w:cs="Times New Roman"/>
                      <w:color w:val="auto"/>
                      <w:spacing w:val="-10"/>
                      <w:kern w:val="0"/>
                      <w:sz w:val="21"/>
                      <w:szCs w:val="21"/>
                      <w:highlight w:val="none"/>
                      <w:lang w:val="en-US" w:eastAsia="zh-CN" w:bidi="ar"/>
                    </w:rPr>
                    <w:t>4</w:t>
                  </w:r>
                </w:p>
              </w:tc>
              <w:tc>
                <w:tcPr>
                  <w:tcW w:w="55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eastAsia="宋体" w:cs="Times New Roman"/>
                      <w:color w:val="auto"/>
                      <w:spacing w:val="-10"/>
                      <w:kern w:val="0"/>
                      <w:sz w:val="21"/>
                      <w:szCs w:val="21"/>
                      <w:highlight w:val="none"/>
                      <w:lang w:val="en-US" w:eastAsia="zh-CN" w:bidi="ar"/>
                    </w:rPr>
                    <w:t>4.68</w:t>
                  </w:r>
                </w:p>
              </w:tc>
              <w:tc>
                <w:tcPr>
                  <w:tcW w:w="704" w:type="dxa"/>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布袋除尘器</w:t>
                  </w:r>
                </w:p>
              </w:tc>
              <w:tc>
                <w:tcPr>
                  <w:tcW w:w="477"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ascii="Times New Roman" w:hAnsi="Times New Roman" w:cs="Times New Roman"/>
                      <w:color w:val="auto"/>
                      <w:spacing w:val="-10"/>
                      <w:kern w:val="0"/>
                      <w:sz w:val="21"/>
                      <w:szCs w:val="21"/>
                      <w:highlight w:val="none"/>
                      <w:lang w:val="en-US" w:eastAsia="zh-CN" w:bidi="ar"/>
                    </w:rPr>
                    <w:t>99</w:t>
                  </w:r>
                  <w:r>
                    <w:rPr>
                      <w:rFonts w:hint="eastAsia"/>
                      <w:color w:val="auto"/>
                      <w:spacing w:val="-10"/>
                      <w:kern w:val="0"/>
                      <w:sz w:val="21"/>
                      <w:szCs w:val="21"/>
                      <w:highlight w:val="none"/>
                      <w:lang w:val="en-US" w:eastAsia="zh-CN" w:bidi="ar"/>
                    </w:rPr>
                    <w:t>.7</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是</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80000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eastAsia="宋体" w:cs="Times New Roman"/>
                      <w:color w:val="auto"/>
                      <w:spacing w:val="-10"/>
                      <w:kern w:val="0"/>
                      <w:sz w:val="21"/>
                      <w:szCs w:val="21"/>
                      <w:highlight w:val="none"/>
                      <w:lang w:val="en-US" w:eastAsia="zh-CN" w:bidi="ar"/>
                    </w:rPr>
                    <w:t>1.5</w:t>
                  </w:r>
                </w:p>
              </w:tc>
              <w:tc>
                <w:tcPr>
                  <w:tcW w:w="48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eastAsia="宋体" w:cs="Times New Roman"/>
                      <w:color w:val="auto"/>
                      <w:spacing w:val="-10"/>
                      <w:kern w:val="0"/>
                      <w:sz w:val="21"/>
                      <w:szCs w:val="21"/>
                      <w:highlight w:val="none"/>
                      <w:lang w:val="en-US" w:eastAsia="zh-CN" w:bidi="ar"/>
                    </w:rPr>
                    <w:t>0.012</w:t>
                  </w:r>
                </w:p>
              </w:tc>
              <w:tc>
                <w:tcPr>
                  <w:tcW w:w="685"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ascii="Times New Roman" w:hAnsi="Times New Roman" w:eastAsia="宋体" w:cs="Times New Roman"/>
                      <w:color w:val="auto"/>
                      <w:spacing w:val="-10"/>
                      <w:kern w:val="0"/>
                      <w:sz w:val="21"/>
                      <w:szCs w:val="21"/>
                      <w:highlight w:val="none"/>
                      <w:lang w:val="en-US" w:eastAsia="zh-CN" w:bidi="ar"/>
                    </w:rPr>
                    <w:t>0.014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44" w:hRule="atLeast"/>
                <w:jc w:val="center"/>
              </w:trPr>
              <w:tc>
                <w:tcPr>
                  <w:tcW w:w="381" w:type="dxa"/>
                  <w:vMerge w:val="restart"/>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color w:val="auto"/>
                      <w:spacing w:val="-10"/>
                      <w:kern w:val="0"/>
                      <w:sz w:val="21"/>
                      <w:szCs w:val="21"/>
                      <w:highlight w:val="none"/>
                      <w:lang w:bidi="ar"/>
                    </w:rPr>
                    <w:t>罐呼吸</w:t>
                  </w:r>
                </w:p>
              </w:tc>
              <w:tc>
                <w:tcPr>
                  <w:tcW w:w="544"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color w:val="auto"/>
                      <w:spacing w:val="-10"/>
                      <w:sz w:val="21"/>
                      <w:szCs w:val="21"/>
                      <w:highlight w:val="none"/>
                    </w:rPr>
                    <w:t>水泥</w:t>
                  </w:r>
                  <w:r>
                    <w:rPr>
                      <w:rFonts w:hint="eastAsia"/>
                      <w:color w:val="auto"/>
                      <w:spacing w:val="-10"/>
                      <w:sz w:val="21"/>
                      <w:szCs w:val="21"/>
                      <w:highlight w:val="none"/>
                      <w:lang w:val="en-US" w:eastAsia="zh-CN"/>
                    </w:rPr>
                    <w:t>卧</w:t>
                  </w:r>
                  <w:r>
                    <w:rPr>
                      <w:color w:val="auto"/>
                      <w:spacing w:val="-10"/>
                      <w:sz w:val="21"/>
                      <w:szCs w:val="21"/>
                      <w:highlight w:val="none"/>
                    </w:rPr>
                    <w:t>仓</w:t>
                  </w:r>
                  <w:r>
                    <w:rPr>
                      <w:rFonts w:hint="eastAsia"/>
                      <w:color w:val="auto"/>
                      <w:spacing w:val="-10"/>
                      <w:sz w:val="21"/>
                      <w:szCs w:val="21"/>
                      <w:highlight w:val="none"/>
                      <w:lang w:val="en-US" w:eastAsia="zh-CN"/>
                    </w:rPr>
                    <w:t>DA001</w:t>
                  </w:r>
                </w:p>
              </w:tc>
              <w:tc>
                <w:tcPr>
                  <w:tcW w:w="383"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rFonts w:hint="eastAsia"/>
                      <w:color w:val="auto"/>
                      <w:spacing w:val="-10"/>
                      <w:kern w:val="0"/>
                      <w:sz w:val="21"/>
                      <w:szCs w:val="21"/>
                      <w:highlight w:val="none"/>
                      <w:lang w:eastAsia="zh-CN" w:bidi="ar"/>
                    </w:rPr>
                    <w:t>有</w:t>
                  </w:r>
                  <w:r>
                    <w:rPr>
                      <w:rFonts w:hint="default"/>
                      <w:color w:val="auto"/>
                      <w:spacing w:val="-10"/>
                      <w:kern w:val="0"/>
                      <w:sz w:val="21"/>
                      <w:szCs w:val="21"/>
                      <w:highlight w:val="none"/>
                      <w:lang w:bidi="ar"/>
                    </w:rPr>
                    <w:t>组织</w:t>
                  </w:r>
                </w:p>
              </w:tc>
              <w:tc>
                <w:tcPr>
                  <w:tcW w:w="380"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rFonts w:hint="default"/>
                      <w:color w:val="auto"/>
                      <w:spacing w:val="-10"/>
                      <w:kern w:val="0"/>
                      <w:sz w:val="21"/>
                      <w:szCs w:val="21"/>
                      <w:highlight w:val="none"/>
                      <w:lang w:bidi="ar"/>
                    </w:rPr>
                    <w:t>颗粒物</w:t>
                  </w:r>
                </w:p>
              </w:tc>
              <w:tc>
                <w:tcPr>
                  <w:tcW w:w="383"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color w:val="auto"/>
                      <w:spacing w:val="-10"/>
                      <w:sz w:val="21"/>
                      <w:szCs w:val="21"/>
                      <w:highlight w:val="none"/>
                    </w:rPr>
                    <w:t>系数法</w:t>
                  </w:r>
                </w:p>
              </w:tc>
              <w:tc>
                <w:tcPr>
                  <w:tcW w:w="522"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eastAsia"/>
                      <w:color w:val="auto"/>
                      <w:spacing w:val="-10"/>
                      <w:kern w:val="0"/>
                      <w:sz w:val="21"/>
                      <w:szCs w:val="21"/>
                      <w:highlight w:val="none"/>
                      <w:lang w:val="en-US" w:eastAsia="zh-CN" w:bidi="ar"/>
                    </w:rPr>
                    <w:t>8000</w:t>
                  </w:r>
                </w:p>
              </w:tc>
              <w:tc>
                <w:tcPr>
                  <w:tcW w:w="654"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eastAsia"/>
                      <w:color w:val="auto"/>
                      <w:spacing w:val="-10"/>
                      <w:kern w:val="0"/>
                      <w:sz w:val="21"/>
                      <w:szCs w:val="21"/>
                      <w:highlight w:val="none"/>
                      <w:lang w:val="en-US" w:eastAsia="zh-CN" w:bidi="ar"/>
                    </w:rPr>
                    <w:t>83.33</w:t>
                  </w:r>
                </w:p>
              </w:tc>
              <w:tc>
                <w:tcPr>
                  <w:tcW w:w="579"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0.6</w:t>
                  </w:r>
                </w:p>
              </w:tc>
              <w:tc>
                <w:tcPr>
                  <w:tcW w:w="553" w:type="dxa"/>
                  <w:tcBorders>
                    <w:tl2br w:val="nil"/>
                    <w:tr2bl w:val="nil"/>
                  </w:tcBorders>
                  <w:noWrap w:val="0"/>
                  <w:vAlign w:val="center"/>
                </w:tcPr>
                <w:p>
                  <w:pPr>
                    <w:widowControl/>
                    <w:spacing w:line="240" w:lineRule="auto"/>
                    <w:jc w:val="center"/>
                    <w:textAlignment w:val="center"/>
                    <w:rPr>
                      <w:rFonts w:hint="default" w:eastAsia="宋体"/>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0.72</w:t>
                  </w:r>
                </w:p>
              </w:tc>
              <w:tc>
                <w:tcPr>
                  <w:tcW w:w="704"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bCs/>
                      <w:color w:val="auto"/>
                      <w:spacing w:val="-10"/>
                      <w:sz w:val="21"/>
                      <w:szCs w:val="21"/>
                      <w:highlight w:val="none"/>
                    </w:rPr>
                    <w:t>布袋除尘器</w:t>
                  </w:r>
                </w:p>
              </w:tc>
              <w:tc>
                <w:tcPr>
                  <w:tcW w:w="477"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default" w:ascii="Times New Roman" w:hAnsi="Times New Roman" w:cs="Times New Roman"/>
                      <w:color w:val="auto"/>
                      <w:spacing w:val="-10"/>
                      <w:kern w:val="0"/>
                      <w:sz w:val="21"/>
                      <w:szCs w:val="21"/>
                      <w:highlight w:val="none"/>
                      <w:lang w:bidi="ar"/>
                    </w:rPr>
                    <w:t>99</w:t>
                  </w:r>
                  <w:r>
                    <w:rPr>
                      <w:rFonts w:hint="eastAsia"/>
                      <w:color w:val="auto"/>
                      <w:spacing w:val="-10"/>
                      <w:kern w:val="0"/>
                      <w:sz w:val="21"/>
                      <w:szCs w:val="21"/>
                      <w:highlight w:val="none"/>
                      <w:lang w:val="en-US" w:eastAsia="zh-CN" w:bidi="ar"/>
                    </w:rPr>
                    <w:t>.</w:t>
                  </w:r>
                  <w:r>
                    <w:rPr>
                      <w:rFonts w:hint="eastAsia" w:cs="Times New Roman"/>
                      <w:color w:val="auto"/>
                      <w:spacing w:val="-10"/>
                      <w:kern w:val="0"/>
                      <w:sz w:val="21"/>
                      <w:szCs w:val="21"/>
                      <w:highlight w:val="none"/>
                      <w:lang w:val="en-US" w:eastAsia="zh-CN" w:bidi="ar"/>
                    </w:rPr>
                    <w:t>7</w:t>
                  </w:r>
                </w:p>
              </w:tc>
              <w:tc>
                <w:tcPr>
                  <w:tcW w:w="383"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rFonts w:hint="default"/>
                      <w:color w:val="auto"/>
                      <w:spacing w:val="-10"/>
                      <w:kern w:val="0"/>
                      <w:sz w:val="21"/>
                      <w:szCs w:val="21"/>
                      <w:highlight w:val="none"/>
                      <w:lang w:bidi="ar"/>
                    </w:rPr>
                    <w:t>是</w:t>
                  </w:r>
                </w:p>
              </w:tc>
              <w:tc>
                <w:tcPr>
                  <w:tcW w:w="380"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rPr>
                  </w:pPr>
                  <w:r>
                    <w:rPr>
                      <w:color w:val="auto"/>
                      <w:spacing w:val="-10"/>
                      <w:sz w:val="21"/>
                      <w:szCs w:val="21"/>
                      <w:highlight w:val="none"/>
                    </w:rPr>
                    <w:t>系数法</w:t>
                  </w:r>
                </w:p>
              </w:tc>
              <w:tc>
                <w:tcPr>
                  <w:tcW w:w="522"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eastAsia"/>
                      <w:color w:val="auto"/>
                      <w:spacing w:val="-10"/>
                      <w:kern w:val="0"/>
                      <w:sz w:val="21"/>
                      <w:szCs w:val="21"/>
                      <w:highlight w:val="none"/>
                      <w:lang w:val="en-US" w:eastAsia="zh-CN" w:bidi="ar"/>
                    </w:rPr>
                    <w:t>8000</w:t>
                  </w:r>
                </w:p>
              </w:tc>
              <w:tc>
                <w:tcPr>
                  <w:tcW w:w="654"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eastAsia"/>
                      <w:color w:val="auto"/>
                      <w:spacing w:val="-10"/>
                      <w:kern w:val="0"/>
                      <w:sz w:val="21"/>
                      <w:szCs w:val="21"/>
                      <w:highlight w:val="none"/>
                      <w:lang w:val="en-US" w:eastAsia="zh-CN" w:bidi="ar"/>
                    </w:rPr>
                    <w:t>0.25</w:t>
                  </w:r>
                </w:p>
              </w:tc>
              <w:tc>
                <w:tcPr>
                  <w:tcW w:w="484" w:type="dxa"/>
                  <w:tcBorders>
                    <w:tl2br w:val="nil"/>
                    <w:tr2bl w:val="nil"/>
                  </w:tcBorders>
                  <w:noWrap w:val="0"/>
                  <w:vAlign w:val="center"/>
                </w:tcPr>
                <w:p>
                  <w:pPr>
                    <w:widowControl/>
                    <w:spacing w:line="240" w:lineRule="auto"/>
                    <w:jc w:val="center"/>
                    <w:textAlignment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0.002</w:t>
                  </w:r>
                </w:p>
              </w:tc>
              <w:tc>
                <w:tcPr>
                  <w:tcW w:w="685" w:type="dxa"/>
                  <w:tcBorders>
                    <w:tl2br w:val="nil"/>
                    <w:tr2bl w:val="nil"/>
                  </w:tcBorders>
                  <w:noWrap w:val="0"/>
                  <w:vAlign w:val="center"/>
                </w:tcPr>
                <w:p>
                  <w:pPr>
                    <w:widowControl/>
                    <w:spacing w:line="240" w:lineRule="auto"/>
                    <w:jc w:val="center"/>
                    <w:textAlignment w:val="center"/>
                    <w:rPr>
                      <w:rFonts w:hint="default" w:eastAsia="宋体"/>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355" w:hRule="atLeast"/>
                <w:jc w:val="center"/>
              </w:trPr>
              <w:tc>
                <w:tcPr>
                  <w:tcW w:w="381" w:type="dxa"/>
                  <w:vMerge w:val="continue"/>
                  <w:tcBorders>
                    <w:tl2br w:val="nil"/>
                    <w:tr2bl w:val="nil"/>
                  </w:tcBorders>
                  <w:noWrap w:val="0"/>
                  <w:vAlign w:val="center"/>
                </w:tcPr>
                <w:p>
                  <w:pPr>
                    <w:widowControl/>
                    <w:spacing w:line="240" w:lineRule="auto"/>
                    <w:jc w:val="center"/>
                    <w:textAlignment w:val="center"/>
                    <w:rPr>
                      <w:color w:val="auto"/>
                      <w:spacing w:val="-10"/>
                      <w:kern w:val="0"/>
                      <w:sz w:val="21"/>
                      <w:szCs w:val="21"/>
                      <w:highlight w:val="none"/>
                      <w:lang w:bidi="ar"/>
                    </w:rPr>
                  </w:pPr>
                </w:p>
              </w:tc>
              <w:tc>
                <w:tcPr>
                  <w:tcW w:w="544" w:type="dxa"/>
                  <w:tcBorders>
                    <w:tl2br w:val="nil"/>
                    <w:tr2bl w:val="nil"/>
                  </w:tcBorders>
                  <w:noWrap w:val="0"/>
                  <w:vAlign w:val="center"/>
                </w:tcPr>
                <w:p>
                  <w:pPr>
                    <w:widowControl/>
                    <w:spacing w:line="240" w:lineRule="auto"/>
                    <w:jc w:val="center"/>
                    <w:textAlignment w:val="center"/>
                    <w:rPr>
                      <w:rFonts w:hint="default"/>
                      <w:color w:val="auto"/>
                      <w:spacing w:val="-10"/>
                      <w:sz w:val="21"/>
                      <w:szCs w:val="21"/>
                      <w:highlight w:val="none"/>
                      <w:lang w:val="en-US"/>
                    </w:rPr>
                  </w:pPr>
                  <w:r>
                    <w:rPr>
                      <w:color w:val="auto"/>
                      <w:spacing w:val="-10"/>
                      <w:sz w:val="21"/>
                      <w:szCs w:val="21"/>
                      <w:highlight w:val="none"/>
                    </w:rPr>
                    <w:t>水泥</w:t>
                  </w:r>
                  <w:r>
                    <w:rPr>
                      <w:rFonts w:hint="eastAsia"/>
                      <w:color w:val="auto"/>
                      <w:spacing w:val="-10"/>
                      <w:sz w:val="21"/>
                      <w:szCs w:val="21"/>
                      <w:highlight w:val="none"/>
                      <w:lang w:val="en-US" w:eastAsia="zh-CN"/>
                    </w:rPr>
                    <w:t>卧</w:t>
                  </w:r>
                  <w:r>
                    <w:rPr>
                      <w:color w:val="auto"/>
                      <w:spacing w:val="-10"/>
                      <w:sz w:val="21"/>
                      <w:szCs w:val="21"/>
                      <w:highlight w:val="none"/>
                    </w:rPr>
                    <w:t>仓</w:t>
                  </w:r>
                  <w:r>
                    <w:rPr>
                      <w:rFonts w:hint="eastAsia"/>
                      <w:color w:val="auto"/>
                      <w:spacing w:val="-10"/>
                      <w:sz w:val="21"/>
                      <w:szCs w:val="21"/>
                      <w:highlight w:val="none"/>
                      <w:lang w:val="en-US" w:eastAsia="zh-CN"/>
                    </w:rPr>
                    <w:t>DA002</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eastAsia="zh-CN" w:bidi="ar"/>
                    </w:rPr>
                    <w:t>有</w:t>
                  </w:r>
                  <w:r>
                    <w:rPr>
                      <w:rFonts w:hint="default"/>
                      <w:color w:val="auto"/>
                      <w:spacing w:val="-10"/>
                      <w:kern w:val="0"/>
                      <w:sz w:val="21"/>
                      <w:szCs w:val="21"/>
                      <w:highlight w:val="none"/>
                      <w:lang w:bidi="ar"/>
                    </w:rPr>
                    <w:t>组织</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kern w:val="0"/>
                      <w:sz w:val="21"/>
                      <w:szCs w:val="21"/>
                      <w:highlight w:val="none"/>
                      <w:lang w:bidi="ar"/>
                    </w:rPr>
                    <w:t>颗粒物</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8000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83.33</w:t>
                  </w:r>
                </w:p>
              </w:tc>
              <w:tc>
                <w:tcPr>
                  <w:tcW w:w="579"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0.6</w:t>
                  </w:r>
                </w:p>
              </w:tc>
              <w:tc>
                <w:tcPr>
                  <w:tcW w:w="55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0.72</w:t>
                  </w:r>
                </w:p>
              </w:tc>
              <w:tc>
                <w:tcPr>
                  <w:tcW w:w="70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bCs/>
                      <w:color w:val="auto"/>
                      <w:spacing w:val="-10"/>
                      <w:sz w:val="21"/>
                      <w:szCs w:val="21"/>
                      <w:highlight w:val="none"/>
                    </w:rPr>
                    <w:t>布袋除尘器</w:t>
                  </w:r>
                </w:p>
              </w:tc>
              <w:tc>
                <w:tcPr>
                  <w:tcW w:w="477"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bidi="ar"/>
                    </w:rPr>
                    <w:t>99</w:t>
                  </w:r>
                  <w:r>
                    <w:rPr>
                      <w:rFonts w:hint="eastAsia"/>
                      <w:color w:val="auto"/>
                      <w:spacing w:val="-10"/>
                      <w:kern w:val="0"/>
                      <w:sz w:val="21"/>
                      <w:szCs w:val="21"/>
                      <w:highlight w:val="none"/>
                      <w:lang w:val="en-US" w:eastAsia="zh-CN" w:bidi="ar"/>
                    </w:rPr>
                    <w:t>.</w:t>
                  </w:r>
                  <w:r>
                    <w:rPr>
                      <w:rFonts w:hint="eastAsia" w:cs="Times New Roman"/>
                      <w:color w:val="auto"/>
                      <w:spacing w:val="-10"/>
                      <w:kern w:val="0"/>
                      <w:sz w:val="21"/>
                      <w:szCs w:val="21"/>
                      <w:highlight w:val="none"/>
                      <w:lang w:val="en-US" w:eastAsia="zh-CN" w:bidi="ar"/>
                    </w:rPr>
                    <w:t>7</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kern w:val="0"/>
                      <w:sz w:val="21"/>
                      <w:szCs w:val="21"/>
                      <w:highlight w:val="none"/>
                      <w:lang w:bidi="ar"/>
                    </w:rPr>
                    <w:t>是</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8000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0.25</w:t>
                  </w:r>
                </w:p>
              </w:tc>
              <w:tc>
                <w:tcPr>
                  <w:tcW w:w="48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0.002</w:t>
                  </w:r>
                </w:p>
              </w:tc>
              <w:tc>
                <w:tcPr>
                  <w:tcW w:w="685"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jc w:val="center"/>
              </w:trPr>
              <w:tc>
                <w:tcPr>
                  <w:tcW w:w="381" w:type="dxa"/>
                  <w:vMerge w:val="continue"/>
                  <w:tcBorders>
                    <w:tl2br w:val="nil"/>
                    <w:tr2bl w:val="nil"/>
                  </w:tcBorders>
                  <w:noWrap w:val="0"/>
                  <w:vAlign w:val="center"/>
                </w:tcPr>
                <w:p>
                  <w:pPr>
                    <w:widowControl/>
                    <w:spacing w:line="240" w:lineRule="auto"/>
                    <w:jc w:val="center"/>
                    <w:textAlignment w:val="center"/>
                    <w:rPr>
                      <w:color w:val="auto"/>
                      <w:spacing w:val="-10"/>
                      <w:kern w:val="0"/>
                      <w:sz w:val="21"/>
                      <w:szCs w:val="21"/>
                      <w:highlight w:val="none"/>
                      <w:lang w:bidi="ar"/>
                    </w:rPr>
                  </w:pPr>
                </w:p>
              </w:tc>
              <w:tc>
                <w:tcPr>
                  <w:tcW w:w="54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水泥筒仓</w:t>
                  </w:r>
                  <w:r>
                    <w:rPr>
                      <w:rFonts w:hint="eastAsia"/>
                      <w:color w:val="auto"/>
                      <w:spacing w:val="-10"/>
                      <w:sz w:val="21"/>
                      <w:szCs w:val="21"/>
                      <w:highlight w:val="none"/>
                      <w:lang w:val="en-US" w:eastAsia="zh-CN"/>
                    </w:rPr>
                    <w:t>DA003</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eastAsia="zh-CN" w:bidi="ar"/>
                    </w:rPr>
                    <w:t>有</w:t>
                  </w:r>
                  <w:r>
                    <w:rPr>
                      <w:rFonts w:hint="default"/>
                      <w:color w:val="auto"/>
                      <w:spacing w:val="-10"/>
                      <w:kern w:val="0"/>
                      <w:sz w:val="21"/>
                      <w:szCs w:val="21"/>
                      <w:highlight w:val="none"/>
                      <w:lang w:bidi="ar"/>
                    </w:rPr>
                    <w:t>组织</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kern w:val="0"/>
                      <w:sz w:val="21"/>
                      <w:szCs w:val="21"/>
                      <w:highlight w:val="none"/>
                      <w:lang w:bidi="ar"/>
                    </w:rPr>
                    <w:t>颗粒物</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8000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450</w:t>
                  </w:r>
                </w:p>
              </w:tc>
              <w:tc>
                <w:tcPr>
                  <w:tcW w:w="579"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3.6</w:t>
                  </w:r>
                </w:p>
              </w:tc>
              <w:tc>
                <w:tcPr>
                  <w:tcW w:w="55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4.32</w:t>
                  </w:r>
                </w:p>
              </w:tc>
              <w:tc>
                <w:tcPr>
                  <w:tcW w:w="70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bCs/>
                      <w:color w:val="auto"/>
                      <w:spacing w:val="-10"/>
                      <w:sz w:val="21"/>
                      <w:szCs w:val="21"/>
                      <w:highlight w:val="none"/>
                    </w:rPr>
                    <w:t>布袋除尘器</w:t>
                  </w:r>
                </w:p>
              </w:tc>
              <w:tc>
                <w:tcPr>
                  <w:tcW w:w="477"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bidi="ar"/>
                    </w:rPr>
                    <w:t>99</w:t>
                  </w:r>
                  <w:r>
                    <w:rPr>
                      <w:rFonts w:hint="eastAsia"/>
                      <w:color w:val="auto"/>
                      <w:spacing w:val="-10"/>
                      <w:kern w:val="0"/>
                      <w:sz w:val="21"/>
                      <w:szCs w:val="21"/>
                      <w:highlight w:val="none"/>
                      <w:lang w:val="en-US" w:eastAsia="zh-CN" w:bidi="ar"/>
                    </w:rPr>
                    <w:t>.</w:t>
                  </w:r>
                  <w:r>
                    <w:rPr>
                      <w:rFonts w:hint="eastAsia" w:cs="Times New Roman"/>
                      <w:color w:val="auto"/>
                      <w:spacing w:val="-10"/>
                      <w:kern w:val="0"/>
                      <w:sz w:val="21"/>
                      <w:szCs w:val="21"/>
                      <w:highlight w:val="none"/>
                      <w:lang w:val="en-US" w:eastAsia="zh-CN" w:bidi="ar"/>
                    </w:rPr>
                    <w:t>7</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kern w:val="0"/>
                      <w:sz w:val="21"/>
                      <w:szCs w:val="21"/>
                      <w:highlight w:val="none"/>
                      <w:lang w:bidi="ar"/>
                    </w:rPr>
                    <w:t>是</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8000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1.35</w:t>
                  </w:r>
                </w:p>
              </w:tc>
              <w:tc>
                <w:tcPr>
                  <w:tcW w:w="48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0.01</w:t>
                  </w:r>
                </w:p>
              </w:tc>
              <w:tc>
                <w:tcPr>
                  <w:tcW w:w="685"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79" w:hRule="atLeast"/>
                <w:jc w:val="center"/>
              </w:trPr>
              <w:tc>
                <w:tcPr>
                  <w:tcW w:w="381" w:type="dxa"/>
                  <w:vMerge w:val="continue"/>
                  <w:tcBorders>
                    <w:tl2br w:val="nil"/>
                    <w:tr2bl w:val="nil"/>
                  </w:tcBorders>
                  <w:noWrap w:val="0"/>
                  <w:vAlign w:val="center"/>
                </w:tcPr>
                <w:p>
                  <w:pPr>
                    <w:widowControl/>
                    <w:spacing w:line="240" w:lineRule="auto"/>
                    <w:jc w:val="center"/>
                    <w:textAlignment w:val="center"/>
                    <w:rPr>
                      <w:color w:val="auto"/>
                      <w:spacing w:val="-10"/>
                      <w:kern w:val="0"/>
                      <w:sz w:val="21"/>
                      <w:szCs w:val="21"/>
                      <w:highlight w:val="none"/>
                      <w:lang w:bidi="ar"/>
                    </w:rPr>
                  </w:pPr>
                </w:p>
              </w:tc>
              <w:tc>
                <w:tcPr>
                  <w:tcW w:w="544" w:type="dxa"/>
                  <w:tcBorders>
                    <w:tl2br w:val="nil"/>
                    <w:tr2bl w:val="nil"/>
                  </w:tcBorders>
                  <w:shd w:val="clear" w:color="auto" w:fill="auto"/>
                  <w:noWrap w:val="0"/>
                  <w:vAlign w:val="center"/>
                </w:tcPr>
                <w:p>
                  <w:pPr>
                    <w:widowControl/>
                    <w:spacing w:line="240" w:lineRule="auto"/>
                    <w:jc w:val="center"/>
                    <w:textAlignment w:val="center"/>
                    <w:rPr>
                      <w:rFonts w:hint="default"/>
                      <w:color w:val="auto"/>
                      <w:spacing w:val="-10"/>
                      <w:sz w:val="21"/>
                      <w:szCs w:val="21"/>
                      <w:highlight w:val="none"/>
                      <w:lang w:val="en-US"/>
                    </w:rPr>
                  </w:pPr>
                  <w:r>
                    <w:rPr>
                      <w:rFonts w:hint="default" w:ascii="Times New Roman" w:hAnsi="Times New Roman" w:eastAsia="宋体" w:cs="Times New Roman"/>
                      <w:i w:val="0"/>
                      <w:iCs w:val="0"/>
                      <w:color w:val="auto"/>
                      <w:sz w:val="21"/>
                      <w:szCs w:val="21"/>
                      <w:highlight w:val="none"/>
                      <w:u w:val="none"/>
                      <w:lang w:val="en-US" w:eastAsia="zh-CN"/>
                    </w:rPr>
                    <w:t>粉料仓</w:t>
                  </w:r>
                  <w:r>
                    <w:rPr>
                      <w:rFonts w:hint="eastAsia"/>
                      <w:color w:val="auto"/>
                      <w:spacing w:val="-10"/>
                      <w:sz w:val="21"/>
                      <w:szCs w:val="21"/>
                      <w:highlight w:val="none"/>
                      <w:lang w:val="en-US" w:eastAsia="zh-CN"/>
                    </w:rPr>
                    <w:t>DA006</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eastAsia="zh-CN" w:bidi="ar"/>
                    </w:rPr>
                    <w:t>有</w:t>
                  </w:r>
                  <w:r>
                    <w:rPr>
                      <w:rFonts w:hint="default"/>
                      <w:color w:val="auto"/>
                      <w:spacing w:val="-10"/>
                      <w:kern w:val="0"/>
                      <w:sz w:val="21"/>
                      <w:szCs w:val="21"/>
                      <w:highlight w:val="none"/>
                      <w:lang w:bidi="ar"/>
                    </w:rPr>
                    <w:t>组织</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kern w:val="0"/>
                      <w:sz w:val="21"/>
                      <w:szCs w:val="21"/>
                      <w:highlight w:val="none"/>
                      <w:lang w:bidi="ar"/>
                    </w:rPr>
                    <w:t>颗粒物</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5000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1266.67</w:t>
                  </w:r>
                </w:p>
              </w:tc>
              <w:tc>
                <w:tcPr>
                  <w:tcW w:w="579"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highlight w:val="none"/>
                      <w:lang w:val="en-US" w:eastAsia="zh-CN" w:bidi="ar-SA"/>
                    </w:rPr>
                    <w:t>6.3</w:t>
                  </w:r>
                </w:p>
              </w:tc>
              <w:tc>
                <w:tcPr>
                  <w:tcW w:w="55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2.28</w:t>
                  </w:r>
                </w:p>
              </w:tc>
              <w:tc>
                <w:tcPr>
                  <w:tcW w:w="70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bCs/>
                      <w:color w:val="auto"/>
                      <w:spacing w:val="-10"/>
                      <w:sz w:val="21"/>
                      <w:szCs w:val="21"/>
                      <w:highlight w:val="none"/>
                    </w:rPr>
                    <w:t>布袋除尘器</w:t>
                  </w:r>
                </w:p>
              </w:tc>
              <w:tc>
                <w:tcPr>
                  <w:tcW w:w="477"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ascii="Times New Roman" w:hAnsi="Times New Roman" w:cs="Times New Roman"/>
                      <w:color w:val="auto"/>
                      <w:spacing w:val="-10"/>
                      <w:kern w:val="0"/>
                      <w:sz w:val="21"/>
                      <w:szCs w:val="21"/>
                      <w:highlight w:val="none"/>
                      <w:lang w:bidi="ar"/>
                    </w:rPr>
                    <w:t>99</w:t>
                  </w:r>
                  <w:r>
                    <w:rPr>
                      <w:rFonts w:hint="eastAsia"/>
                      <w:color w:val="auto"/>
                      <w:spacing w:val="-10"/>
                      <w:kern w:val="0"/>
                      <w:sz w:val="21"/>
                      <w:szCs w:val="21"/>
                      <w:highlight w:val="none"/>
                      <w:lang w:val="en-US" w:eastAsia="zh-CN" w:bidi="ar"/>
                    </w:rPr>
                    <w:t>.</w:t>
                  </w:r>
                  <w:r>
                    <w:rPr>
                      <w:rFonts w:hint="eastAsia" w:cs="Times New Roman"/>
                      <w:color w:val="auto"/>
                      <w:spacing w:val="-10"/>
                      <w:kern w:val="0"/>
                      <w:sz w:val="21"/>
                      <w:szCs w:val="21"/>
                      <w:highlight w:val="none"/>
                      <w:lang w:val="en-US" w:eastAsia="zh-CN" w:bidi="ar"/>
                    </w:rPr>
                    <w:t>7</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kern w:val="0"/>
                      <w:sz w:val="21"/>
                      <w:szCs w:val="21"/>
                      <w:highlight w:val="none"/>
                      <w:lang w:bidi="ar"/>
                    </w:rPr>
                    <w:t>是</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5000</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kern w:val="0"/>
                      <w:sz w:val="21"/>
                      <w:szCs w:val="21"/>
                      <w:highlight w:val="none"/>
                      <w:lang w:val="en-US" w:eastAsia="zh-CN" w:bidi="ar"/>
                    </w:rPr>
                    <w:t>3.8</w:t>
                  </w:r>
                </w:p>
              </w:tc>
              <w:tc>
                <w:tcPr>
                  <w:tcW w:w="48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0.019</w:t>
                  </w:r>
                </w:p>
              </w:tc>
              <w:tc>
                <w:tcPr>
                  <w:tcW w:w="685"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0.068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381" w:type="dxa"/>
                  <w:tcBorders>
                    <w:tl2br w:val="nil"/>
                    <w:tr2bl w:val="nil"/>
                  </w:tcBorders>
                  <w:noWrap w:val="0"/>
                  <w:vAlign w:val="center"/>
                </w:tcPr>
                <w:p>
                  <w:pPr>
                    <w:pStyle w:val="57"/>
                    <w:adjustRightInd w:val="0"/>
                    <w:snapToGrid w:val="0"/>
                    <w:spacing w:line="240" w:lineRule="auto"/>
                    <w:rPr>
                      <w:rFonts w:hint="default" w:eastAsia="宋体"/>
                      <w:color w:val="auto"/>
                      <w:spacing w:val="-10"/>
                      <w:sz w:val="21"/>
                      <w:szCs w:val="21"/>
                      <w:highlight w:val="none"/>
                      <w:lang w:val="en-US" w:eastAsia="zh-CN"/>
                    </w:rPr>
                  </w:pPr>
                  <w:r>
                    <w:rPr>
                      <w:rFonts w:hint="default" w:ascii="Times New Roman" w:hAnsi="Times New Roman" w:eastAsia="宋体" w:cs="Times New Roman"/>
                      <w:i w:val="0"/>
                      <w:iCs w:val="0"/>
                      <w:color w:val="auto"/>
                      <w:sz w:val="21"/>
                      <w:szCs w:val="21"/>
                      <w:highlight w:val="none"/>
                      <w:u w:val="none"/>
                    </w:rPr>
                    <w:t>投料</w:t>
                  </w:r>
                  <w:r>
                    <w:rPr>
                      <w:rFonts w:hint="default" w:ascii="Times New Roman" w:hAnsi="Times New Roman" w:eastAsia="宋体" w:cs="Times New Roman"/>
                      <w:i w:val="0"/>
                      <w:iCs w:val="0"/>
                      <w:color w:val="auto"/>
                      <w:sz w:val="21"/>
                      <w:szCs w:val="21"/>
                      <w:highlight w:val="none"/>
                      <w:u w:val="none"/>
                      <w:lang w:eastAsia="zh-CN"/>
                    </w:rPr>
                    <w:t>（</w:t>
                  </w:r>
                  <w:r>
                    <w:rPr>
                      <w:rFonts w:hint="default" w:ascii="Times New Roman" w:hAnsi="Times New Roman" w:eastAsia="宋体" w:cs="Times New Roman"/>
                      <w:i w:val="0"/>
                      <w:iCs w:val="0"/>
                      <w:color w:val="auto"/>
                      <w:sz w:val="21"/>
                      <w:szCs w:val="21"/>
                      <w:highlight w:val="none"/>
                      <w:u w:val="none"/>
                      <w:lang w:val="en-US" w:eastAsia="zh-CN"/>
                    </w:rPr>
                    <w:t>料仓</w:t>
                  </w:r>
                  <w:r>
                    <w:rPr>
                      <w:rFonts w:hint="default" w:ascii="Times New Roman" w:hAnsi="Times New Roman" w:eastAsia="宋体" w:cs="Times New Roman"/>
                      <w:i w:val="0"/>
                      <w:iCs w:val="0"/>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皮带输送</w:t>
                  </w:r>
                </w:p>
              </w:tc>
              <w:tc>
                <w:tcPr>
                  <w:tcW w:w="544" w:type="dxa"/>
                  <w:tcBorders>
                    <w:tl2br w:val="nil"/>
                    <w:tr2bl w:val="nil"/>
                  </w:tcBorders>
                  <w:noWrap w:val="0"/>
                  <w:vAlign w:val="center"/>
                </w:tcPr>
                <w:p>
                  <w:pPr>
                    <w:pStyle w:val="57"/>
                    <w:adjustRightInd w:val="0"/>
                    <w:snapToGrid w:val="0"/>
                    <w:spacing w:line="240" w:lineRule="auto"/>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输送</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无组织</w:t>
                  </w:r>
                </w:p>
              </w:tc>
              <w:tc>
                <w:tcPr>
                  <w:tcW w:w="380"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颗粒物</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color w:val="auto"/>
                      <w:spacing w:val="-10"/>
                      <w:kern w:val="0"/>
                      <w:sz w:val="21"/>
                      <w:szCs w:val="21"/>
                      <w:highlight w:val="none"/>
                      <w:lang w:bidi="ar"/>
                    </w:rPr>
                    <w:t>/</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color w:val="auto"/>
                      <w:spacing w:val="-10"/>
                      <w:kern w:val="0"/>
                      <w:sz w:val="21"/>
                      <w:szCs w:val="21"/>
                      <w:highlight w:val="none"/>
                      <w:lang w:bidi="ar"/>
                    </w:rPr>
                    <w:t>/</w:t>
                  </w:r>
                </w:p>
              </w:tc>
              <w:tc>
                <w:tcPr>
                  <w:tcW w:w="579" w:type="dxa"/>
                  <w:tcBorders>
                    <w:tl2br w:val="nil"/>
                    <w:tr2bl w:val="nil"/>
                  </w:tcBorders>
                  <w:noWrap w:val="0"/>
                  <w:vAlign w:val="center"/>
                </w:tcPr>
                <w:p>
                  <w:pPr>
                    <w:widowControl/>
                    <w:spacing w:line="240" w:lineRule="auto"/>
                    <w:jc w:val="center"/>
                    <w:textAlignment w:val="center"/>
                    <w:rPr>
                      <w:rFonts w:hint="default"/>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0.24</w:t>
                  </w:r>
                </w:p>
              </w:tc>
              <w:tc>
                <w:tcPr>
                  <w:tcW w:w="553" w:type="dxa"/>
                  <w:tcBorders>
                    <w:tl2br w:val="nil"/>
                    <w:tr2bl w:val="nil"/>
                  </w:tcBorders>
                  <w:noWrap w:val="0"/>
                  <w:vAlign w:val="center"/>
                </w:tcPr>
                <w:p>
                  <w:pPr>
                    <w:widowControl/>
                    <w:spacing w:line="240" w:lineRule="auto"/>
                    <w:jc w:val="center"/>
                    <w:textAlignment w:val="center"/>
                    <w:rPr>
                      <w:rFonts w:hint="default"/>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0.3</w:t>
                  </w:r>
                </w:p>
              </w:tc>
              <w:tc>
                <w:tcPr>
                  <w:tcW w:w="704"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rPr>
                    <w:t>全封闭三面遮挡，砂、石进料口处定期洒水</w:t>
                  </w:r>
                </w:p>
              </w:tc>
              <w:tc>
                <w:tcPr>
                  <w:tcW w:w="477" w:type="dxa"/>
                  <w:tcBorders>
                    <w:tl2br w:val="nil"/>
                    <w:tr2bl w:val="nil"/>
                  </w:tcBorders>
                  <w:noWrap w:val="0"/>
                  <w:vAlign w:val="center"/>
                </w:tcPr>
                <w:p>
                  <w:pPr>
                    <w:widowControl/>
                    <w:spacing w:line="240" w:lineRule="auto"/>
                    <w:jc w:val="center"/>
                    <w:textAlignment w:val="center"/>
                    <w:rPr>
                      <w:rFonts w:hint="default"/>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60</w:t>
                  </w:r>
                </w:p>
              </w:tc>
              <w:tc>
                <w:tcPr>
                  <w:tcW w:w="383"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rFonts w:hint="default"/>
                      <w:color w:val="auto"/>
                      <w:spacing w:val="-10"/>
                      <w:kern w:val="0"/>
                      <w:sz w:val="21"/>
                      <w:szCs w:val="21"/>
                      <w:highlight w:val="none"/>
                      <w:lang w:bidi="ar"/>
                    </w:rPr>
                    <w:t>是</w:t>
                  </w:r>
                </w:p>
              </w:tc>
              <w:tc>
                <w:tcPr>
                  <w:tcW w:w="380" w:type="dxa"/>
                  <w:tcBorders>
                    <w:tl2br w:val="nil"/>
                    <w:tr2bl w:val="nil"/>
                  </w:tcBorders>
                  <w:shd w:val="clear" w:color="auto" w:fill="auto"/>
                  <w:noWrap w:val="0"/>
                  <w:vAlign w:val="center"/>
                </w:tcPr>
                <w:p>
                  <w:pPr>
                    <w:widowControl/>
                    <w:spacing w:line="240" w:lineRule="auto"/>
                    <w:jc w:val="center"/>
                    <w:textAlignment w:val="center"/>
                    <w:rPr>
                      <w:rFonts w:ascii="Times New Roman" w:hAnsi="Times New Roman" w:eastAsia="宋体" w:cs="Times New Roman"/>
                      <w:color w:val="auto"/>
                      <w:spacing w:val="-10"/>
                      <w:kern w:val="0"/>
                      <w:sz w:val="21"/>
                      <w:szCs w:val="21"/>
                      <w:highlight w:val="none"/>
                      <w:lang w:val="en-US" w:eastAsia="zh-CN" w:bidi="ar"/>
                    </w:rPr>
                  </w:pPr>
                  <w:r>
                    <w:rPr>
                      <w:color w:val="auto"/>
                      <w:spacing w:val="-10"/>
                      <w:sz w:val="21"/>
                      <w:szCs w:val="21"/>
                      <w:highlight w:val="none"/>
                    </w:rPr>
                    <w:t>系数法</w:t>
                  </w:r>
                </w:p>
              </w:tc>
              <w:tc>
                <w:tcPr>
                  <w:tcW w:w="522"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color w:val="auto"/>
                      <w:spacing w:val="-10"/>
                      <w:kern w:val="0"/>
                      <w:sz w:val="21"/>
                      <w:szCs w:val="21"/>
                      <w:highlight w:val="none"/>
                      <w:lang w:bidi="ar"/>
                    </w:rPr>
                    <w:t>/</w:t>
                  </w:r>
                </w:p>
              </w:tc>
              <w:tc>
                <w:tcPr>
                  <w:tcW w:w="654" w:type="dxa"/>
                  <w:tcBorders>
                    <w:tl2br w:val="nil"/>
                    <w:tr2bl w:val="nil"/>
                  </w:tcBorders>
                  <w:shd w:val="clear" w:color="auto" w:fill="auto"/>
                  <w:noWrap w:val="0"/>
                  <w:vAlign w:val="center"/>
                </w:tcPr>
                <w:p>
                  <w:pPr>
                    <w:widowControl/>
                    <w:spacing w:line="240" w:lineRule="auto"/>
                    <w:jc w:val="center"/>
                    <w:textAlignment w:val="center"/>
                    <w:rPr>
                      <w:rFonts w:hint="default" w:ascii="Times New Roman" w:hAnsi="Times New Roman" w:eastAsia="宋体" w:cs="Times New Roman"/>
                      <w:color w:val="auto"/>
                      <w:spacing w:val="-10"/>
                      <w:kern w:val="0"/>
                      <w:sz w:val="21"/>
                      <w:szCs w:val="21"/>
                      <w:highlight w:val="none"/>
                      <w:lang w:val="en-US" w:eastAsia="zh-CN" w:bidi="ar"/>
                    </w:rPr>
                  </w:pPr>
                  <w:r>
                    <w:rPr>
                      <w:color w:val="auto"/>
                      <w:spacing w:val="-10"/>
                      <w:kern w:val="0"/>
                      <w:sz w:val="21"/>
                      <w:szCs w:val="21"/>
                      <w:highlight w:val="none"/>
                      <w:lang w:bidi="ar"/>
                    </w:rPr>
                    <w:t>/</w:t>
                  </w:r>
                </w:p>
              </w:tc>
              <w:tc>
                <w:tcPr>
                  <w:tcW w:w="484" w:type="dxa"/>
                  <w:tcBorders>
                    <w:tl2br w:val="nil"/>
                    <w:tr2bl w:val="nil"/>
                  </w:tcBorders>
                  <w:noWrap w:val="0"/>
                  <w:vAlign w:val="center"/>
                </w:tcPr>
                <w:p>
                  <w:pPr>
                    <w:widowControl/>
                    <w:spacing w:line="240" w:lineRule="auto"/>
                    <w:jc w:val="center"/>
                    <w:textAlignment w:val="center"/>
                    <w:rPr>
                      <w:rFonts w:hint="default"/>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0.097</w:t>
                  </w:r>
                </w:p>
              </w:tc>
              <w:tc>
                <w:tcPr>
                  <w:tcW w:w="685" w:type="dxa"/>
                  <w:tcBorders>
                    <w:tl2br w:val="nil"/>
                    <w:tr2bl w:val="nil"/>
                  </w:tcBorders>
                  <w:noWrap w:val="0"/>
                  <w:vAlign w:val="center"/>
                </w:tcPr>
                <w:p>
                  <w:pPr>
                    <w:widowControl/>
                    <w:spacing w:line="240" w:lineRule="auto"/>
                    <w:jc w:val="center"/>
                    <w:textAlignment w:val="center"/>
                    <w:rPr>
                      <w:rFonts w:hint="default"/>
                      <w:color w:val="auto"/>
                      <w:spacing w:val="-10"/>
                      <w:kern w:val="0"/>
                      <w:sz w:val="21"/>
                      <w:szCs w:val="21"/>
                      <w:highlight w:val="none"/>
                      <w:lang w:val="en-US" w:eastAsia="zh-CN" w:bidi="ar"/>
                    </w:rPr>
                  </w:pPr>
                  <w:r>
                    <w:rPr>
                      <w:rFonts w:hint="eastAsia"/>
                      <w:color w:val="auto"/>
                      <w:spacing w:val="-10"/>
                      <w:kern w:val="0"/>
                      <w:sz w:val="21"/>
                      <w:szCs w:val="21"/>
                      <w:highlight w:val="none"/>
                      <w:lang w:val="en-US" w:eastAsia="zh-CN" w:bidi="ar"/>
                    </w:rPr>
                    <w:t>0.12</w:t>
                  </w:r>
                </w:p>
              </w:tc>
            </w:tr>
          </w:tbl>
          <w:p>
            <w:pPr>
              <w:tabs>
                <w:tab w:val="left" w:pos="1291"/>
              </w:tabs>
              <w:spacing w:line="360" w:lineRule="auto"/>
              <w:ind w:firstLine="480" w:firstLineChars="200"/>
              <w:jc w:val="left"/>
              <w:rPr>
                <w:rFonts w:hint="default" w:ascii="Times New Roman" w:hAnsi="Times New Roman" w:eastAsia="宋体" w:cs="Times New Roman"/>
                <w:color w:val="auto"/>
                <w:sz w:val="24"/>
                <w:szCs w:val="28"/>
                <w:highlight w:val="none"/>
              </w:rPr>
            </w:pPr>
            <w:r>
              <w:rPr>
                <w:rFonts w:hint="eastAsia" w:cs="Times New Roman"/>
                <w:color w:val="auto"/>
                <w:sz w:val="24"/>
                <w:szCs w:val="28"/>
                <w:highlight w:val="none"/>
                <w:lang w:val="en-US" w:eastAsia="zh-CN"/>
              </w:rPr>
              <w:t>2</w:t>
            </w:r>
            <w:r>
              <w:rPr>
                <w:rFonts w:hint="default" w:ascii="Times New Roman" w:hAnsi="Times New Roman" w:eastAsia="宋体" w:cs="Times New Roman"/>
                <w:color w:val="auto"/>
                <w:sz w:val="24"/>
                <w:szCs w:val="28"/>
                <w:highlight w:val="none"/>
              </w:rPr>
              <w:t>）排放口基本情况</w:t>
            </w:r>
          </w:p>
          <w:p>
            <w:pPr>
              <w:pStyle w:val="38"/>
              <w:spacing w:line="360" w:lineRule="auto"/>
              <w:ind w:firstLine="480" w:firstLineChars="200"/>
              <w:jc w:val="left"/>
              <w:rPr>
                <w:rFonts w:hint="default" w:ascii="Times New Roman" w:hAnsi="Times New Roman" w:eastAsia="宋体" w:cs="Times New Roman"/>
                <w:b/>
                <w:bCs/>
                <w:color w:val="auto"/>
                <w:kern w:val="2"/>
                <w:sz w:val="21"/>
                <w:highlight w:val="none"/>
              </w:rPr>
            </w:pPr>
            <w:r>
              <w:rPr>
                <w:rFonts w:hint="default" w:ascii="Times New Roman" w:hAnsi="Times New Roman" w:eastAsia="宋体" w:cs="Times New Roman"/>
                <w:color w:val="auto"/>
                <w:highlight w:val="none"/>
              </w:rPr>
              <w:t>废气产排污节点、污染物及污染治理设施信息，大气排放口基本情况见表4-</w:t>
            </w:r>
            <w:r>
              <w:rPr>
                <w:rFonts w:hint="eastAsia" w:ascii="Times New Roman" w:cs="Times New Roman"/>
                <w:color w:val="auto"/>
                <w:highlight w:val="none"/>
                <w:lang w:val="en-US" w:eastAsia="zh-CN"/>
              </w:rPr>
              <w:t>3</w:t>
            </w:r>
            <w:r>
              <w:rPr>
                <w:rFonts w:hint="default" w:ascii="Times New Roman" w:hAnsi="Times New Roman" w:eastAsia="宋体" w:cs="Times New Roman"/>
                <w:color w:val="auto"/>
                <w:highlight w:val="none"/>
              </w:rPr>
              <w:t>。</w:t>
            </w:r>
          </w:p>
          <w:p>
            <w:pPr>
              <w:kinsoku w:val="0"/>
              <w:overflowPunct w:val="0"/>
              <w:autoSpaceDE w:val="0"/>
              <w:autoSpaceDN w:val="0"/>
              <w:snapToGrid w:val="0"/>
              <w:spacing w:line="240" w:lineRule="auto"/>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大气排放口基本情况表</w:t>
            </w:r>
          </w:p>
          <w:tbl>
            <w:tblPr>
              <w:tblStyle w:val="32"/>
              <w:tblW w:w="866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3"/>
              <w:gridCol w:w="725"/>
              <w:gridCol w:w="728"/>
              <w:gridCol w:w="1312"/>
              <w:gridCol w:w="1451"/>
              <w:gridCol w:w="1460"/>
              <w:gridCol w:w="709"/>
              <w:gridCol w:w="941"/>
              <w:gridCol w:w="8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453"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725"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排放口编号</w:t>
                  </w:r>
                </w:p>
              </w:tc>
              <w:tc>
                <w:tcPr>
                  <w:tcW w:w="728"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排放口名称</w:t>
                  </w:r>
                </w:p>
              </w:tc>
              <w:tc>
                <w:tcPr>
                  <w:tcW w:w="1312"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污染物种类</w:t>
                  </w:r>
                </w:p>
              </w:tc>
              <w:tc>
                <w:tcPr>
                  <w:tcW w:w="2911" w:type="dxa"/>
                  <w:gridSpan w:val="2"/>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排放口地理坐标（1）</w:t>
                  </w:r>
                </w:p>
              </w:tc>
              <w:tc>
                <w:tcPr>
                  <w:tcW w:w="709"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排气筒高度</w:t>
                  </w:r>
                  <w:r>
                    <w:rPr>
                      <w:rFonts w:hint="eastAsia"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rPr>
                    <w:t>m</w:t>
                  </w:r>
                  <w:r>
                    <w:rPr>
                      <w:rFonts w:hint="eastAsia" w:ascii="Times New Roman" w:hAnsi="Times New Roman" w:cs="Times New Roman"/>
                      <w:color w:val="auto"/>
                      <w:szCs w:val="21"/>
                      <w:highlight w:val="none"/>
                      <w:lang w:eastAsia="zh-CN"/>
                    </w:rPr>
                    <w:t>)</w:t>
                  </w:r>
                </w:p>
              </w:tc>
              <w:tc>
                <w:tcPr>
                  <w:tcW w:w="941"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排气筒出口内径</w:t>
                  </w:r>
                  <w:r>
                    <w:rPr>
                      <w:rFonts w:hint="eastAsia"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rPr>
                    <w:t>m</w:t>
                  </w:r>
                  <w:r>
                    <w:rPr>
                      <w:rFonts w:hint="eastAsia" w:ascii="Times New Roman" w:hAnsi="Times New Roman" w:cs="Times New Roman"/>
                      <w:color w:val="auto"/>
                      <w:szCs w:val="21"/>
                      <w:highlight w:val="none"/>
                      <w:lang w:eastAsia="zh-CN"/>
                    </w:rPr>
                    <w:t>)</w:t>
                  </w:r>
                </w:p>
              </w:tc>
              <w:tc>
                <w:tcPr>
                  <w:tcW w:w="885" w:type="dxa"/>
                  <w:vMerge w:val="restart"/>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排气温度（℃）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453"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c>
                <w:tcPr>
                  <w:tcW w:w="725"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c>
                <w:tcPr>
                  <w:tcW w:w="728"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c>
                <w:tcPr>
                  <w:tcW w:w="1312"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709"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c>
                <w:tcPr>
                  <w:tcW w:w="941"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c>
                <w:tcPr>
                  <w:tcW w:w="885" w:type="dxa"/>
                  <w:vMerge w:val="continue"/>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tblHeader/>
                <w:jc w:val="center"/>
              </w:trPr>
              <w:tc>
                <w:tcPr>
                  <w:tcW w:w="453"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725"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DA001</w:t>
                  </w:r>
                </w:p>
              </w:tc>
              <w:tc>
                <w:tcPr>
                  <w:tcW w:w="728"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w:t>
                  </w:r>
                </w:p>
              </w:tc>
              <w:tc>
                <w:tcPr>
                  <w:tcW w:w="1312"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 w:val="21"/>
                      <w:szCs w:val="21"/>
                      <w:highlight w:val="none"/>
                    </w:rPr>
                    <w:t>颗粒物</w:t>
                  </w: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130.42087486</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48.89302265</w:t>
                  </w:r>
                </w:p>
              </w:tc>
              <w:tc>
                <w:tcPr>
                  <w:tcW w:w="709"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94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w:t>
                  </w:r>
                </w:p>
              </w:tc>
              <w:tc>
                <w:tcPr>
                  <w:tcW w:w="885"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常温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453"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725"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DA00</w:t>
                  </w:r>
                  <w:r>
                    <w:rPr>
                      <w:rFonts w:hint="eastAsia" w:ascii="Times New Roman" w:hAnsi="Times New Roman" w:eastAsia="宋体" w:cs="Times New Roman"/>
                      <w:color w:val="auto"/>
                      <w:szCs w:val="21"/>
                      <w:highlight w:val="none"/>
                      <w:lang w:val="en-US" w:eastAsia="zh-CN"/>
                    </w:rPr>
                    <w:t>2</w:t>
                  </w:r>
                </w:p>
              </w:tc>
              <w:tc>
                <w:tcPr>
                  <w:tcW w:w="728"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w:t>
                  </w:r>
                </w:p>
              </w:tc>
              <w:tc>
                <w:tcPr>
                  <w:tcW w:w="1312" w:type="dxa"/>
                  <w:noWrap/>
                  <w:vAlign w:val="center"/>
                </w:tcPr>
                <w:p>
                  <w:pPr>
                    <w:kinsoku w:val="0"/>
                    <w:overflowPunct w:val="0"/>
                    <w:autoSpaceDE w:val="0"/>
                    <w:autoSpaceDN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130.42094722</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48.89300675</w:t>
                  </w:r>
                </w:p>
              </w:tc>
              <w:tc>
                <w:tcPr>
                  <w:tcW w:w="709"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94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0.2</w:t>
                  </w:r>
                </w:p>
              </w:tc>
              <w:tc>
                <w:tcPr>
                  <w:tcW w:w="885"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常温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453"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725"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DA00</w:t>
                  </w:r>
                  <w:r>
                    <w:rPr>
                      <w:rFonts w:hint="eastAsia" w:ascii="Times New Roman" w:hAnsi="Times New Roman" w:eastAsia="宋体" w:cs="Times New Roman"/>
                      <w:color w:val="auto"/>
                      <w:szCs w:val="21"/>
                      <w:highlight w:val="none"/>
                      <w:lang w:val="en-US" w:eastAsia="zh-CN"/>
                    </w:rPr>
                    <w:t>3</w:t>
                  </w:r>
                </w:p>
              </w:tc>
              <w:tc>
                <w:tcPr>
                  <w:tcW w:w="728"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w:t>
                  </w:r>
                </w:p>
              </w:tc>
              <w:tc>
                <w:tcPr>
                  <w:tcW w:w="1312" w:type="dxa"/>
                  <w:noWrap/>
                  <w:vAlign w:val="center"/>
                </w:tcPr>
                <w:p>
                  <w:pPr>
                    <w:kinsoku w:val="0"/>
                    <w:overflowPunct w:val="0"/>
                    <w:autoSpaceDE w:val="0"/>
                    <w:autoSpaceDN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130.42173254</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48.89282648</w:t>
                  </w:r>
                </w:p>
              </w:tc>
              <w:tc>
                <w:tcPr>
                  <w:tcW w:w="709"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94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0.2</w:t>
                  </w:r>
                </w:p>
              </w:tc>
              <w:tc>
                <w:tcPr>
                  <w:tcW w:w="885"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常温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453"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725"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DA00</w:t>
                  </w:r>
                  <w:r>
                    <w:rPr>
                      <w:rFonts w:hint="eastAsia" w:ascii="Times New Roman" w:hAnsi="Times New Roman" w:eastAsia="宋体" w:cs="Times New Roman"/>
                      <w:color w:val="auto"/>
                      <w:szCs w:val="21"/>
                      <w:highlight w:val="none"/>
                      <w:lang w:val="en-US" w:eastAsia="zh-CN"/>
                    </w:rPr>
                    <w:t>4</w:t>
                  </w:r>
                </w:p>
              </w:tc>
              <w:tc>
                <w:tcPr>
                  <w:tcW w:w="728"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w:t>
                  </w:r>
                </w:p>
              </w:tc>
              <w:tc>
                <w:tcPr>
                  <w:tcW w:w="1312" w:type="dxa"/>
                  <w:noWrap/>
                  <w:vAlign w:val="center"/>
                </w:tcPr>
                <w:p>
                  <w:pPr>
                    <w:kinsoku w:val="0"/>
                    <w:overflowPunct w:val="0"/>
                    <w:autoSpaceDE w:val="0"/>
                    <w:autoSpaceDN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130.42098203</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48.89284622</w:t>
                  </w:r>
                </w:p>
              </w:tc>
              <w:tc>
                <w:tcPr>
                  <w:tcW w:w="709"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94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0.2</w:t>
                  </w:r>
                </w:p>
              </w:tc>
              <w:tc>
                <w:tcPr>
                  <w:tcW w:w="885"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常温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453"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725" w:type="dxa"/>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DA00</w:t>
                  </w:r>
                  <w:r>
                    <w:rPr>
                      <w:rFonts w:hint="eastAsia" w:ascii="Times New Roman" w:hAnsi="Times New Roman" w:eastAsia="宋体" w:cs="Times New Roman"/>
                      <w:color w:val="auto"/>
                      <w:szCs w:val="21"/>
                      <w:highlight w:val="none"/>
                      <w:lang w:val="en-US" w:eastAsia="zh-CN"/>
                    </w:rPr>
                    <w:t>5</w:t>
                  </w:r>
                </w:p>
              </w:tc>
              <w:tc>
                <w:tcPr>
                  <w:tcW w:w="728"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排气筒</w:t>
                  </w:r>
                </w:p>
              </w:tc>
              <w:tc>
                <w:tcPr>
                  <w:tcW w:w="1312" w:type="dxa"/>
                  <w:noWrap/>
                  <w:vAlign w:val="center"/>
                </w:tcPr>
                <w:p>
                  <w:pPr>
                    <w:kinsoku w:val="0"/>
                    <w:overflowPunct w:val="0"/>
                    <w:autoSpaceDE w:val="0"/>
                    <w:autoSpaceDN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130.42173256</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48.89289527</w:t>
                  </w:r>
                </w:p>
              </w:tc>
              <w:tc>
                <w:tcPr>
                  <w:tcW w:w="709"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p>
              </w:tc>
              <w:tc>
                <w:tcPr>
                  <w:tcW w:w="94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0.2</w:t>
                  </w:r>
                </w:p>
              </w:tc>
              <w:tc>
                <w:tcPr>
                  <w:tcW w:w="885"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常温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453" w:type="dxa"/>
                  <w:noWrap/>
                  <w:vAlign w:val="center"/>
                </w:tcPr>
                <w:p>
                  <w:pPr>
                    <w:pStyle w:val="109"/>
                    <w:kinsoku w:val="0"/>
                    <w:overflowPunct w:val="0"/>
                    <w:autoSpaceDE w:val="0"/>
                    <w:autoSpaceDN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725" w:type="dxa"/>
                  <w:shd w:val="clear" w:color="auto" w:fill="auto"/>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DA00</w:t>
                  </w:r>
                  <w:r>
                    <w:rPr>
                      <w:rFonts w:hint="eastAsia" w:ascii="Times New Roman" w:hAnsi="Times New Roman" w:eastAsia="宋体" w:cs="Times New Roman"/>
                      <w:color w:val="auto"/>
                      <w:szCs w:val="21"/>
                      <w:highlight w:val="none"/>
                      <w:lang w:val="en-US" w:eastAsia="zh-CN"/>
                    </w:rPr>
                    <w:t>6</w:t>
                  </w:r>
                </w:p>
              </w:tc>
              <w:tc>
                <w:tcPr>
                  <w:tcW w:w="728" w:type="dxa"/>
                  <w:shd w:val="clear" w:color="auto" w:fill="auto"/>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排气筒</w:t>
                  </w:r>
                </w:p>
              </w:tc>
              <w:tc>
                <w:tcPr>
                  <w:tcW w:w="1312" w:type="dxa"/>
                  <w:shd w:val="clear" w:color="auto" w:fill="auto"/>
                  <w:noWrap/>
                  <w:vAlign w:val="center"/>
                </w:tcPr>
                <w:p>
                  <w:pPr>
                    <w:kinsoku w:val="0"/>
                    <w:overflowPunct w:val="0"/>
                    <w:autoSpaceDE w:val="0"/>
                    <w:autoSpaceDN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451"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130.42099007</w:t>
                  </w:r>
                </w:p>
              </w:tc>
              <w:tc>
                <w:tcPr>
                  <w:tcW w:w="1460" w:type="dxa"/>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48.89281271</w:t>
                  </w:r>
                </w:p>
              </w:tc>
              <w:tc>
                <w:tcPr>
                  <w:tcW w:w="709" w:type="dxa"/>
                  <w:shd w:val="clear" w:color="auto" w:fill="auto"/>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15</w:t>
                  </w:r>
                </w:p>
              </w:tc>
              <w:tc>
                <w:tcPr>
                  <w:tcW w:w="941" w:type="dxa"/>
                  <w:shd w:val="clear" w:color="auto" w:fill="auto"/>
                  <w:noWrap/>
                  <w:vAlign w:val="center"/>
                </w:tcPr>
                <w:p>
                  <w:pPr>
                    <w:pStyle w:val="109"/>
                    <w:kinsoku w:val="0"/>
                    <w:overflowPunct w:val="0"/>
                    <w:autoSpaceDE w:val="0"/>
                    <w:autoSpaceDN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0.2</w:t>
                  </w:r>
                </w:p>
              </w:tc>
              <w:tc>
                <w:tcPr>
                  <w:tcW w:w="885" w:type="dxa"/>
                  <w:shd w:val="clear" w:color="auto" w:fill="auto"/>
                  <w:noWrap/>
                  <w:vAlign w:val="center"/>
                </w:tcPr>
                <w:p>
                  <w:pPr>
                    <w:pStyle w:val="109"/>
                    <w:kinsoku w:val="0"/>
                    <w:overflowPunct w:val="0"/>
                    <w:autoSpaceDE w:val="0"/>
                    <w:autoSpaceDN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常温</w:t>
                  </w:r>
                </w:p>
              </w:tc>
            </w:tr>
          </w:tbl>
          <w:p>
            <w:pPr>
              <w:adjustRightInd w:val="0"/>
              <w:snapToGrid w:val="0"/>
              <w:spacing w:line="360" w:lineRule="auto"/>
              <w:ind w:firstLine="480" w:firstLineChars="200"/>
              <w:rPr>
                <w:color w:val="auto"/>
              </w:rPr>
            </w:pPr>
            <w:r>
              <w:rPr>
                <w:rFonts w:hint="eastAsia"/>
                <w:color w:val="auto"/>
                <w:lang w:val="en-US" w:eastAsia="zh-CN"/>
              </w:rPr>
              <w:t>3</w:t>
            </w:r>
            <w:r>
              <w:rPr>
                <w:rFonts w:hint="eastAsia"/>
                <w:color w:val="auto"/>
              </w:rPr>
              <w:t>）</w:t>
            </w:r>
            <w:r>
              <w:rPr>
                <w:color w:val="auto"/>
              </w:rPr>
              <w:t>达标排放情况及措施可行性分析</w:t>
            </w:r>
          </w:p>
          <w:p>
            <w:pPr>
              <w:spacing w:line="360" w:lineRule="auto"/>
              <w:ind w:firstLine="480" w:firstLineChars="200"/>
              <w:jc w:val="left"/>
              <w:rPr>
                <w:color w:val="auto"/>
              </w:rPr>
            </w:pPr>
            <w:r>
              <w:rPr>
                <w:rFonts w:hint="eastAsia"/>
                <w:color w:val="auto"/>
              </w:rPr>
              <w:t>①达标情况</w:t>
            </w:r>
          </w:p>
          <w:p>
            <w:pPr>
              <w:adjustRightInd w:val="0"/>
              <w:snapToGrid w:val="0"/>
              <w:spacing w:line="360" w:lineRule="auto"/>
              <w:ind w:firstLine="480" w:firstLineChars="200"/>
              <w:rPr>
                <w:color w:val="auto"/>
              </w:rPr>
            </w:pPr>
            <w:r>
              <w:rPr>
                <w:rFonts w:hint="eastAsia"/>
                <w:color w:val="auto"/>
              </w:rPr>
              <w:t>布袋除尘技术是利用纤维织物的过滤作用对含尘气体进行过滤分离。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良好的捕尘作用。布袋除尘器对10μm以下尤其1μm以下的亚微颗粒物有较好的捕集效果，是捕集PM2.5的重要手段。粉尘去除效率≥99%。经该处理措施处理后，粉尘满足《水泥工业大气污染物排放标准》（GB4915-2013）标准限值。对周围环境影响较小。</w:t>
            </w:r>
          </w:p>
          <w:p>
            <w:pPr>
              <w:adjustRightInd w:val="0"/>
              <w:snapToGrid w:val="0"/>
              <w:spacing w:line="360" w:lineRule="auto"/>
              <w:ind w:firstLine="480" w:firstLineChars="200"/>
              <w:rPr>
                <w:color w:val="auto"/>
              </w:rPr>
            </w:pPr>
            <w:r>
              <w:rPr>
                <w:rFonts w:hint="eastAsia"/>
                <w:color w:val="auto"/>
              </w:rPr>
              <w:t>本项目水泥采用封闭式罐车运入厂区，砂石料运输车辆全部采用苫布覆盖；原料的输送、计量及投料均为封闭式，可避免扬尘现象发生。洒水抑尘、厂区地面硬化，可有效避免原料场粉尘进入外环境。装卸粉尘采取洒水降尘措施，本项目采用的粉尘控制措施为《排污许可证申请与核发技术规范 水泥工业》推荐的可行性技术。</w:t>
            </w:r>
          </w:p>
          <w:p>
            <w:pPr>
              <w:pStyle w:val="42"/>
              <w:rPr>
                <w:color w:val="auto"/>
              </w:rPr>
            </w:pPr>
            <w:r>
              <w:rPr>
                <w:rFonts w:hint="eastAsia"/>
                <w:color w:val="auto"/>
              </w:rPr>
              <w:t>②措施可行性分析</w:t>
            </w:r>
          </w:p>
          <w:p>
            <w:pPr>
              <w:pStyle w:val="42"/>
              <w:rPr>
                <w:color w:val="auto"/>
                <w:highlight w:val="yellow"/>
              </w:rPr>
            </w:pPr>
            <w:r>
              <w:rPr>
                <w:color w:val="auto"/>
              </w:rPr>
              <w:t>项目筒仓</w:t>
            </w:r>
            <w:r>
              <w:rPr>
                <w:rFonts w:hint="eastAsia"/>
                <w:color w:val="auto"/>
                <w:lang w:val="en-US" w:eastAsia="zh-CN"/>
              </w:rPr>
              <w:t>及搅拌站</w:t>
            </w:r>
            <w:r>
              <w:rPr>
                <w:color w:val="auto"/>
              </w:rPr>
              <w:t>根据《排污许可证申请与核发技术规范 水泥工业》（H847-2017），颗粒物治理采用布袋除尘器是可行技术</w:t>
            </w:r>
            <w:r>
              <w:rPr>
                <w:rFonts w:hint="eastAsia"/>
                <w:color w:val="auto"/>
              </w:rPr>
              <w:t>；</w:t>
            </w:r>
            <w:r>
              <w:rPr>
                <w:color w:val="auto"/>
              </w:rPr>
              <w:t>根据《排放源统计调查产排污核算方法和系数手册》中“3021水泥制品制造行业系数手册”中“3021水泥制品制造行业系数表”袋式除尘效率为99.7%</w:t>
            </w:r>
            <w:r>
              <w:rPr>
                <w:rFonts w:hint="eastAsia"/>
                <w:color w:val="auto"/>
                <w:lang w:val="en-US" w:eastAsia="zh-CN"/>
              </w:rPr>
              <w:t>。</w:t>
            </w:r>
            <w:r>
              <w:rPr>
                <w:rFonts w:hint="default" w:ascii="Times New Roman" w:hAnsi="Times New Roman" w:eastAsia="宋体" w:cs="Times New Roman"/>
                <w:color w:val="auto"/>
                <w:highlight w:val="none"/>
              </w:rPr>
              <w:t>装卸粉尘采取洒水降尘措施，本项目采用的粉尘控制措施为《排污许可证申请与核发技术规范 水泥工业》推荐的可行性技术。</w:t>
            </w:r>
          </w:p>
          <w:p>
            <w:pPr>
              <w:pStyle w:val="42"/>
              <w:rPr>
                <w:color w:val="auto"/>
              </w:rPr>
            </w:pPr>
            <w:r>
              <w:rPr>
                <w:rFonts w:hint="eastAsia"/>
                <w:color w:val="auto"/>
              </w:rPr>
              <w:t>综上，本项目所采取的污染防治技术是可行的。</w:t>
            </w:r>
          </w:p>
          <w:p>
            <w:pPr>
              <w:adjustRightInd w:val="0"/>
              <w:snapToGrid w:val="0"/>
              <w:spacing w:line="360" w:lineRule="auto"/>
              <w:ind w:firstLine="480" w:firstLineChars="200"/>
              <w:rPr>
                <w:color w:val="auto"/>
                <w:highlight w:val="none"/>
              </w:rPr>
            </w:pPr>
            <w:r>
              <w:rPr>
                <w:rFonts w:hint="eastAsia"/>
                <w:color w:val="auto"/>
                <w:highlight w:val="none"/>
                <w:lang w:val="en-US" w:eastAsia="zh-CN"/>
              </w:rPr>
              <w:t>4</w:t>
            </w:r>
            <w:r>
              <w:rPr>
                <w:rFonts w:hint="eastAsia"/>
                <w:color w:val="auto"/>
                <w:highlight w:val="none"/>
              </w:rPr>
              <w:t>）非正常工况排放</w:t>
            </w:r>
          </w:p>
          <w:p>
            <w:pPr>
              <w:pStyle w:val="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本项目非正常工况废气排放代表性事故表现为污染物防治措施故障情况下废气超标排放情况，根据本项目特点，主要表现为废气治理设施故障。</w:t>
            </w:r>
          </w:p>
          <w:p>
            <w:pPr>
              <w:adjustRightInd w:val="0"/>
              <w:snapToGrid w:val="0"/>
              <w:spacing w:line="360" w:lineRule="auto"/>
              <w:ind w:firstLine="480" w:firstLineChars="200"/>
              <w:rPr>
                <w:color w:val="auto"/>
                <w:highlight w:val="none"/>
              </w:rPr>
            </w:pPr>
            <w:r>
              <w:rPr>
                <w:rFonts w:hint="default" w:ascii="Times New Roman" w:hAnsi="Times New Roman" w:eastAsia="宋体" w:cs="Times New Roman"/>
                <w:b w:val="0"/>
                <w:bCs/>
                <w:color w:val="auto"/>
                <w:sz w:val="24"/>
                <w:szCs w:val="24"/>
                <w:highlight w:val="none"/>
              </w:rPr>
              <w:t>项目生产设备启动前按照程序先启动相应废气处理措施，废气处理措施正常运行后方可进行生产设备启动，故项目生产设施开停机非正常情况下亦不会产生废气未经处理直接排放情况。</w:t>
            </w:r>
            <w:r>
              <w:rPr>
                <w:rFonts w:hint="eastAsia"/>
                <w:color w:val="auto"/>
                <w:highlight w:val="none"/>
              </w:rPr>
              <w:t>本项目非正常工况分析主要为水泥仓筒</w:t>
            </w:r>
            <w:r>
              <w:rPr>
                <w:rFonts w:hint="eastAsia"/>
                <w:color w:val="auto"/>
                <w:highlight w:val="none"/>
                <w:lang w:eastAsia="zh-CN"/>
              </w:rPr>
              <w:t>、</w:t>
            </w:r>
            <w:r>
              <w:rPr>
                <w:rFonts w:hint="eastAsia"/>
                <w:color w:val="auto"/>
                <w:highlight w:val="none"/>
                <w:lang w:val="en-US" w:eastAsia="zh-CN"/>
              </w:rPr>
              <w:t>粉料仓及搅拌站</w:t>
            </w:r>
            <w:r>
              <w:rPr>
                <w:rFonts w:hint="eastAsia"/>
                <w:color w:val="auto"/>
                <w:highlight w:val="none"/>
              </w:rPr>
              <w:t>上布袋除尘器非正常情况下处理效率降低至70%的情况，在非正常工况下，各污染物排放情况见表4-</w:t>
            </w:r>
            <w:r>
              <w:rPr>
                <w:rFonts w:hint="eastAsia"/>
                <w:color w:val="auto"/>
                <w:highlight w:val="none"/>
                <w:lang w:val="en-US" w:eastAsia="zh-CN"/>
              </w:rPr>
              <w:t>4</w:t>
            </w:r>
            <w:r>
              <w:rPr>
                <w:rFonts w:hint="eastAsia"/>
                <w:color w:val="auto"/>
                <w:highlight w:val="none"/>
              </w:rPr>
              <w:t>。</w:t>
            </w:r>
          </w:p>
          <w:p>
            <w:pPr>
              <w:widowControl/>
              <w:ind w:firstLine="482"/>
              <w:jc w:val="center"/>
              <w:rPr>
                <w:rFonts w:hAnsi="宋体"/>
                <w:b/>
                <w:color w:val="auto"/>
                <w:highlight w:val="none"/>
              </w:rPr>
            </w:pPr>
            <w:r>
              <w:rPr>
                <w:rFonts w:hint="eastAsia" w:hAnsi="宋体"/>
                <w:b/>
                <w:color w:val="auto"/>
                <w:sz w:val="21"/>
                <w:szCs w:val="21"/>
                <w:highlight w:val="none"/>
              </w:rPr>
              <w:t>表4-</w:t>
            </w:r>
            <w:r>
              <w:rPr>
                <w:rFonts w:hint="eastAsia" w:hAnsi="宋体"/>
                <w:b/>
                <w:color w:val="auto"/>
                <w:sz w:val="21"/>
                <w:szCs w:val="21"/>
                <w:highlight w:val="none"/>
                <w:lang w:val="en-US" w:eastAsia="zh-CN"/>
              </w:rPr>
              <w:t>4</w:t>
            </w:r>
            <w:r>
              <w:rPr>
                <w:rFonts w:hint="eastAsia" w:hAnsi="宋体"/>
                <w:b/>
                <w:color w:val="auto"/>
                <w:sz w:val="21"/>
                <w:szCs w:val="21"/>
                <w:highlight w:val="none"/>
              </w:rPr>
              <w:t xml:space="preserve">  非正常工况排放量</w:t>
            </w:r>
          </w:p>
          <w:tbl>
            <w:tblPr>
              <w:tblStyle w:val="32"/>
              <w:tblW w:w="8665"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1008"/>
              <w:gridCol w:w="1070"/>
              <w:gridCol w:w="1155"/>
              <w:gridCol w:w="752"/>
              <w:gridCol w:w="1395"/>
              <w:gridCol w:w="1073"/>
              <w:gridCol w:w="1041"/>
              <w:gridCol w:w="11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1008"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非正常排放源</w:t>
                  </w:r>
                </w:p>
              </w:tc>
              <w:tc>
                <w:tcPr>
                  <w:tcW w:w="1070"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工序</w:t>
                  </w:r>
                </w:p>
              </w:tc>
              <w:tc>
                <w:tcPr>
                  <w:tcW w:w="1155"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非正常排放原因</w:t>
                  </w:r>
                </w:p>
              </w:tc>
              <w:tc>
                <w:tcPr>
                  <w:tcW w:w="752"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污染物</w:t>
                  </w:r>
                </w:p>
              </w:tc>
              <w:tc>
                <w:tcPr>
                  <w:tcW w:w="1395"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非正常排放速率（kg/h）</w:t>
                  </w:r>
                </w:p>
              </w:tc>
              <w:tc>
                <w:tcPr>
                  <w:tcW w:w="1073"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单次持续时间/h</w:t>
                  </w:r>
                </w:p>
              </w:tc>
              <w:tc>
                <w:tcPr>
                  <w:tcW w:w="1041"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年发生频次/次</w:t>
                  </w:r>
                </w:p>
              </w:tc>
              <w:tc>
                <w:tcPr>
                  <w:tcW w:w="1171" w:type="dxa"/>
                  <w:tcBorders>
                    <w:tl2br w:val="nil"/>
                    <w:tr2bl w:val="nil"/>
                  </w:tcBorders>
                  <w:vAlign w:val="center"/>
                </w:tcPr>
                <w:p>
                  <w:pPr>
                    <w:jc w:val="center"/>
                    <w:rPr>
                      <w:bCs/>
                      <w:color w:val="auto"/>
                      <w:sz w:val="21"/>
                      <w:szCs w:val="21"/>
                      <w:highlight w:val="none"/>
                    </w:rPr>
                  </w:pPr>
                  <w:r>
                    <w:rPr>
                      <w:bCs/>
                      <w:color w:val="auto"/>
                      <w:sz w:val="21"/>
                      <w:szCs w:val="21"/>
                      <w:highlight w:val="none"/>
                    </w:rPr>
                    <w:t>应对措施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424" w:hRule="atLeast"/>
                <w:jc w:val="center"/>
              </w:trPr>
              <w:tc>
                <w:tcPr>
                  <w:tcW w:w="1008" w:type="dxa"/>
                  <w:vMerge w:val="restart"/>
                  <w:tcBorders>
                    <w:tl2br w:val="nil"/>
                    <w:tr2bl w:val="nil"/>
                  </w:tcBorders>
                  <w:vAlign w:val="center"/>
                </w:tcPr>
                <w:p>
                  <w:pPr>
                    <w:jc w:val="center"/>
                    <w:rPr>
                      <w:bCs/>
                      <w:color w:val="auto"/>
                      <w:sz w:val="21"/>
                      <w:szCs w:val="21"/>
                      <w:highlight w:val="none"/>
                    </w:rPr>
                  </w:pPr>
                  <w:r>
                    <w:rPr>
                      <w:bCs/>
                      <w:color w:val="auto"/>
                      <w:sz w:val="21"/>
                      <w:szCs w:val="21"/>
                      <w:highlight w:val="none"/>
                    </w:rPr>
                    <w:t>生产线</w:t>
                  </w:r>
                </w:p>
              </w:tc>
              <w:tc>
                <w:tcPr>
                  <w:tcW w:w="1070" w:type="dxa"/>
                  <w:tcBorders>
                    <w:tl2br w:val="nil"/>
                    <w:tr2bl w:val="nil"/>
                  </w:tcBorders>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rPr>
                    <w:t>水泥</w:t>
                  </w:r>
                  <w:r>
                    <w:rPr>
                      <w:rFonts w:hint="eastAsia"/>
                      <w:bCs/>
                      <w:color w:val="auto"/>
                      <w:sz w:val="21"/>
                      <w:szCs w:val="21"/>
                      <w:highlight w:val="none"/>
                      <w:lang w:val="en-US" w:eastAsia="zh-CN"/>
                    </w:rPr>
                    <w:t>卧</w:t>
                  </w:r>
                  <w:r>
                    <w:rPr>
                      <w:rFonts w:hint="eastAsia"/>
                      <w:bCs/>
                      <w:color w:val="auto"/>
                      <w:sz w:val="21"/>
                      <w:szCs w:val="21"/>
                      <w:highlight w:val="none"/>
                    </w:rPr>
                    <w:t>仓</w:t>
                  </w:r>
                  <w:r>
                    <w:rPr>
                      <w:rFonts w:hint="eastAsia"/>
                      <w:bCs/>
                      <w:color w:val="auto"/>
                      <w:sz w:val="21"/>
                      <w:szCs w:val="21"/>
                      <w:highlight w:val="none"/>
                      <w:lang w:val="en-US" w:eastAsia="zh-CN"/>
                    </w:rPr>
                    <w:t>DA001</w:t>
                  </w:r>
                </w:p>
              </w:tc>
              <w:tc>
                <w:tcPr>
                  <w:tcW w:w="1155" w:type="dxa"/>
                  <w:tcBorders>
                    <w:tl2br w:val="nil"/>
                    <w:tr2bl w:val="nil"/>
                  </w:tcBorders>
                  <w:vAlign w:val="center"/>
                </w:tcPr>
                <w:p>
                  <w:pPr>
                    <w:pStyle w:val="65"/>
                    <w:spacing w:before="0" w:beforeLines="0"/>
                    <w:jc w:val="center"/>
                    <w:rPr>
                      <w:b w:val="0"/>
                      <w:bCs/>
                      <w:color w:val="auto"/>
                      <w:sz w:val="21"/>
                      <w:szCs w:val="21"/>
                      <w:highlight w:val="none"/>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752" w:type="dxa"/>
                  <w:tcBorders>
                    <w:tl2br w:val="nil"/>
                    <w:tr2bl w:val="nil"/>
                  </w:tcBorders>
                  <w:vAlign w:val="center"/>
                </w:tcPr>
                <w:p>
                  <w:pPr>
                    <w:pStyle w:val="94"/>
                    <w:spacing w:line="240" w:lineRule="auto"/>
                    <w:rPr>
                      <w:rFonts w:hint="default" w:ascii="Times New Roman" w:hAnsi="Times New Roman" w:eastAsia="宋体"/>
                      <w:bCs/>
                      <w:color w:val="auto"/>
                      <w:sz w:val="21"/>
                      <w:szCs w:val="21"/>
                      <w:highlight w:val="none"/>
                    </w:rPr>
                  </w:pPr>
                  <w:r>
                    <w:rPr>
                      <w:rFonts w:hint="default" w:ascii="Times New Roman" w:hAnsi="Times New Roman" w:eastAsia="宋体"/>
                      <w:bCs/>
                      <w:color w:val="auto"/>
                      <w:sz w:val="21"/>
                      <w:szCs w:val="21"/>
                      <w:highlight w:val="none"/>
                    </w:rPr>
                    <w:t>粉尘</w:t>
                  </w:r>
                </w:p>
              </w:tc>
              <w:tc>
                <w:tcPr>
                  <w:tcW w:w="1395" w:type="dxa"/>
                  <w:tcBorders>
                    <w:tl2br w:val="nil"/>
                    <w:tr2bl w:val="nil"/>
                  </w:tcBorders>
                  <w:vAlign w:val="center"/>
                </w:tcPr>
                <w:p>
                  <w:pPr>
                    <w:pStyle w:val="94"/>
                    <w:spacing w:line="240" w:lineRule="auto"/>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0.18</w:t>
                  </w:r>
                </w:p>
              </w:tc>
              <w:tc>
                <w:tcPr>
                  <w:tcW w:w="1073"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≤1</w:t>
                  </w:r>
                </w:p>
              </w:tc>
              <w:tc>
                <w:tcPr>
                  <w:tcW w:w="1041" w:type="dxa"/>
                  <w:tcBorders>
                    <w:tl2br w:val="nil"/>
                    <w:tr2bl w:val="nil"/>
                  </w:tcBorders>
                  <w:vAlign w:val="center"/>
                </w:tcPr>
                <w:p>
                  <w:pPr>
                    <w:pStyle w:val="65"/>
                    <w:spacing w:before="0" w:beforeLines="0"/>
                    <w:jc w:val="center"/>
                    <w:rPr>
                      <w:b w:val="0"/>
                      <w:bCs/>
                      <w:color w:val="auto"/>
                      <w:sz w:val="21"/>
                      <w:szCs w:val="21"/>
                      <w:highlight w:val="none"/>
                    </w:rPr>
                  </w:pPr>
                  <w:r>
                    <w:rPr>
                      <w:b w:val="0"/>
                      <w:bCs/>
                      <w:color w:val="auto"/>
                      <w:sz w:val="21"/>
                      <w:szCs w:val="21"/>
                      <w:highlight w:val="none"/>
                    </w:rPr>
                    <w:t>1</w:t>
                  </w:r>
                </w:p>
              </w:tc>
              <w:tc>
                <w:tcPr>
                  <w:tcW w:w="1171" w:type="dxa"/>
                  <w:tcBorders>
                    <w:tl2br w:val="nil"/>
                    <w:tr2bl w:val="nil"/>
                  </w:tcBorders>
                  <w:vAlign w:val="center"/>
                </w:tcPr>
                <w:p>
                  <w:pPr>
                    <w:jc w:val="center"/>
                    <w:rPr>
                      <w:bCs/>
                      <w:color w:val="auto"/>
                      <w:sz w:val="21"/>
                      <w:szCs w:val="21"/>
                      <w:highlight w:val="none"/>
                    </w:rPr>
                  </w:pPr>
                  <w:r>
                    <w:rPr>
                      <w:bCs/>
                      <w:color w:val="auto"/>
                      <w:sz w:val="21"/>
                      <w:szCs w:val="21"/>
                      <w:highlight w:val="none"/>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130" w:hRule="atLeast"/>
                <w:jc w:val="center"/>
              </w:trPr>
              <w:tc>
                <w:tcPr>
                  <w:tcW w:w="1008" w:type="dxa"/>
                  <w:vMerge w:val="continue"/>
                  <w:tcBorders>
                    <w:tl2br w:val="nil"/>
                    <w:tr2bl w:val="nil"/>
                  </w:tcBorders>
                  <w:vAlign w:val="center"/>
                </w:tcPr>
                <w:p>
                  <w:pPr>
                    <w:jc w:val="center"/>
                    <w:rPr>
                      <w:bCs/>
                      <w:color w:val="auto"/>
                      <w:sz w:val="21"/>
                      <w:szCs w:val="21"/>
                      <w:highlight w:val="none"/>
                    </w:rPr>
                  </w:pPr>
                </w:p>
              </w:tc>
              <w:tc>
                <w:tcPr>
                  <w:tcW w:w="1070" w:type="dxa"/>
                  <w:tcBorders>
                    <w:tl2br w:val="nil"/>
                    <w:tr2bl w:val="nil"/>
                  </w:tcBorders>
                  <w:vAlign w:val="center"/>
                </w:tcPr>
                <w:p>
                  <w:pPr>
                    <w:jc w:val="center"/>
                    <w:rPr>
                      <w:rFonts w:hint="eastAsia"/>
                      <w:bCs/>
                      <w:color w:val="auto"/>
                      <w:sz w:val="21"/>
                      <w:szCs w:val="21"/>
                      <w:highlight w:val="none"/>
                    </w:rPr>
                  </w:pPr>
                  <w:r>
                    <w:rPr>
                      <w:rFonts w:hint="eastAsia"/>
                      <w:bCs/>
                      <w:color w:val="auto"/>
                      <w:sz w:val="21"/>
                      <w:szCs w:val="21"/>
                      <w:highlight w:val="none"/>
                    </w:rPr>
                    <w:t>水泥</w:t>
                  </w:r>
                  <w:r>
                    <w:rPr>
                      <w:rFonts w:hint="eastAsia"/>
                      <w:bCs/>
                      <w:color w:val="auto"/>
                      <w:sz w:val="21"/>
                      <w:szCs w:val="21"/>
                      <w:highlight w:val="none"/>
                      <w:lang w:val="en-US" w:eastAsia="zh-CN"/>
                    </w:rPr>
                    <w:t>卧</w:t>
                  </w:r>
                  <w:r>
                    <w:rPr>
                      <w:rFonts w:hint="eastAsia"/>
                      <w:bCs/>
                      <w:color w:val="auto"/>
                      <w:sz w:val="21"/>
                      <w:szCs w:val="21"/>
                      <w:highlight w:val="none"/>
                    </w:rPr>
                    <w:t>仓</w:t>
                  </w:r>
                  <w:r>
                    <w:rPr>
                      <w:rFonts w:hint="eastAsia"/>
                      <w:bCs/>
                      <w:color w:val="auto"/>
                      <w:sz w:val="21"/>
                      <w:szCs w:val="21"/>
                      <w:highlight w:val="none"/>
                      <w:lang w:val="en-US" w:eastAsia="zh-CN"/>
                    </w:rPr>
                    <w:t>DA002</w:t>
                  </w:r>
                </w:p>
              </w:tc>
              <w:tc>
                <w:tcPr>
                  <w:tcW w:w="1155" w:type="dxa"/>
                  <w:tcBorders>
                    <w:tl2br w:val="nil"/>
                    <w:tr2bl w:val="nil"/>
                  </w:tcBorders>
                  <w:shd w:val="clear" w:color="auto" w:fill="auto"/>
                  <w:vAlign w:val="center"/>
                </w:tcPr>
                <w:p>
                  <w:pPr>
                    <w:pStyle w:val="65"/>
                    <w:spacing w:before="0" w:beforeLine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752"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bCs/>
                      <w:color w:val="auto"/>
                      <w:sz w:val="21"/>
                      <w:szCs w:val="21"/>
                      <w:highlight w:val="none"/>
                    </w:rPr>
                    <w:t>粉尘</w:t>
                  </w:r>
                </w:p>
              </w:tc>
              <w:tc>
                <w:tcPr>
                  <w:tcW w:w="1395"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bCs/>
                      <w:color w:val="auto"/>
                      <w:sz w:val="21"/>
                      <w:szCs w:val="21"/>
                      <w:highlight w:val="none"/>
                      <w:lang w:val="en-US" w:eastAsia="zh-CN"/>
                    </w:rPr>
                    <w:t>0.18</w:t>
                  </w:r>
                </w:p>
              </w:tc>
              <w:tc>
                <w:tcPr>
                  <w:tcW w:w="1073"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041"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171" w:type="dxa"/>
                  <w:tcBorders>
                    <w:tl2br w:val="nil"/>
                    <w:tr2bl w:val="nil"/>
                  </w:tcBorders>
                  <w:shd w:val="clear" w:color="auto" w:fill="auto"/>
                  <w:vAlign w:val="center"/>
                </w:tcPr>
                <w:p>
                  <w:pPr>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1008" w:type="dxa"/>
                  <w:vMerge w:val="continue"/>
                  <w:tcBorders>
                    <w:tl2br w:val="nil"/>
                    <w:tr2bl w:val="nil"/>
                  </w:tcBorders>
                  <w:vAlign w:val="center"/>
                </w:tcPr>
                <w:p>
                  <w:pPr>
                    <w:jc w:val="center"/>
                    <w:rPr>
                      <w:bCs/>
                      <w:color w:val="auto"/>
                      <w:sz w:val="21"/>
                      <w:szCs w:val="21"/>
                      <w:highlight w:val="none"/>
                    </w:rPr>
                  </w:pPr>
                </w:p>
              </w:tc>
              <w:tc>
                <w:tcPr>
                  <w:tcW w:w="1070" w:type="dxa"/>
                  <w:tcBorders>
                    <w:tl2br w:val="nil"/>
                    <w:tr2bl w:val="nil"/>
                  </w:tcBorders>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rPr>
                    <w:t>水泥筒仓</w:t>
                  </w:r>
                  <w:r>
                    <w:rPr>
                      <w:rFonts w:hint="eastAsia"/>
                      <w:bCs/>
                      <w:color w:val="auto"/>
                      <w:sz w:val="21"/>
                      <w:szCs w:val="21"/>
                      <w:highlight w:val="none"/>
                      <w:lang w:val="en-US" w:eastAsia="zh-CN"/>
                    </w:rPr>
                    <w:t>DA003</w:t>
                  </w:r>
                </w:p>
              </w:tc>
              <w:tc>
                <w:tcPr>
                  <w:tcW w:w="1155" w:type="dxa"/>
                  <w:tcBorders>
                    <w:tl2br w:val="nil"/>
                    <w:tr2bl w:val="nil"/>
                  </w:tcBorders>
                  <w:shd w:val="clear" w:color="auto" w:fill="auto"/>
                  <w:vAlign w:val="center"/>
                </w:tcPr>
                <w:p>
                  <w:pPr>
                    <w:pStyle w:val="65"/>
                    <w:spacing w:before="0" w:beforeLine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752"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bCs/>
                      <w:color w:val="auto"/>
                      <w:sz w:val="21"/>
                      <w:szCs w:val="21"/>
                      <w:highlight w:val="none"/>
                    </w:rPr>
                    <w:t>粉尘</w:t>
                  </w:r>
                </w:p>
              </w:tc>
              <w:tc>
                <w:tcPr>
                  <w:tcW w:w="1395" w:type="dxa"/>
                  <w:tcBorders>
                    <w:tl2br w:val="nil"/>
                    <w:tr2bl w:val="nil"/>
                  </w:tcBorders>
                  <w:vAlign w:val="center"/>
                </w:tcPr>
                <w:p>
                  <w:pPr>
                    <w:pStyle w:val="94"/>
                    <w:spacing w:line="240" w:lineRule="auto"/>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1.08</w:t>
                  </w:r>
                </w:p>
              </w:tc>
              <w:tc>
                <w:tcPr>
                  <w:tcW w:w="1073"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041"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171" w:type="dxa"/>
                  <w:tcBorders>
                    <w:tl2br w:val="nil"/>
                    <w:tr2bl w:val="nil"/>
                  </w:tcBorders>
                  <w:shd w:val="clear" w:color="auto" w:fill="auto"/>
                  <w:vAlign w:val="center"/>
                </w:tcPr>
                <w:p>
                  <w:pPr>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1008" w:type="dxa"/>
                  <w:vMerge w:val="continue"/>
                  <w:tcBorders>
                    <w:tl2br w:val="nil"/>
                    <w:tr2bl w:val="nil"/>
                  </w:tcBorders>
                  <w:vAlign w:val="center"/>
                </w:tcPr>
                <w:p>
                  <w:pPr>
                    <w:jc w:val="center"/>
                    <w:rPr>
                      <w:bCs/>
                      <w:color w:val="auto"/>
                      <w:sz w:val="21"/>
                      <w:szCs w:val="21"/>
                      <w:highlight w:val="none"/>
                    </w:rPr>
                  </w:pPr>
                </w:p>
              </w:tc>
              <w:tc>
                <w:tcPr>
                  <w:tcW w:w="1070" w:type="dxa"/>
                  <w:tcBorders>
                    <w:tl2br w:val="nil"/>
                    <w:tr2bl w:val="nil"/>
                  </w:tcBorders>
                  <w:shd w:val="clear" w:color="auto" w:fill="auto"/>
                  <w:vAlign w:val="center"/>
                </w:tcPr>
                <w:p>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搅拌站DA004</w:t>
                  </w:r>
                </w:p>
              </w:tc>
              <w:tc>
                <w:tcPr>
                  <w:tcW w:w="1155" w:type="dxa"/>
                  <w:tcBorders>
                    <w:tl2br w:val="nil"/>
                    <w:tr2bl w:val="nil"/>
                  </w:tcBorders>
                  <w:shd w:val="clear" w:color="auto" w:fill="auto"/>
                  <w:vAlign w:val="center"/>
                </w:tcPr>
                <w:p>
                  <w:pPr>
                    <w:pStyle w:val="65"/>
                    <w:spacing w:before="0" w:beforeLine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752"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bCs/>
                      <w:color w:val="auto"/>
                      <w:sz w:val="21"/>
                      <w:szCs w:val="21"/>
                      <w:highlight w:val="none"/>
                    </w:rPr>
                    <w:t>粉尘</w:t>
                  </w:r>
                </w:p>
              </w:tc>
              <w:tc>
                <w:tcPr>
                  <w:tcW w:w="1395"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bCs/>
                      <w:color w:val="auto"/>
                      <w:sz w:val="21"/>
                      <w:szCs w:val="21"/>
                      <w:highlight w:val="none"/>
                      <w:lang w:val="en-US" w:eastAsia="zh-CN"/>
                    </w:rPr>
                    <w:t>0.399</w:t>
                  </w:r>
                </w:p>
              </w:tc>
              <w:tc>
                <w:tcPr>
                  <w:tcW w:w="1073"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041"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171" w:type="dxa"/>
                  <w:tcBorders>
                    <w:tl2br w:val="nil"/>
                    <w:tr2bl w:val="nil"/>
                  </w:tcBorders>
                  <w:shd w:val="clear" w:color="auto" w:fill="auto"/>
                  <w:vAlign w:val="center"/>
                </w:tcPr>
                <w:p>
                  <w:pPr>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1008" w:type="dxa"/>
                  <w:vMerge w:val="continue"/>
                  <w:tcBorders>
                    <w:tl2br w:val="nil"/>
                    <w:tr2bl w:val="nil"/>
                  </w:tcBorders>
                  <w:vAlign w:val="center"/>
                </w:tcPr>
                <w:p>
                  <w:pPr>
                    <w:jc w:val="center"/>
                    <w:rPr>
                      <w:bCs/>
                      <w:color w:val="auto"/>
                      <w:sz w:val="21"/>
                      <w:szCs w:val="21"/>
                      <w:highlight w:val="none"/>
                    </w:rPr>
                  </w:pPr>
                </w:p>
              </w:tc>
              <w:tc>
                <w:tcPr>
                  <w:tcW w:w="1070" w:type="dxa"/>
                  <w:tcBorders>
                    <w:tl2br w:val="nil"/>
                    <w:tr2bl w:val="nil"/>
                  </w:tcBorders>
                  <w:vAlign w:val="center"/>
                </w:tcPr>
                <w:p>
                  <w:pPr>
                    <w:jc w:val="center"/>
                    <w:rPr>
                      <w:rFonts w:hint="eastAsia"/>
                      <w:bCs/>
                      <w:color w:val="auto"/>
                      <w:sz w:val="21"/>
                      <w:szCs w:val="21"/>
                      <w:highlight w:val="none"/>
                      <w:lang w:val="en-US" w:eastAsia="zh-CN"/>
                    </w:rPr>
                  </w:pPr>
                  <w:r>
                    <w:rPr>
                      <w:rFonts w:hint="eastAsia"/>
                      <w:bCs/>
                      <w:color w:val="auto"/>
                      <w:sz w:val="21"/>
                      <w:szCs w:val="21"/>
                      <w:highlight w:val="none"/>
                      <w:lang w:val="en-US" w:eastAsia="zh-CN"/>
                    </w:rPr>
                    <w:t>搅拌站DA005</w:t>
                  </w:r>
                </w:p>
              </w:tc>
              <w:tc>
                <w:tcPr>
                  <w:tcW w:w="1155" w:type="dxa"/>
                  <w:tcBorders>
                    <w:tl2br w:val="nil"/>
                    <w:tr2bl w:val="nil"/>
                  </w:tcBorders>
                  <w:shd w:val="clear" w:color="auto" w:fill="auto"/>
                  <w:vAlign w:val="center"/>
                </w:tcPr>
                <w:p>
                  <w:pPr>
                    <w:pStyle w:val="65"/>
                    <w:spacing w:before="0" w:beforeLine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752"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bCs/>
                      <w:color w:val="auto"/>
                      <w:sz w:val="21"/>
                      <w:szCs w:val="21"/>
                      <w:highlight w:val="none"/>
                    </w:rPr>
                    <w:t>粉尘</w:t>
                  </w:r>
                </w:p>
              </w:tc>
              <w:tc>
                <w:tcPr>
                  <w:tcW w:w="1395" w:type="dxa"/>
                  <w:tcBorders>
                    <w:tl2br w:val="nil"/>
                    <w:tr2bl w:val="nil"/>
                  </w:tcBorders>
                  <w:vAlign w:val="center"/>
                </w:tcPr>
                <w:p>
                  <w:pPr>
                    <w:pStyle w:val="94"/>
                    <w:spacing w:line="240" w:lineRule="auto"/>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1.2</w:t>
                  </w:r>
                </w:p>
              </w:tc>
              <w:tc>
                <w:tcPr>
                  <w:tcW w:w="1073"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041"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171" w:type="dxa"/>
                  <w:tcBorders>
                    <w:tl2br w:val="nil"/>
                    <w:tr2bl w:val="nil"/>
                  </w:tcBorders>
                  <w:shd w:val="clear" w:color="auto" w:fill="auto"/>
                  <w:vAlign w:val="center"/>
                </w:tcPr>
                <w:p>
                  <w:pPr>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及时检修，加强维护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Ex>
              <w:trPr>
                <w:trHeight w:val="306" w:hRule="atLeast"/>
                <w:jc w:val="center"/>
              </w:trPr>
              <w:tc>
                <w:tcPr>
                  <w:tcW w:w="1008" w:type="dxa"/>
                  <w:vMerge w:val="continue"/>
                  <w:tcBorders>
                    <w:tl2br w:val="nil"/>
                    <w:tr2bl w:val="nil"/>
                  </w:tcBorders>
                  <w:vAlign w:val="center"/>
                </w:tcPr>
                <w:p>
                  <w:pPr>
                    <w:jc w:val="center"/>
                    <w:rPr>
                      <w:bCs/>
                      <w:color w:val="auto"/>
                      <w:sz w:val="21"/>
                      <w:szCs w:val="21"/>
                      <w:highlight w:val="none"/>
                    </w:rPr>
                  </w:pPr>
                </w:p>
              </w:tc>
              <w:tc>
                <w:tcPr>
                  <w:tcW w:w="1070" w:type="dxa"/>
                  <w:tcBorders>
                    <w:tl2br w:val="nil"/>
                    <w:tr2bl w:val="nil"/>
                  </w:tcBorders>
                  <w:vAlign w:val="center"/>
                </w:tcPr>
                <w:p>
                  <w:pPr>
                    <w:jc w:val="center"/>
                    <w:rPr>
                      <w:rFonts w:hint="default"/>
                      <w:bCs/>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粉料仓</w:t>
                  </w:r>
                  <w:r>
                    <w:rPr>
                      <w:rFonts w:hint="eastAsia"/>
                      <w:color w:val="auto"/>
                      <w:spacing w:val="-10"/>
                      <w:sz w:val="21"/>
                      <w:szCs w:val="21"/>
                      <w:highlight w:val="none"/>
                      <w:lang w:val="en-US" w:eastAsia="zh-CN"/>
                    </w:rPr>
                    <w:t>DA006</w:t>
                  </w:r>
                </w:p>
              </w:tc>
              <w:tc>
                <w:tcPr>
                  <w:tcW w:w="1155" w:type="dxa"/>
                  <w:tcBorders>
                    <w:tl2br w:val="nil"/>
                    <w:tr2bl w:val="nil"/>
                  </w:tcBorders>
                  <w:shd w:val="clear" w:color="auto" w:fill="auto"/>
                  <w:vAlign w:val="center"/>
                </w:tcPr>
                <w:p>
                  <w:pPr>
                    <w:pStyle w:val="65"/>
                    <w:spacing w:before="0" w:beforeLine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752" w:type="dxa"/>
                  <w:tcBorders>
                    <w:tl2br w:val="nil"/>
                    <w:tr2bl w:val="nil"/>
                  </w:tcBorders>
                  <w:shd w:val="clear" w:color="auto" w:fill="auto"/>
                  <w:vAlign w:val="center"/>
                </w:tcPr>
                <w:p>
                  <w:pPr>
                    <w:pStyle w:val="94"/>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bCs/>
                      <w:color w:val="auto"/>
                      <w:sz w:val="21"/>
                      <w:szCs w:val="21"/>
                      <w:highlight w:val="none"/>
                    </w:rPr>
                    <w:t>粉尘</w:t>
                  </w:r>
                </w:p>
              </w:tc>
              <w:tc>
                <w:tcPr>
                  <w:tcW w:w="1395" w:type="dxa"/>
                  <w:tcBorders>
                    <w:tl2br w:val="nil"/>
                    <w:tr2bl w:val="nil"/>
                  </w:tcBorders>
                  <w:vAlign w:val="center"/>
                </w:tcPr>
                <w:p>
                  <w:pPr>
                    <w:pStyle w:val="94"/>
                    <w:spacing w:line="240" w:lineRule="auto"/>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0.684</w:t>
                  </w:r>
                </w:p>
              </w:tc>
              <w:tc>
                <w:tcPr>
                  <w:tcW w:w="1073"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041" w:type="dxa"/>
                  <w:tcBorders>
                    <w:tl2br w:val="nil"/>
                    <w:tr2bl w:val="nil"/>
                  </w:tcBorders>
                  <w:shd w:val="clear" w:color="auto" w:fill="auto"/>
                  <w:vAlign w:val="center"/>
                </w:tcPr>
                <w:p>
                  <w:pPr>
                    <w:pStyle w:val="65"/>
                    <w:spacing w:before="0" w:beforeLines="0"/>
                    <w:jc w:val="center"/>
                    <w:rPr>
                      <w:rFonts w:ascii="Times New Roman" w:hAnsi="Times New Roman" w:eastAsia="宋体" w:cs="Times New Roman"/>
                      <w:b w:val="0"/>
                      <w:bCs/>
                      <w:color w:val="auto"/>
                      <w:kern w:val="2"/>
                      <w:sz w:val="21"/>
                      <w:szCs w:val="21"/>
                      <w:highlight w:val="none"/>
                      <w:lang w:val="en-US" w:eastAsia="zh-CN" w:bidi="ar-SA"/>
                    </w:rPr>
                  </w:pPr>
                  <w:r>
                    <w:rPr>
                      <w:b w:val="0"/>
                      <w:bCs/>
                      <w:color w:val="auto"/>
                      <w:sz w:val="21"/>
                      <w:szCs w:val="21"/>
                      <w:highlight w:val="none"/>
                    </w:rPr>
                    <w:t>1</w:t>
                  </w:r>
                </w:p>
              </w:tc>
              <w:tc>
                <w:tcPr>
                  <w:tcW w:w="1171" w:type="dxa"/>
                  <w:tcBorders>
                    <w:tl2br w:val="nil"/>
                    <w:tr2bl w:val="nil"/>
                  </w:tcBorders>
                  <w:shd w:val="clear" w:color="auto" w:fill="auto"/>
                  <w:vAlign w:val="center"/>
                </w:tcPr>
                <w:p>
                  <w:pPr>
                    <w:jc w:val="center"/>
                    <w:rPr>
                      <w:rFonts w:ascii="Times New Roman" w:hAnsi="Times New Roman" w:eastAsia="宋体" w:cs="Times New Roman"/>
                      <w:bCs/>
                      <w:color w:val="auto"/>
                      <w:kern w:val="2"/>
                      <w:sz w:val="21"/>
                      <w:szCs w:val="21"/>
                      <w:highlight w:val="none"/>
                      <w:lang w:val="en-US" w:eastAsia="zh-CN" w:bidi="ar-SA"/>
                    </w:rPr>
                  </w:pPr>
                  <w:r>
                    <w:rPr>
                      <w:bCs/>
                      <w:color w:val="auto"/>
                      <w:sz w:val="21"/>
                      <w:szCs w:val="21"/>
                      <w:highlight w:val="none"/>
                    </w:rPr>
                    <w:t>及时检修，加强维护</w:t>
                  </w:r>
                </w:p>
              </w:tc>
            </w:tr>
          </w:tbl>
          <w:p>
            <w:pPr>
              <w:adjustRightInd w:val="0"/>
              <w:snapToGrid w:val="0"/>
              <w:spacing w:line="360" w:lineRule="auto"/>
              <w:ind w:firstLine="480" w:firstLineChars="200"/>
              <w:rPr>
                <w:color w:val="auto"/>
              </w:rPr>
            </w:pPr>
            <w:r>
              <w:rPr>
                <w:rFonts w:hint="eastAsia"/>
                <w:color w:val="auto"/>
                <w:lang w:val="en-US" w:eastAsia="zh-CN"/>
              </w:rPr>
              <w:t>5</w:t>
            </w:r>
            <w:r>
              <w:rPr>
                <w:rFonts w:hint="eastAsia"/>
                <w:color w:val="auto"/>
              </w:rPr>
              <w:t>）大气监测计划</w:t>
            </w:r>
          </w:p>
          <w:p>
            <w:pPr>
              <w:adjustRightInd w:val="0"/>
              <w:snapToGrid w:val="0"/>
              <w:spacing w:line="360" w:lineRule="auto"/>
              <w:ind w:firstLine="480" w:firstLineChars="200"/>
              <w:rPr>
                <w:color w:val="auto"/>
              </w:rPr>
            </w:pPr>
            <w:r>
              <w:rPr>
                <w:rFonts w:hint="eastAsia"/>
                <w:color w:val="auto"/>
              </w:rPr>
              <w:t>本项目运行期污染源监测计划按照《排污单位自行监测技术指南 总则》（HJ 819-2017）、《排污单位自行监测技术指南 水泥工业》（HJ 848-2017）中的监测要求制定，具体监测计划见下表4-</w:t>
            </w:r>
            <w:r>
              <w:rPr>
                <w:rFonts w:hint="eastAsia"/>
                <w:color w:val="auto"/>
                <w:lang w:val="en-US" w:eastAsia="zh-CN"/>
              </w:rPr>
              <w:t>5</w:t>
            </w:r>
            <w:r>
              <w:rPr>
                <w:rFonts w:hint="eastAsia"/>
                <w:color w:val="auto"/>
              </w:rPr>
              <w:t>。若企业不具备监测条件进行上述污染源及环境质量监测，可委托有资质的环境监测单位进行监测。</w:t>
            </w:r>
          </w:p>
          <w:p>
            <w:pPr>
              <w:ind w:firstLine="482"/>
              <w:jc w:val="center"/>
              <w:rPr>
                <w:b/>
                <w:color w:val="auto"/>
                <w:sz w:val="21"/>
                <w:szCs w:val="21"/>
              </w:rPr>
            </w:pPr>
            <w:r>
              <w:rPr>
                <w:rFonts w:hint="eastAsia"/>
                <w:b/>
                <w:color w:val="auto"/>
                <w:sz w:val="21"/>
                <w:szCs w:val="21"/>
              </w:rPr>
              <w:t>表4-</w:t>
            </w:r>
            <w:r>
              <w:rPr>
                <w:rFonts w:hint="eastAsia"/>
                <w:b/>
                <w:color w:val="auto"/>
                <w:sz w:val="21"/>
                <w:szCs w:val="21"/>
                <w:lang w:val="en-US" w:eastAsia="zh-CN"/>
              </w:rPr>
              <w:t>5</w:t>
            </w:r>
            <w:r>
              <w:rPr>
                <w:rFonts w:hint="eastAsia"/>
                <w:b/>
                <w:color w:val="auto"/>
                <w:sz w:val="21"/>
                <w:szCs w:val="21"/>
              </w:rPr>
              <w:t xml:space="preserve">  环境监测点位、监测项目及监测频率一览表</w:t>
            </w:r>
          </w:p>
          <w:tbl>
            <w:tblPr>
              <w:tblStyle w:val="32"/>
              <w:tblW w:w="8667" w:type="dxa"/>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1180"/>
              <w:gridCol w:w="1190"/>
              <w:gridCol w:w="2153"/>
              <w:gridCol w:w="1443"/>
              <w:gridCol w:w="2701"/>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119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21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监测点</w:t>
                  </w:r>
                  <w:r>
                    <w:rPr>
                      <w:rFonts w:hint="default" w:ascii="Times New Roman" w:hAnsi="Times New Roman" w:eastAsia="宋体" w:cs="Times New Roman"/>
                      <w:color w:val="auto"/>
                      <w:sz w:val="21"/>
                      <w:szCs w:val="21"/>
                      <w:highlight w:val="none"/>
                      <w:lang w:val="en-US" w:eastAsia="zh-CN"/>
                    </w:rPr>
                    <w:t>位</w:t>
                  </w:r>
                </w:p>
              </w:tc>
              <w:tc>
                <w:tcPr>
                  <w:tcW w:w="144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2701"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19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144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vMerge w:val="restar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《水泥工业大气污染物排放标准》（GB4915-2013）表 2 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19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DA002</w:t>
                  </w:r>
                </w:p>
              </w:tc>
              <w:tc>
                <w:tcPr>
                  <w:tcW w:w="144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19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DA003</w:t>
                  </w:r>
                </w:p>
              </w:tc>
              <w:tc>
                <w:tcPr>
                  <w:tcW w:w="144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190"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DA004</w:t>
                  </w:r>
                </w:p>
              </w:tc>
              <w:tc>
                <w:tcPr>
                  <w:tcW w:w="1443"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190"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DA005</w:t>
                  </w:r>
                </w:p>
              </w:tc>
              <w:tc>
                <w:tcPr>
                  <w:tcW w:w="1443"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190"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DA006</w:t>
                  </w:r>
                </w:p>
              </w:tc>
              <w:tc>
                <w:tcPr>
                  <w:tcW w:w="1443" w:type="dxa"/>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397" w:hRule="atLeast"/>
              </w:trPr>
              <w:tc>
                <w:tcPr>
                  <w:tcW w:w="118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19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21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厂界外 20m 处上</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风向设置参照点，下风向设监控点</w:t>
                  </w:r>
                </w:p>
              </w:tc>
              <w:tc>
                <w:tcPr>
                  <w:tcW w:w="144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270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水泥</w:t>
                  </w:r>
                  <w:r>
                    <w:rPr>
                      <w:rFonts w:hint="default" w:ascii="Times New Roman" w:hAnsi="Times New Roman" w:eastAsia="宋体" w:cs="Times New Roman"/>
                      <w:color w:val="auto"/>
                      <w:kern w:val="0"/>
                      <w:sz w:val="21"/>
                      <w:szCs w:val="21"/>
                      <w:highlight w:val="none"/>
                      <w:lang w:val="en-US" w:eastAsia="zh-CN" w:bidi="ar"/>
                    </w:rPr>
                    <w:t>工业大气污染排放准》（GB4915-2013）表</w:t>
                  </w:r>
                  <w:r>
                    <w:rPr>
                      <w:rFonts w:hint="eastAsia" w:ascii="Times New Roman" w:hAnsi="Times New Roman" w:eastAsia="宋体" w:cs="Times New Roman"/>
                      <w:color w:val="auto"/>
                      <w:kern w:val="0"/>
                      <w:sz w:val="21"/>
                      <w:szCs w:val="21"/>
                      <w:highlight w:val="none"/>
                      <w:lang w:val="en-US" w:eastAsia="zh-CN" w:bidi="ar"/>
                    </w:rPr>
                    <w:t>3</w:t>
                  </w:r>
                </w:p>
              </w:tc>
            </w:tr>
          </w:tbl>
          <w:p>
            <w:pPr>
              <w:pStyle w:val="54"/>
              <w:numPr>
                <w:ilvl w:val="0"/>
                <w:numId w:val="11"/>
              </w:numPr>
              <w:ind w:firstLine="482"/>
              <w:rPr>
                <w:b/>
                <w:bCs/>
                <w:color w:val="auto"/>
              </w:rPr>
            </w:pPr>
            <w:r>
              <w:rPr>
                <w:b/>
                <w:bCs/>
                <w:color w:val="auto"/>
              </w:rPr>
              <w:t>废水</w:t>
            </w:r>
          </w:p>
          <w:p>
            <w:pPr>
              <w:snapToGrid w:val="0"/>
              <w:spacing w:line="360" w:lineRule="auto"/>
              <w:ind w:firstLine="480" w:firstLineChars="200"/>
              <w:rPr>
                <w:rFonts w:hAnsi="宋体" w:cs="宋体"/>
                <w:color w:val="auto"/>
              </w:rPr>
            </w:pPr>
            <w:r>
              <w:rPr>
                <w:rFonts w:hint="eastAsia" w:hAnsi="宋体" w:cs="宋体"/>
                <w:color w:val="auto"/>
              </w:rPr>
              <w:t>本项目卸料过程中喷淋用水、道路洒水降尘用水自然蒸发；</w:t>
            </w:r>
            <w:r>
              <w:rPr>
                <w:rFonts w:hint="default" w:ascii="Times New Roman" w:hAnsi="Times New Roman" w:eastAsia="宋体" w:cs="Times New Roman"/>
                <w:color w:val="auto"/>
                <w:highlight w:val="none"/>
                <w:lang w:eastAsia="zh-CN"/>
              </w:rPr>
              <w:t>混凝土</w:t>
            </w:r>
            <w:r>
              <w:rPr>
                <w:rFonts w:hint="default" w:ascii="Times New Roman" w:hAnsi="Times New Roman" w:eastAsia="宋体" w:cs="Times New Roman"/>
                <w:color w:val="auto"/>
                <w:highlight w:val="none"/>
              </w:rPr>
              <w:t>生产工程中原料混合搅拌用水</w:t>
            </w:r>
            <w:r>
              <w:rPr>
                <w:rFonts w:hint="eastAsia" w:cs="Times New Roman"/>
                <w:color w:val="auto"/>
                <w:highlight w:val="none"/>
                <w:lang w:eastAsia="zh-CN"/>
              </w:rPr>
              <w:t>、</w:t>
            </w:r>
            <w:r>
              <w:rPr>
                <w:rFonts w:hint="eastAsia" w:hAnsi="宋体" w:cs="宋体"/>
                <w:color w:val="auto"/>
              </w:rPr>
              <w:t>水稳料生产用水</w:t>
            </w:r>
            <w:r>
              <w:rPr>
                <w:rFonts w:hint="default" w:ascii="Times New Roman" w:hAnsi="Times New Roman" w:eastAsia="宋体" w:cs="Times New Roman"/>
                <w:color w:val="auto"/>
                <w:highlight w:val="none"/>
              </w:rPr>
              <w:t>全部进入产品</w:t>
            </w:r>
            <w:r>
              <w:rPr>
                <w:rFonts w:hint="eastAsia" w:hAnsi="宋体" w:cs="宋体"/>
                <w:color w:val="auto"/>
              </w:rPr>
              <w:t>；故本项目生产废水主要为搅拌设备冲洗废水和运输车辆冲洗用水。</w:t>
            </w:r>
          </w:p>
          <w:p>
            <w:pPr>
              <w:adjustRightInd w:val="0"/>
              <w:snapToGrid w:val="0"/>
              <w:spacing w:line="360" w:lineRule="auto"/>
              <w:ind w:firstLine="480" w:firstLineChars="200"/>
              <w:jc w:val="left"/>
              <w:rPr>
                <w:rFonts w:hint="default" w:ascii="Times New Roman" w:hAnsi="Times New Roman" w:eastAsia="宋体" w:cs="Times New Roman"/>
                <w:b/>
                <w:color w:val="auto"/>
                <w:highlight w:val="yellow"/>
                <w:lang w:val="en-US" w:eastAsia="zh-CN"/>
              </w:rPr>
            </w:pPr>
            <w:r>
              <w:rPr>
                <w:rFonts w:hint="eastAsia" w:hAnsi="宋体" w:cs="宋体"/>
                <w:color w:val="auto"/>
                <w:highlight w:val="none"/>
              </w:rPr>
              <w:t>搅拌设备冲洗废水和运输车辆冲洗用水，产生量按用水量的80%计，则搅拌设备冲洗废水量为1.6m</w:t>
            </w:r>
            <w:r>
              <w:rPr>
                <w:rFonts w:hint="eastAsia" w:hAnsi="宋体" w:cs="宋体"/>
                <w:color w:val="auto"/>
                <w:highlight w:val="none"/>
                <w:vertAlign w:val="superscript"/>
              </w:rPr>
              <w:t>3</w:t>
            </w:r>
            <w:r>
              <w:rPr>
                <w:rFonts w:hint="eastAsia" w:hAnsi="宋体" w:cs="宋体"/>
                <w:color w:val="auto"/>
                <w:highlight w:val="none"/>
              </w:rPr>
              <w:t>/d，</w:t>
            </w:r>
            <w:r>
              <w:rPr>
                <w:rFonts w:hint="eastAsia" w:hAnsi="宋体" w:cs="宋体"/>
                <w:color w:val="auto"/>
                <w:highlight w:val="none"/>
                <w:lang w:val="en-US" w:eastAsia="zh-CN"/>
              </w:rPr>
              <w:t>240</w:t>
            </w:r>
            <w:r>
              <w:rPr>
                <w:rFonts w:hint="eastAsia" w:hAnsi="宋体" w:cs="宋体"/>
                <w:color w:val="auto"/>
                <w:highlight w:val="none"/>
              </w:rPr>
              <w:t>m</w:t>
            </w:r>
            <w:r>
              <w:rPr>
                <w:rFonts w:hint="eastAsia" w:hAnsi="宋体" w:cs="宋体"/>
                <w:color w:val="auto"/>
                <w:highlight w:val="none"/>
                <w:vertAlign w:val="superscript"/>
              </w:rPr>
              <w:t>3</w:t>
            </w:r>
            <w:r>
              <w:rPr>
                <w:rFonts w:hint="eastAsia" w:hAnsi="宋体" w:cs="宋体"/>
                <w:color w:val="auto"/>
                <w:highlight w:val="none"/>
              </w:rPr>
              <w:t>/a；运输车辆冲洗废水量为</w:t>
            </w:r>
            <w:r>
              <w:rPr>
                <w:rFonts w:hint="eastAsia" w:hAnsi="宋体" w:cs="宋体"/>
                <w:color w:val="auto"/>
                <w:highlight w:val="none"/>
                <w:lang w:val="en-US" w:eastAsia="zh-CN"/>
              </w:rPr>
              <w:t>1.25</w:t>
            </w:r>
            <w:r>
              <w:rPr>
                <w:rFonts w:hint="eastAsia" w:hAnsi="宋体" w:cs="宋体"/>
                <w:color w:val="auto"/>
                <w:highlight w:val="none"/>
              </w:rPr>
              <w:t>m</w:t>
            </w:r>
            <w:r>
              <w:rPr>
                <w:rFonts w:hint="eastAsia" w:hAnsi="宋体" w:cs="宋体"/>
                <w:color w:val="auto"/>
                <w:highlight w:val="none"/>
                <w:vertAlign w:val="superscript"/>
              </w:rPr>
              <w:t>3</w:t>
            </w:r>
            <w:r>
              <w:rPr>
                <w:rFonts w:hint="eastAsia" w:hAnsi="宋体" w:cs="宋体"/>
                <w:color w:val="auto"/>
                <w:highlight w:val="none"/>
              </w:rPr>
              <w:t>/d，</w:t>
            </w:r>
            <w:r>
              <w:rPr>
                <w:rFonts w:hint="eastAsia" w:hAnsi="宋体" w:cs="宋体"/>
                <w:color w:val="auto"/>
                <w:highlight w:val="none"/>
                <w:lang w:val="en-US" w:eastAsia="zh-CN"/>
              </w:rPr>
              <w:t>300</w:t>
            </w:r>
            <w:r>
              <w:rPr>
                <w:rFonts w:hint="eastAsia" w:hAnsi="宋体" w:cs="宋体"/>
                <w:color w:val="auto"/>
                <w:highlight w:val="none"/>
              </w:rPr>
              <w:t>m</w:t>
            </w:r>
            <w:r>
              <w:rPr>
                <w:rFonts w:hint="eastAsia" w:hAnsi="宋体" w:cs="宋体"/>
                <w:color w:val="auto"/>
                <w:highlight w:val="none"/>
                <w:vertAlign w:val="superscript"/>
              </w:rPr>
              <w:t>3</w:t>
            </w:r>
            <w:r>
              <w:rPr>
                <w:rFonts w:hint="eastAsia" w:hAnsi="宋体" w:cs="宋体"/>
                <w:color w:val="auto"/>
                <w:highlight w:val="none"/>
              </w:rPr>
              <w:t>/a</w:t>
            </w:r>
            <w:r>
              <w:rPr>
                <w:rFonts w:hint="eastAsia" w:hAnsi="宋体" w:cs="宋体"/>
                <w:color w:val="auto"/>
                <w:highlight w:val="none"/>
                <w:lang w:eastAsia="zh-CN"/>
              </w:rPr>
              <w:t>，</w:t>
            </w:r>
            <w:r>
              <w:rPr>
                <w:rFonts w:hint="eastAsia" w:hAnsi="宋体" w:cs="宋体"/>
                <w:color w:val="auto"/>
                <w:highlight w:val="none"/>
              </w:rPr>
              <w:t>搅拌设备冲洗废水和运输车辆冲洗废水经</w:t>
            </w:r>
            <w:r>
              <w:rPr>
                <w:rFonts w:hint="eastAsia" w:hAnsi="宋体" w:cs="宋体"/>
                <w:color w:val="auto"/>
                <w:highlight w:val="none"/>
                <w:lang w:val="en-US" w:eastAsia="zh-CN"/>
              </w:rPr>
              <w:t>厂内现有三级</w:t>
            </w:r>
            <w:r>
              <w:rPr>
                <w:rFonts w:hint="eastAsia" w:hAnsi="宋体" w:cs="宋体"/>
                <w:color w:val="auto"/>
                <w:highlight w:val="none"/>
              </w:rPr>
              <w:t>沉淀池处理后回用于拌和生产</w:t>
            </w:r>
            <w:r>
              <w:rPr>
                <w:rFonts w:hint="eastAsia" w:hAnsi="宋体" w:cs="宋体"/>
                <w:color w:val="auto"/>
                <w:highlight w:val="none"/>
                <w:lang w:eastAsia="zh-CN"/>
              </w:rPr>
              <w:t>，</w:t>
            </w:r>
            <w:r>
              <w:rPr>
                <w:rFonts w:hint="eastAsia" w:hAnsi="宋体" w:cs="宋体"/>
                <w:color w:val="auto"/>
                <w:highlight w:val="none"/>
                <w:lang w:val="en-US" w:eastAsia="zh-CN"/>
              </w:rPr>
              <w:t>不外排</w:t>
            </w:r>
            <w:r>
              <w:rPr>
                <w:rFonts w:hint="eastAsia" w:hAnsi="宋体" w:cs="宋体"/>
                <w:color w:val="auto"/>
                <w:highlight w:val="none"/>
              </w:rPr>
              <w:t>。</w:t>
            </w:r>
          </w:p>
          <w:p>
            <w:pPr>
              <w:pStyle w:val="54"/>
              <w:numPr>
                <w:ilvl w:val="0"/>
                <w:numId w:val="11"/>
              </w:numPr>
              <w:ind w:firstLine="482"/>
              <w:rPr>
                <w:b/>
                <w:bCs/>
                <w:color w:val="auto"/>
                <w:highlight w:val="none"/>
                <w:u w:val="none"/>
              </w:rPr>
            </w:pPr>
            <w:r>
              <w:rPr>
                <w:b/>
                <w:bCs/>
                <w:color w:val="auto"/>
                <w:highlight w:val="none"/>
                <w:u w:val="none"/>
              </w:rPr>
              <w:t>噪声</w:t>
            </w:r>
          </w:p>
          <w:p>
            <w:pPr>
              <w:pStyle w:val="54"/>
              <w:numPr>
                <w:ilvl w:val="0"/>
                <w:numId w:val="12"/>
              </w:numPr>
              <w:ind w:firstLine="48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噪声源强分析</w:t>
            </w:r>
          </w:p>
          <w:p>
            <w:pPr>
              <w:pStyle w:val="12"/>
              <w:spacing w:line="360" w:lineRule="auto"/>
              <w:ind w:left="0" w:leftChars="0" w:firstLine="480" w:firstLineChars="200"/>
              <w:jc w:val="left"/>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color w:val="auto"/>
                <w:highlight w:val="none"/>
                <w:u w:val="none"/>
              </w:rPr>
              <w:t>运营期噪声主要是拌合站、运输车辆、装载机运行产生的噪声，源强在</w:t>
            </w:r>
            <w:r>
              <w:rPr>
                <w:rFonts w:hint="eastAsia" w:cs="Times New Roman"/>
                <w:color w:val="auto"/>
                <w:highlight w:val="none"/>
                <w:u w:val="none"/>
                <w:lang w:val="en-US" w:eastAsia="zh-CN"/>
              </w:rPr>
              <w:t>75</w:t>
            </w:r>
            <w:r>
              <w:rPr>
                <w:rFonts w:hint="default" w:ascii="Times New Roman" w:hAnsi="Times New Roman" w:eastAsia="宋体" w:cs="Times New Roman"/>
                <w:color w:val="auto"/>
                <w:highlight w:val="none"/>
                <w:u w:val="none"/>
              </w:rPr>
              <w:t>-85dB（A）之间。</w:t>
            </w:r>
            <w:r>
              <w:rPr>
                <w:rFonts w:hint="default" w:ascii="Times New Roman" w:hAnsi="Times New Roman" w:eastAsia="宋体" w:cs="Times New Roman"/>
                <w:bCs/>
                <w:color w:val="auto"/>
                <w:highlight w:val="none"/>
              </w:rPr>
              <w:t>运输车辆每天</w:t>
            </w:r>
            <w:r>
              <w:rPr>
                <w:rFonts w:hint="eastAsia" w:cs="Times New Roman"/>
                <w:bCs/>
                <w:color w:val="auto"/>
                <w:highlight w:val="none"/>
                <w:lang w:val="en-US" w:eastAsia="zh-CN"/>
              </w:rPr>
              <w:t>10</w:t>
            </w:r>
            <w:r>
              <w:rPr>
                <w:rFonts w:hint="default" w:ascii="Times New Roman" w:hAnsi="Times New Roman" w:eastAsia="宋体" w:cs="Times New Roman"/>
                <w:bCs/>
                <w:color w:val="auto"/>
                <w:highlight w:val="none"/>
              </w:rPr>
              <w:t>辆次，厂区内低速运行，由于在厂区内运行距离较短，速度较慢，运输车辆按点声源考虑。</w:t>
            </w:r>
            <w:r>
              <w:rPr>
                <w:rFonts w:hint="default" w:ascii="Times New Roman" w:hAnsi="Times New Roman" w:eastAsia="宋体" w:cs="Times New Roman"/>
                <w:bCs/>
                <w:color w:val="auto"/>
                <w:highlight w:val="none"/>
                <w:lang w:val="en-US" w:eastAsia="zh-CN"/>
              </w:rPr>
              <w:t>材料通过陆运运输，经过公路，材料紧邻南侧通过公路进入厂区内，不涉及专用道路。</w:t>
            </w:r>
          </w:p>
          <w:p>
            <w:pPr>
              <w:pStyle w:val="12"/>
              <w:spacing w:line="360" w:lineRule="auto"/>
              <w:ind w:left="0" w:leftChars="0" w:firstLine="480" w:firstLineChars="200"/>
              <w:jc w:val="left"/>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噪声污染源源强核算一览表见表4-</w:t>
            </w:r>
            <w:r>
              <w:rPr>
                <w:rFonts w:hint="eastAsia" w:cs="Times New Roman"/>
                <w:color w:val="auto"/>
                <w:highlight w:val="none"/>
                <w:lang w:val="en-US" w:eastAsia="zh-CN"/>
              </w:rPr>
              <w:t>6</w:t>
            </w:r>
            <w:r>
              <w:rPr>
                <w:rFonts w:hint="default" w:ascii="Times New Roman" w:hAnsi="Times New Roman" w:eastAsia="宋体" w:cs="Times New Roman"/>
                <w:bCs/>
                <w:color w:val="auto"/>
                <w:highlight w:val="none"/>
              </w:rPr>
              <w:t>。</w:t>
            </w:r>
          </w:p>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 xml:space="preserve">  工业企业噪声源强调查清单（室外声源）</w:t>
            </w:r>
          </w:p>
          <w:tbl>
            <w:tblPr>
              <w:tblStyle w:val="32"/>
              <w:tblW w:w="86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11"/>
              <w:gridCol w:w="1279"/>
              <w:gridCol w:w="639"/>
              <w:gridCol w:w="771"/>
              <w:gridCol w:w="624"/>
              <w:gridCol w:w="858"/>
              <w:gridCol w:w="1374"/>
              <w:gridCol w:w="688"/>
              <w:gridCol w:w="780"/>
              <w:gridCol w:w="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79"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2034" w:type="dxa"/>
                  <w:gridSpan w:val="3"/>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空间相对位置/m</w:t>
                  </w:r>
                </w:p>
              </w:tc>
              <w:tc>
                <w:tcPr>
                  <w:tcW w:w="858"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w:t>
                  </w:r>
                </w:p>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dB</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c>
                <w:tcPr>
                  <w:tcW w:w="1374"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声源控制措施</w:t>
                  </w:r>
                </w:p>
              </w:tc>
              <w:tc>
                <w:tcPr>
                  <w:tcW w:w="688"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降噪效果</w:t>
                  </w:r>
                </w:p>
              </w:tc>
              <w:tc>
                <w:tcPr>
                  <w:tcW w:w="780" w:type="dxa"/>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噪声值dB（A）</w:t>
                  </w:r>
                </w:p>
              </w:tc>
              <w:tc>
                <w:tcPr>
                  <w:tcW w:w="939" w:type="dxa"/>
                  <w:vMerge w:val="restart"/>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运行时</w:t>
                  </w:r>
                  <w:r>
                    <w:rPr>
                      <w:rFonts w:hint="eastAsia" w:cs="Times New Roman"/>
                      <w:color w:val="auto"/>
                      <w:sz w:val="21"/>
                      <w:szCs w:val="21"/>
                      <w:highlight w:val="none"/>
                      <w:lang w:val="en-US" w:eastAsia="zh-CN"/>
                    </w:rPr>
                    <w:t>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h</w:t>
                  </w:r>
                  <w:r>
                    <w:rPr>
                      <w:rFonts w:hint="eastAsia"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Merge w:val="continue"/>
                  <w:vAlign w:val="center"/>
                </w:tcPr>
                <w:p>
                  <w:pPr>
                    <w:jc w:val="center"/>
                    <w:rPr>
                      <w:rFonts w:hint="default" w:ascii="Times New Roman" w:hAnsi="Times New Roman" w:eastAsia="宋体" w:cs="Times New Roman"/>
                      <w:color w:val="auto"/>
                      <w:sz w:val="21"/>
                      <w:szCs w:val="21"/>
                      <w:highlight w:val="none"/>
                    </w:rPr>
                  </w:pPr>
                </w:p>
              </w:tc>
              <w:tc>
                <w:tcPr>
                  <w:tcW w:w="1279" w:type="dxa"/>
                  <w:vMerge w:val="continue"/>
                  <w:vAlign w:val="center"/>
                </w:tcPr>
                <w:p>
                  <w:pPr>
                    <w:jc w:val="center"/>
                    <w:rPr>
                      <w:rFonts w:hint="default" w:ascii="Times New Roman" w:hAnsi="Times New Roman" w:eastAsia="宋体" w:cs="Times New Roman"/>
                      <w:color w:val="auto"/>
                      <w:sz w:val="21"/>
                      <w:szCs w:val="21"/>
                      <w:highlight w:val="none"/>
                    </w:rPr>
                  </w:pPr>
                </w:p>
              </w:tc>
              <w:tc>
                <w:tcPr>
                  <w:tcW w:w="63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771"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62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858" w:type="dxa"/>
                  <w:vMerge w:val="continue"/>
                  <w:vAlign w:val="center"/>
                </w:tcPr>
                <w:p>
                  <w:pPr>
                    <w:jc w:val="center"/>
                    <w:rPr>
                      <w:rFonts w:hint="default" w:ascii="Times New Roman" w:hAnsi="Times New Roman" w:eastAsia="宋体" w:cs="Times New Roman"/>
                      <w:color w:val="auto"/>
                      <w:sz w:val="21"/>
                      <w:szCs w:val="21"/>
                      <w:highlight w:val="none"/>
                    </w:rPr>
                  </w:pPr>
                </w:p>
              </w:tc>
              <w:tc>
                <w:tcPr>
                  <w:tcW w:w="1374" w:type="dxa"/>
                  <w:vMerge w:val="continue"/>
                  <w:vAlign w:val="center"/>
                </w:tcPr>
                <w:p>
                  <w:pPr>
                    <w:jc w:val="center"/>
                    <w:rPr>
                      <w:rFonts w:hint="default" w:ascii="Times New Roman" w:hAnsi="Times New Roman" w:eastAsia="宋体" w:cs="Times New Roman"/>
                      <w:color w:val="auto"/>
                      <w:sz w:val="21"/>
                      <w:szCs w:val="21"/>
                      <w:highlight w:val="none"/>
                    </w:rPr>
                  </w:pPr>
                </w:p>
              </w:tc>
              <w:tc>
                <w:tcPr>
                  <w:tcW w:w="688" w:type="dxa"/>
                  <w:vMerge w:val="continue"/>
                  <w:vAlign w:val="center"/>
                </w:tcPr>
                <w:p>
                  <w:pPr>
                    <w:jc w:val="center"/>
                    <w:rPr>
                      <w:rFonts w:hint="default" w:ascii="Times New Roman" w:hAnsi="Times New Roman" w:eastAsia="宋体" w:cs="Times New Roman"/>
                      <w:color w:val="auto"/>
                      <w:sz w:val="21"/>
                      <w:szCs w:val="21"/>
                      <w:highlight w:val="none"/>
                    </w:rPr>
                  </w:pPr>
                </w:p>
              </w:tc>
              <w:tc>
                <w:tcPr>
                  <w:tcW w:w="780" w:type="dxa"/>
                  <w:vMerge w:val="continue"/>
                  <w:vAlign w:val="center"/>
                </w:tcPr>
                <w:p>
                  <w:pPr>
                    <w:jc w:val="center"/>
                    <w:rPr>
                      <w:rFonts w:hint="default" w:ascii="Times New Roman" w:hAnsi="Times New Roman" w:eastAsia="宋体" w:cs="Times New Roman"/>
                      <w:color w:val="auto"/>
                      <w:sz w:val="21"/>
                      <w:szCs w:val="21"/>
                      <w:highlight w:val="none"/>
                    </w:rPr>
                  </w:pPr>
                </w:p>
              </w:tc>
              <w:tc>
                <w:tcPr>
                  <w:tcW w:w="939" w:type="dxa"/>
                  <w:vMerge w:val="continue"/>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9" w:type="dxa"/>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铲车</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50.41</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sz w:val="21"/>
                      <w:szCs w:val="21"/>
                      <w:highlight w:val="none"/>
                      <w:lang w:val="en-US" w:eastAsia="zh-CN"/>
                    </w:rPr>
                    <w:t>50</w:t>
                  </w:r>
                </w:p>
              </w:tc>
              <w:tc>
                <w:tcPr>
                  <w:tcW w:w="624" w:type="dxa"/>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858" w:type="dxa"/>
                  <w:vAlign w:val="center"/>
                </w:tcPr>
                <w:p>
                  <w:pPr>
                    <w:pStyle w:val="57"/>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85</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75</w:t>
                  </w:r>
                </w:p>
              </w:tc>
              <w:tc>
                <w:tcPr>
                  <w:tcW w:w="939" w:type="dxa"/>
                  <w:vAlign w:val="center"/>
                </w:tcPr>
                <w:p>
                  <w:pPr>
                    <w:jc w:val="center"/>
                    <w:rPr>
                      <w:rFonts w:hint="default" w:ascii="Times New Roman" w:hAnsi="Times New Roman" w:eastAsia="宋体" w:cs="Times New Roman"/>
                      <w:color w:val="FF0000"/>
                      <w:sz w:val="21"/>
                      <w:szCs w:val="21"/>
                      <w:highlight w:val="none"/>
                      <w:u w:val="none"/>
                      <w:lang w:val="en-US" w:eastAsia="zh-CN"/>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皮带输送机</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-31</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-40</w:t>
                  </w:r>
                </w:p>
              </w:tc>
              <w:tc>
                <w:tcPr>
                  <w:tcW w:w="62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858" w:type="dxa"/>
                  <w:vAlign w:val="center"/>
                </w:tcPr>
                <w:p>
                  <w:pPr>
                    <w:pStyle w:val="57"/>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7</w:t>
                  </w:r>
                  <w:r>
                    <w:rPr>
                      <w:rFonts w:hint="default" w:ascii="Times New Roman" w:hAnsi="Times New Roman" w:eastAsia="宋体" w:cs="Times New Roman"/>
                      <w:color w:val="auto"/>
                      <w:sz w:val="21"/>
                      <w:szCs w:val="21"/>
                      <w:highlight w:val="none"/>
                      <w:u w:val="none"/>
                      <w:lang w:val="en-US" w:eastAsia="zh-CN"/>
                    </w:rPr>
                    <w:t>5</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65</w:t>
                  </w:r>
                </w:p>
              </w:tc>
              <w:tc>
                <w:tcPr>
                  <w:tcW w:w="939" w:type="dxa"/>
                  <w:vAlign w:val="center"/>
                </w:tcPr>
                <w:p>
                  <w:pPr>
                    <w:jc w:val="center"/>
                    <w:rPr>
                      <w:rFonts w:hint="default" w:ascii="Times New Roman" w:hAnsi="Times New Roman" w:eastAsia="宋体" w:cs="Times New Roman"/>
                      <w:color w:val="FF0000"/>
                      <w:sz w:val="21"/>
                      <w:szCs w:val="21"/>
                      <w:highlight w:val="none"/>
                      <w:u w:val="none"/>
                      <w:lang w:val="en-US" w:eastAsia="zh-CN"/>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90"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加压泵</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yellow"/>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-32</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yellow"/>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-42</w:t>
                  </w:r>
                </w:p>
              </w:tc>
              <w:tc>
                <w:tcPr>
                  <w:tcW w:w="62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858" w:type="dxa"/>
                  <w:vAlign w:val="center"/>
                </w:tcPr>
                <w:p>
                  <w:pPr>
                    <w:pStyle w:val="57"/>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75</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6</w:t>
                  </w:r>
                  <w:r>
                    <w:rPr>
                      <w:rFonts w:hint="default" w:ascii="Times New Roman" w:hAnsi="Times New Roman" w:eastAsia="宋体" w:cs="Times New Roman"/>
                      <w:color w:val="auto"/>
                      <w:sz w:val="21"/>
                      <w:szCs w:val="21"/>
                      <w:highlight w:val="none"/>
                      <w:u w:val="none"/>
                    </w:rPr>
                    <w:t>5</w:t>
                  </w:r>
                </w:p>
              </w:tc>
              <w:tc>
                <w:tcPr>
                  <w:tcW w:w="939" w:type="dxa"/>
                  <w:vAlign w:val="center"/>
                </w:tcPr>
                <w:p>
                  <w:pPr>
                    <w:jc w:val="center"/>
                    <w:rPr>
                      <w:rFonts w:hint="default" w:ascii="Times New Roman" w:hAnsi="Times New Roman" w:eastAsia="宋体" w:cs="Times New Roman"/>
                      <w:color w:val="FF0000"/>
                      <w:sz w:val="21"/>
                      <w:szCs w:val="21"/>
                      <w:highlight w:val="none"/>
                      <w:u w:val="none"/>
                      <w:lang w:val="en-US" w:eastAsia="zh-CN"/>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11</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-22</w:t>
                  </w:r>
                </w:p>
              </w:tc>
              <w:tc>
                <w:tcPr>
                  <w:tcW w:w="62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858" w:type="dxa"/>
                  <w:vAlign w:val="center"/>
                </w:tcPr>
                <w:p>
                  <w:pPr>
                    <w:pStyle w:val="57"/>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8</w:t>
                  </w:r>
                  <w:r>
                    <w:rPr>
                      <w:rFonts w:hint="default" w:ascii="Times New Roman" w:hAnsi="Times New Roman" w:eastAsia="宋体" w:cs="Times New Roman"/>
                      <w:color w:val="auto"/>
                      <w:sz w:val="21"/>
                      <w:szCs w:val="21"/>
                      <w:highlight w:val="none"/>
                      <w:u w:val="none"/>
                    </w:rPr>
                    <w:t>5</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rPr>
                    <w:t>5</w:t>
                  </w:r>
                </w:p>
              </w:tc>
              <w:tc>
                <w:tcPr>
                  <w:tcW w:w="939" w:type="dxa"/>
                  <w:vAlign w:val="center"/>
                </w:tcPr>
                <w:p>
                  <w:pPr>
                    <w:jc w:val="center"/>
                    <w:rPr>
                      <w:rFonts w:hint="default" w:ascii="Times New Roman" w:hAnsi="Times New Roman" w:eastAsia="宋体" w:cs="Times New Roman"/>
                      <w:color w:val="FF0000"/>
                      <w:sz w:val="21"/>
                      <w:szCs w:val="21"/>
                      <w:highlight w:val="none"/>
                      <w:u w:val="none"/>
                      <w:lang w:val="en-US" w:eastAsia="zh-CN"/>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47.12</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39</w:t>
                  </w:r>
                </w:p>
              </w:tc>
              <w:tc>
                <w:tcPr>
                  <w:tcW w:w="62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858" w:type="dxa"/>
                  <w:shd w:val="clear" w:color="auto" w:fill="auto"/>
                  <w:vAlign w:val="center"/>
                </w:tcPr>
                <w:p>
                  <w:pPr>
                    <w:pStyle w:val="57"/>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80</w:t>
                  </w:r>
                </w:p>
              </w:tc>
              <w:tc>
                <w:tcPr>
                  <w:tcW w:w="137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rPr>
                    <w:t>0</w:t>
                  </w:r>
                </w:p>
              </w:tc>
              <w:tc>
                <w:tcPr>
                  <w:tcW w:w="939" w:type="dxa"/>
                  <w:shd w:val="clear" w:color="auto" w:fill="auto"/>
                  <w:vAlign w:val="center"/>
                </w:tcPr>
                <w:p>
                  <w:pPr>
                    <w:jc w:val="center"/>
                    <w:rPr>
                      <w:rFonts w:hint="default" w:ascii="Times New Roman" w:hAnsi="Times New Roman" w:eastAsia="宋体" w:cs="Times New Roman"/>
                      <w:color w:val="FF0000"/>
                      <w:kern w:val="2"/>
                      <w:sz w:val="21"/>
                      <w:szCs w:val="21"/>
                      <w:highlight w:val="none"/>
                      <w:u w:val="none"/>
                      <w:lang w:val="en-US" w:eastAsia="zh-CN" w:bidi="ar-SA"/>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55.3</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32.66</w:t>
                  </w:r>
                </w:p>
              </w:tc>
              <w:tc>
                <w:tcPr>
                  <w:tcW w:w="62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858" w:type="dxa"/>
                  <w:vAlign w:val="center"/>
                </w:tcPr>
                <w:p>
                  <w:pPr>
                    <w:pStyle w:val="57"/>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80</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rPr>
                    <w:t>0</w:t>
                  </w:r>
                </w:p>
              </w:tc>
              <w:tc>
                <w:tcPr>
                  <w:tcW w:w="939" w:type="dxa"/>
                  <w:shd w:val="clear" w:color="auto" w:fill="auto"/>
                  <w:vAlign w:val="center"/>
                </w:tcPr>
                <w:p>
                  <w:pPr>
                    <w:jc w:val="center"/>
                    <w:rPr>
                      <w:rFonts w:hint="default" w:ascii="Times New Roman" w:hAnsi="Times New Roman" w:eastAsia="宋体" w:cs="Times New Roman"/>
                      <w:color w:val="FF0000"/>
                      <w:kern w:val="2"/>
                      <w:sz w:val="21"/>
                      <w:szCs w:val="21"/>
                      <w:highlight w:val="none"/>
                      <w:u w:val="none"/>
                      <w:lang w:val="en-US" w:eastAsia="zh-CN" w:bidi="ar-SA"/>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混凝土搅拌站</w:t>
                  </w:r>
                  <w:r>
                    <w:rPr>
                      <w:rFonts w:hint="default" w:ascii="Times New Roman" w:hAnsi="Times New Roman" w:eastAsia="宋体" w:cs="Times New Roman"/>
                      <w:color w:val="auto"/>
                      <w:sz w:val="21"/>
                      <w:szCs w:val="21"/>
                      <w:highlight w:val="none"/>
                    </w:rPr>
                    <w:tab/>
                  </w:r>
                  <w:r>
                    <w:rPr>
                      <w:rFonts w:hint="default" w:ascii="Times New Roman" w:hAnsi="Times New Roman" w:eastAsia="宋体" w:cs="Times New Roman"/>
                      <w:color w:val="auto"/>
                      <w:sz w:val="21"/>
                      <w:szCs w:val="21"/>
                      <w:highlight w:val="none"/>
                    </w:rPr>
                    <w:t>搅拌机</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40</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-70</w:t>
                  </w:r>
                </w:p>
              </w:tc>
              <w:tc>
                <w:tcPr>
                  <w:tcW w:w="624"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858" w:type="dxa"/>
                  <w:vAlign w:val="center"/>
                </w:tcPr>
                <w:p>
                  <w:pPr>
                    <w:pStyle w:val="57"/>
                    <w:rPr>
                      <w:rFonts w:hint="default" w:ascii="Times New Roman" w:hAnsi="Times New Roman" w:eastAsia="宋体" w:cs="Times New Roman"/>
                      <w:color w:val="auto"/>
                      <w:sz w:val="21"/>
                      <w:szCs w:val="21"/>
                      <w:highlight w:val="none"/>
                      <w:u w:val="none"/>
                      <w:lang w:val="en-US" w:eastAsia="zh-CN"/>
                    </w:rPr>
                  </w:pPr>
                  <w:r>
                    <w:rPr>
                      <w:rFonts w:hint="eastAsia" w:ascii="Times New Roman" w:cs="Times New Roman"/>
                      <w:color w:val="auto"/>
                      <w:sz w:val="21"/>
                      <w:szCs w:val="21"/>
                      <w:highlight w:val="none"/>
                      <w:u w:val="none"/>
                      <w:lang w:val="en-US" w:eastAsia="zh-CN"/>
                    </w:rPr>
                    <w:t>85</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cs="Times New Roman"/>
                      <w:color w:val="auto"/>
                      <w:sz w:val="21"/>
                      <w:szCs w:val="21"/>
                      <w:highlight w:val="none"/>
                      <w:u w:val="none"/>
                      <w:lang w:val="en-US" w:eastAsia="zh-CN"/>
                    </w:rPr>
                    <w:t>75</w:t>
                  </w:r>
                </w:p>
              </w:tc>
              <w:tc>
                <w:tcPr>
                  <w:tcW w:w="939" w:type="dxa"/>
                  <w:shd w:val="clear" w:color="auto" w:fill="auto"/>
                  <w:vAlign w:val="center"/>
                </w:tcPr>
                <w:p>
                  <w:pPr>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1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7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水泥稳定碎石搅拌站</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搅拌机</w:t>
                  </w:r>
                </w:p>
              </w:tc>
              <w:tc>
                <w:tcPr>
                  <w:tcW w:w="639"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-24</w:t>
                  </w:r>
                </w:p>
              </w:tc>
              <w:tc>
                <w:tcPr>
                  <w:tcW w:w="771" w:type="dxa"/>
                  <w:shd w:val="clear" w:color="auto" w:fill="auto"/>
                  <w:vAlign w:val="center"/>
                </w:tcPr>
                <w:p>
                  <w:pPr>
                    <w:pStyle w:val="49"/>
                    <w:autoSpaceDE w:val="0"/>
                    <w:autoSpaceDN w:val="0"/>
                    <w:adjustRightInd/>
                    <w:snapToGrid/>
                    <w:textAlignment w:val="baseline"/>
                    <w:rPr>
                      <w:rFonts w:hint="default" w:ascii="Times New Roman" w:hAnsi="Times New Roman" w:eastAsia="宋体" w:cs="Times New Roman"/>
                      <w:i w:val="0"/>
                      <w:iCs w:val="0"/>
                      <w:color w:val="auto"/>
                      <w:sz w:val="21"/>
                      <w:szCs w:val="21"/>
                      <w:highlight w:val="none"/>
                      <w:lang w:val="en-US" w:eastAsia="zh-CN"/>
                    </w:rPr>
                  </w:pPr>
                  <w:r>
                    <w:rPr>
                      <w:rFonts w:hint="eastAsia" w:ascii="Times New Roman" w:hAnsi="Times New Roman" w:eastAsia="宋体" w:cs="Times New Roman"/>
                      <w:i w:val="0"/>
                      <w:iCs w:val="0"/>
                      <w:color w:val="auto"/>
                      <w:sz w:val="21"/>
                      <w:szCs w:val="21"/>
                      <w:highlight w:val="none"/>
                      <w:lang w:val="en-US" w:eastAsia="zh-CN"/>
                    </w:rPr>
                    <w:t>-50</w:t>
                  </w:r>
                </w:p>
              </w:tc>
              <w:tc>
                <w:tcPr>
                  <w:tcW w:w="624"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858" w:type="dxa"/>
                  <w:vAlign w:val="center"/>
                </w:tcPr>
                <w:p>
                  <w:pPr>
                    <w:pStyle w:val="57"/>
                    <w:rPr>
                      <w:rFonts w:hint="default" w:ascii="Times New Roman" w:hAnsi="Times New Roman" w:eastAsia="宋体" w:cs="Times New Roman"/>
                      <w:color w:val="auto"/>
                      <w:sz w:val="21"/>
                      <w:szCs w:val="21"/>
                      <w:highlight w:val="none"/>
                      <w:u w:val="none"/>
                      <w:lang w:val="en-US" w:eastAsia="zh-CN"/>
                    </w:rPr>
                  </w:pPr>
                  <w:r>
                    <w:rPr>
                      <w:rFonts w:hint="eastAsia" w:ascii="Times New Roman" w:cs="Times New Roman"/>
                      <w:color w:val="auto"/>
                      <w:sz w:val="21"/>
                      <w:szCs w:val="21"/>
                      <w:highlight w:val="none"/>
                      <w:u w:val="none"/>
                      <w:lang w:val="en-US" w:eastAsia="zh-CN"/>
                    </w:rPr>
                    <w:t>85</w:t>
                  </w:r>
                </w:p>
              </w:tc>
              <w:tc>
                <w:tcPr>
                  <w:tcW w:w="137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选择低噪声设备、</w:t>
                  </w:r>
                  <w:r>
                    <w:rPr>
                      <w:rFonts w:hint="eastAsia" w:cs="Times New Roman"/>
                      <w:color w:val="auto"/>
                      <w:sz w:val="21"/>
                      <w:szCs w:val="21"/>
                      <w:highlight w:val="none"/>
                      <w:lang w:eastAsia="zh-CN"/>
                    </w:rPr>
                    <w:t>减振</w:t>
                  </w:r>
                </w:p>
              </w:tc>
              <w:tc>
                <w:tcPr>
                  <w:tcW w:w="68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780" w:type="dxa"/>
                  <w:shd w:val="clear" w:color="auto" w:fill="auto"/>
                  <w:vAlign w:val="center"/>
                </w:tcPr>
                <w:p>
                  <w:pPr>
                    <w:pStyle w:val="57"/>
                    <w:ind w:left="0" w:leftChars="0"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cs="Times New Roman"/>
                      <w:color w:val="auto"/>
                      <w:sz w:val="21"/>
                      <w:szCs w:val="21"/>
                      <w:highlight w:val="none"/>
                      <w:u w:val="none"/>
                      <w:lang w:val="en-US" w:eastAsia="zh-CN"/>
                    </w:rPr>
                    <w:t>75</w:t>
                  </w:r>
                </w:p>
              </w:tc>
              <w:tc>
                <w:tcPr>
                  <w:tcW w:w="939" w:type="dxa"/>
                  <w:shd w:val="clear" w:color="auto" w:fill="auto"/>
                  <w:vAlign w:val="center"/>
                </w:tcPr>
                <w:p>
                  <w:pPr>
                    <w:jc w:val="center"/>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8663" w:type="dxa"/>
                  <w:gridSpan w:val="10"/>
                  <w:vAlign w:val="center"/>
                </w:tcPr>
                <w:p>
                  <w:pPr>
                    <w:tabs>
                      <w:tab w:val="left" w:pos="4810"/>
                      <w:tab w:val="center" w:pos="6450"/>
                    </w:tabs>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注：以厂区</w:t>
                  </w:r>
                  <w:r>
                    <w:rPr>
                      <w:rFonts w:hint="default" w:ascii="Times New Roman" w:hAnsi="Times New Roman" w:eastAsia="宋体" w:cs="Times New Roman"/>
                      <w:bCs/>
                      <w:color w:val="auto"/>
                      <w:sz w:val="21"/>
                      <w:szCs w:val="21"/>
                      <w:highlight w:val="none"/>
                      <w:lang w:val="en-US" w:eastAsia="zh-CN"/>
                    </w:rPr>
                    <w:t>中心</w:t>
                  </w:r>
                  <w:r>
                    <w:rPr>
                      <w:rFonts w:hint="default" w:ascii="Times New Roman" w:hAnsi="Times New Roman" w:eastAsia="宋体" w:cs="Times New Roman"/>
                      <w:bCs/>
                      <w:color w:val="auto"/>
                      <w:sz w:val="21"/>
                      <w:szCs w:val="21"/>
                      <w:highlight w:val="none"/>
                    </w:rPr>
                    <w:t>点为坐标原点。</w:t>
                  </w:r>
                </w:p>
              </w:tc>
            </w:tr>
          </w:tbl>
          <w:tbl>
            <w:tblPr>
              <w:tblStyle w:val="33"/>
              <w:tblW w:w="84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8408" w:type="dxa"/>
                  <w:tcBorders>
                    <w:tl2br w:val="nil"/>
                    <w:tr2bl w:val="nil"/>
                  </w:tcBorders>
                  <w:noWrap w:val="0"/>
                  <w:vAlign w:val="center"/>
                </w:tcPr>
                <w:p>
                  <w:pPr>
                    <w:pStyle w:val="72"/>
                    <w:keepNext/>
                    <w:keepLines/>
                    <w:adjustRightInd w:val="0"/>
                    <w:snapToGrid w:val="0"/>
                    <w:jc w:val="left"/>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注：以厂区</w:t>
                  </w:r>
                  <w:r>
                    <w:rPr>
                      <w:rFonts w:hint="default" w:ascii="Times New Roman" w:hAnsi="Times New Roman" w:eastAsia="宋体" w:cs="Times New Roman"/>
                      <w:bCs/>
                      <w:color w:val="auto"/>
                      <w:sz w:val="21"/>
                      <w:szCs w:val="21"/>
                      <w:highlight w:val="none"/>
                      <w:lang w:val="en-US" w:eastAsia="zh-CN"/>
                    </w:rPr>
                    <w:t>中心</w:t>
                  </w:r>
                  <w:r>
                    <w:rPr>
                      <w:rFonts w:hint="default" w:ascii="Times New Roman" w:hAnsi="Times New Roman" w:eastAsia="宋体" w:cs="Times New Roman"/>
                      <w:bCs/>
                      <w:color w:val="auto"/>
                      <w:sz w:val="21"/>
                      <w:szCs w:val="21"/>
                      <w:highlight w:val="none"/>
                    </w:rPr>
                    <w:t>点为坐标原点。</w:t>
                  </w:r>
                </w:p>
              </w:tc>
            </w:tr>
          </w:tbl>
          <w:p>
            <w:pPr>
              <w:pStyle w:val="54"/>
              <w:numPr>
                <w:ilvl w:val="0"/>
                <w:numId w:val="12"/>
              </w:num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噪声环境影响预测</w:t>
            </w:r>
          </w:p>
          <w:p>
            <w:pPr>
              <w:adjustRightInd w:val="0"/>
              <w:snapToGrid w:val="0"/>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根据《环境影响评价技术导则 声环境》（HJ2.4—2021）的要求，分析厂界环境质量达标情况。本项目声环境影响预测模型采用导则中附录A（规范性附录）户外声传播的衰减和附录 B（规范性附中“B.1工业噪声预测计算模型”。</w:t>
            </w:r>
          </w:p>
          <w:p>
            <w:pPr>
              <w:pStyle w:val="9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建设项目声源在预测点产生的等效声级贡献值（L</w:t>
            </w:r>
            <w:r>
              <w:rPr>
                <w:rFonts w:hint="default" w:ascii="Times New Roman" w:hAnsi="Times New Roman" w:eastAsia="宋体" w:cs="Times New Roman"/>
                <w:color w:val="auto"/>
                <w:highlight w:val="none"/>
                <w:vertAlign w:val="subscript"/>
              </w:rPr>
              <w:t>eqg</w:t>
            </w:r>
            <w:r>
              <w:rPr>
                <w:rFonts w:hint="default" w:ascii="Times New Roman" w:hAnsi="Times New Roman" w:eastAsia="宋体" w:cs="Times New Roman"/>
                <w:color w:val="auto"/>
                <w:highlight w:val="none"/>
              </w:rPr>
              <w:t>）计算公式：</w:t>
            </w:r>
          </w:p>
          <w:p>
            <w:pPr>
              <w:pStyle w:val="95"/>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332355" cy="600710"/>
                  <wp:effectExtent l="0" t="0" r="4445" b="889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9"/>
                          <a:stretch>
                            <a:fillRect/>
                          </a:stretch>
                        </pic:blipFill>
                        <pic:spPr>
                          <a:xfrm>
                            <a:off x="0" y="0"/>
                            <a:ext cx="2332355" cy="600710"/>
                          </a:xfrm>
                          <a:prstGeom prst="rect">
                            <a:avLst/>
                          </a:prstGeom>
                          <a:noFill/>
                          <a:ln>
                            <a:noFill/>
                          </a:ln>
                        </pic:spPr>
                      </pic:pic>
                    </a:graphicData>
                  </a:graphic>
                </wp:inline>
              </w:drawing>
            </w:r>
          </w:p>
          <w:p>
            <w:pPr>
              <w:pStyle w:val="9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w:t>
            </w:r>
            <w:r>
              <w:rPr>
                <w:rFonts w:hint="default" w:ascii="Times New Roman" w:hAnsi="Times New Roman" w:eastAsia="宋体" w:cs="Times New Roman"/>
                <w:color w:val="auto"/>
                <w:highlight w:val="none"/>
                <w:vertAlign w:val="subscript"/>
              </w:rPr>
              <w:t>eqg</w:t>
            </w:r>
            <w:r>
              <w:rPr>
                <w:rFonts w:hint="default" w:ascii="Times New Roman" w:hAnsi="Times New Roman" w:eastAsia="宋体" w:cs="Times New Roman"/>
                <w:color w:val="auto"/>
                <w:highlight w:val="none"/>
              </w:rPr>
              <w:t>——噪声贡献值，dB；</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Ai</w:t>
            </w:r>
            <w:r>
              <w:rPr>
                <w:rFonts w:hint="default" w:ascii="Times New Roman" w:hAnsi="Times New Roman" w:eastAsia="宋体" w:cs="Times New Roman"/>
                <w:color w:val="auto"/>
                <w:highlight w:val="none"/>
              </w:rPr>
              <w:t>——i声源在预测点产生的等效连续A声级，dB；</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T——预测计算的时间段，s；</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——i声源在T时段内的运行时间，s。</w:t>
            </w:r>
          </w:p>
          <w:p>
            <w:pPr>
              <w:pStyle w:val="9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预测点的预测等效声级（Leq）计算公式：</w:t>
            </w:r>
          </w:p>
          <w:p>
            <w:pPr>
              <w:pStyle w:val="95"/>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rPr>
              <w:drawing>
                <wp:inline distT="0" distB="0" distL="114300" distR="114300">
                  <wp:extent cx="2723515" cy="434975"/>
                  <wp:effectExtent l="0" t="0" r="6985"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0"/>
                          <a:stretch>
                            <a:fillRect/>
                          </a:stretch>
                        </pic:blipFill>
                        <pic:spPr>
                          <a:xfrm>
                            <a:off x="0" y="0"/>
                            <a:ext cx="2723515" cy="434975"/>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t xml:space="preserve"> </w:t>
            </w:r>
          </w:p>
          <w:p>
            <w:pPr>
              <w:pStyle w:val="9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w:t>
            </w:r>
            <w:r>
              <w:rPr>
                <w:rFonts w:hint="default" w:ascii="Times New Roman" w:hAnsi="Times New Roman" w:eastAsia="宋体" w:cs="Times New Roman"/>
                <w:color w:val="auto"/>
                <w:highlight w:val="none"/>
                <w:vertAlign w:val="subscript"/>
              </w:rPr>
              <w:t>eq</w:t>
            </w:r>
            <w:r>
              <w:rPr>
                <w:rFonts w:hint="default" w:ascii="Times New Roman" w:hAnsi="Times New Roman" w:eastAsia="宋体" w:cs="Times New Roman"/>
                <w:color w:val="auto"/>
                <w:highlight w:val="none"/>
              </w:rPr>
              <w:t>——预测点的噪声预测值，dB；</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eqg</w:t>
            </w:r>
            <w:r>
              <w:rPr>
                <w:rFonts w:hint="default" w:ascii="Times New Roman" w:hAnsi="Times New Roman" w:eastAsia="宋体" w:cs="Times New Roman"/>
                <w:color w:val="auto"/>
                <w:highlight w:val="none"/>
              </w:rPr>
              <w:t>——建设项目声源在预测点产生的噪声贡献值，dB；</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eqb</w:t>
            </w:r>
            <w:r>
              <w:rPr>
                <w:rFonts w:hint="default" w:ascii="Times New Roman" w:hAnsi="Times New Roman" w:eastAsia="宋体" w:cs="Times New Roman"/>
                <w:color w:val="auto"/>
                <w:highlight w:val="none"/>
              </w:rPr>
              <w:t>——预测点的背景噪声值，dB。</w:t>
            </w:r>
          </w:p>
          <w:p>
            <w:pPr>
              <w:pStyle w:val="9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点声源衰减模式：</w:t>
            </w:r>
          </w:p>
          <w:p>
            <w:pPr>
              <w:pStyle w:val="95"/>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2226945" cy="306070"/>
                  <wp:effectExtent l="0" t="0" r="8255" b="1143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1"/>
                          <a:stretch>
                            <a:fillRect/>
                          </a:stretch>
                        </pic:blipFill>
                        <pic:spPr>
                          <a:xfrm>
                            <a:off x="0" y="0"/>
                            <a:ext cx="2226945" cy="306070"/>
                          </a:xfrm>
                          <a:prstGeom prst="rect">
                            <a:avLst/>
                          </a:prstGeom>
                          <a:noFill/>
                          <a:ln>
                            <a:noFill/>
                          </a:ln>
                        </pic:spPr>
                      </pic:pic>
                    </a:graphicData>
                  </a:graphic>
                </wp:inline>
              </w:drawing>
            </w:r>
          </w:p>
          <w:p>
            <w:pPr>
              <w:pStyle w:val="9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w:t>
            </w:r>
            <w:r>
              <w:rPr>
                <w:rFonts w:hint="default" w:ascii="Times New Roman" w:hAnsi="Times New Roman" w:eastAsia="宋体" w:cs="Times New Roman"/>
                <w:color w:val="auto"/>
                <w:highlight w:val="none"/>
                <w:vertAlign w:val="subscript"/>
              </w:rPr>
              <w:t>p</w:t>
            </w:r>
            <w:r>
              <w:rPr>
                <w:rFonts w:hint="default" w:ascii="Times New Roman" w:hAnsi="Times New Roman" w:eastAsia="宋体" w:cs="Times New Roman"/>
                <w:color w:val="auto"/>
                <w:highlight w:val="none"/>
              </w:rPr>
              <w:t>（r）——预测点处声压级，dB；</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p</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——参考位置r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处的声压级，dB；</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95"/>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——参考位置距声源的距离。</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取本项目噪声源处衰减1m处的噪声值为本项目生产设备噪声源排放值，经上述公式计算，噪声衰减结果见表4-</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w:t>
            </w:r>
          </w:p>
          <w:p>
            <w:pPr>
              <w:jc w:val="center"/>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表4-</w:t>
            </w:r>
            <w:r>
              <w:rPr>
                <w:rFonts w:hint="eastAsia" w:cs="Times New Roman"/>
                <w:b/>
                <w:color w:val="auto"/>
                <w:sz w:val="22"/>
                <w:szCs w:val="22"/>
                <w:highlight w:val="none"/>
                <w:lang w:val="en-US" w:eastAsia="zh-CN"/>
              </w:rPr>
              <w:t>7</w:t>
            </w:r>
            <w:r>
              <w:rPr>
                <w:rFonts w:hint="default" w:ascii="Times New Roman" w:hAnsi="Times New Roman" w:eastAsia="宋体" w:cs="Times New Roman"/>
                <w:b/>
                <w:color w:val="auto"/>
                <w:sz w:val="22"/>
                <w:szCs w:val="22"/>
                <w:highlight w:val="none"/>
              </w:rPr>
              <w:t xml:space="preserve"> 噪声预测结果       单位：dB（A）</w:t>
            </w:r>
          </w:p>
          <w:tbl>
            <w:tblPr>
              <w:tblStyle w:val="33"/>
              <w:tblW w:w="86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908"/>
              <w:gridCol w:w="2014"/>
              <w:gridCol w:w="1626"/>
              <w:gridCol w:w="1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预测点位</w:t>
                  </w: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预测时段</w:t>
                  </w:r>
                </w:p>
              </w:tc>
              <w:tc>
                <w:tcPr>
                  <w:tcW w:w="2014"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预测点距离</w:t>
                  </w: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1537"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14"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厂界外1m处</w:t>
                  </w:r>
                </w:p>
              </w:tc>
              <w:tc>
                <w:tcPr>
                  <w:tcW w:w="1626"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42</w:t>
                  </w:r>
                </w:p>
              </w:tc>
              <w:tc>
                <w:tcPr>
                  <w:tcW w:w="153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2014"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42</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1579"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14"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厂界外1m处</w:t>
                  </w: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40</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2014"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40</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14"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厂界外1m处</w:t>
                  </w: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41</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2014"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41</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14" w:type="dxa"/>
                  <w:vMerge w:val="restart"/>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厂界外1m处</w:t>
                  </w: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40</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79"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908" w:type="dxa"/>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2014" w:type="dxa"/>
                  <w:vMerge w:val="continue"/>
                  <w:tcBorders>
                    <w:tl2br w:val="nil"/>
                    <w:tr2bl w:val="nil"/>
                  </w:tcBorders>
                  <w:vAlign w:val="center"/>
                </w:tcPr>
                <w:p>
                  <w:pPr>
                    <w:pStyle w:val="61"/>
                    <w:spacing w:beforeLines="0" w:afterLines="0" w:line="240" w:lineRule="auto"/>
                    <w:ind w:left="0" w:leftChars="0" w:right="0" w:rightChars="0" w:firstLine="0" w:firstLineChars="0"/>
                    <w:rPr>
                      <w:rFonts w:hint="default" w:ascii="Times New Roman" w:hAnsi="Times New Roman" w:eastAsia="宋体" w:cs="Times New Roman"/>
                      <w:color w:val="auto"/>
                      <w:sz w:val="21"/>
                      <w:szCs w:val="21"/>
                      <w:highlight w:val="none"/>
                    </w:rPr>
                  </w:pPr>
                </w:p>
              </w:tc>
              <w:tc>
                <w:tcPr>
                  <w:tcW w:w="1626" w:type="dxa"/>
                  <w:tcBorders>
                    <w:tl2br w:val="nil"/>
                    <w:tr2bl w:val="nil"/>
                  </w:tcBorders>
                  <w:vAlign w:val="center"/>
                </w:tcPr>
                <w:p>
                  <w:pPr>
                    <w:pStyle w:val="61"/>
                    <w:spacing w:beforeLines="0" w:afterLines="0" w:line="240" w:lineRule="auto"/>
                    <w:ind w:left="0" w:leftChars="0" w:right="0" w:rightChars="0" w:firstLine="0" w:firstLineChars="0"/>
                    <w:rPr>
                      <w:rFonts w:hint="default" w:hAnsi="Times New Roman" w:cs="Times New Roman"/>
                      <w:color w:val="auto"/>
                      <w:sz w:val="21"/>
                      <w:szCs w:val="21"/>
                      <w:highlight w:val="none"/>
                      <w:u w:val="none"/>
                      <w:vertAlign w:val="baseline"/>
                      <w:lang w:val="en-US" w:eastAsia="zh-CN"/>
                    </w:rPr>
                  </w:pPr>
                  <w:r>
                    <w:rPr>
                      <w:rFonts w:hint="eastAsia" w:hAnsi="Times New Roman" w:cs="Times New Roman"/>
                      <w:color w:val="auto"/>
                      <w:sz w:val="21"/>
                      <w:szCs w:val="21"/>
                      <w:highlight w:val="none"/>
                      <w:u w:val="none"/>
                      <w:vertAlign w:val="baseline"/>
                      <w:lang w:val="en-US" w:eastAsia="zh-CN"/>
                    </w:rPr>
                    <w:t>40</w:t>
                  </w:r>
                </w:p>
              </w:tc>
              <w:tc>
                <w:tcPr>
                  <w:tcW w:w="1537"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根据预测结果，本项目设备噪声经厂房隔声等措施，并优化厂区布置，运输车辆作业位置尽量靠近厂区中部，工厂作业噪声对各厂界的贡献值都很小。本项目北侧、</w:t>
            </w:r>
            <w:r>
              <w:rPr>
                <w:rFonts w:hint="default" w:ascii="Times New Roman" w:hAnsi="Times New Roman" w:eastAsia="宋体" w:cs="Times New Roman"/>
                <w:color w:val="auto"/>
                <w:highlight w:val="none"/>
                <w:lang w:val="en-US" w:eastAsia="zh-CN"/>
              </w:rPr>
              <w:t>西</w:t>
            </w:r>
            <w:r>
              <w:rPr>
                <w:rFonts w:hint="default" w:ascii="Times New Roman" w:hAnsi="Times New Roman" w:eastAsia="宋体" w:cs="Times New Roman"/>
                <w:color w:val="auto"/>
                <w:highlight w:val="none"/>
              </w:rPr>
              <w:t>侧和东侧厂界噪声符合《工业企业厂界环境噪声排放标准》（GB12348-2008）表1中2类标准</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南侧</w:t>
            </w:r>
            <w:r>
              <w:rPr>
                <w:rFonts w:hint="default" w:ascii="Times New Roman" w:hAnsi="Times New Roman" w:eastAsia="宋体" w:cs="Times New Roman"/>
                <w:color w:val="auto"/>
                <w:highlight w:val="none"/>
              </w:rPr>
              <w:t>厂界噪声符合《工业企业厂界环境噪声排放标准》（GB12348-2008）表1中</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类标准。本项目噪声对周围声环境造成的不利影响较小，可被环境接受。</w:t>
            </w:r>
          </w:p>
          <w:p>
            <w:pPr>
              <w:pStyle w:val="54"/>
              <w:numPr>
                <w:ilvl w:val="0"/>
                <w:numId w:val="12"/>
              </w:numPr>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噪声污染防治措施</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项目运营期设备噪声主要来源于机械设备噪声，其噪声值</w:t>
            </w:r>
            <w:r>
              <w:rPr>
                <w:rFonts w:hint="default" w:ascii="Times New Roman" w:hAnsi="Times New Roman" w:eastAsia="宋体" w:cs="Times New Roman"/>
                <w:color w:val="auto"/>
                <w:highlight w:val="none"/>
                <w:u w:val="none"/>
              </w:rPr>
              <w:t>在</w:t>
            </w:r>
            <w:r>
              <w:rPr>
                <w:rFonts w:hint="eastAsia" w:cs="Times New Roman"/>
                <w:color w:val="auto"/>
                <w:highlight w:val="none"/>
                <w:u w:val="none"/>
                <w:lang w:val="en-US" w:eastAsia="zh-CN"/>
              </w:rPr>
              <w:t>75</w:t>
            </w:r>
            <w:r>
              <w:rPr>
                <w:rFonts w:hint="default" w:ascii="Times New Roman" w:hAnsi="Times New Roman" w:eastAsia="宋体" w:cs="Times New Roman"/>
                <w:color w:val="auto"/>
                <w:highlight w:val="none"/>
                <w:u w:val="none"/>
              </w:rPr>
              <w:t>～85dB（A）之</w:t>
            </w:r>
            <w:r>
              <w:rPr>
                <w:rFonts w:hint="default" w:ascii="Times New Roman" w:hAnsi="Times New Roman" w:eastAsia="宋体" w:cs="Times New Roman"/>
                <w:color w:val="auto"/>
                <w:highlight w:val="none"/>
              </w:rPr>
              <w:t>间。结合同类项目的噪声防治措施，建议可以采取以下措施进行防护：</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①优先选用符合生产要求的低噪声设备；</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②采取隔声等措施，例如铺设减振垫，减轻振动；</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③设备合理布局，加强厂区绿化；</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④建立设备定期维护，保养的管理制度，以防止设备故障形成的非正常生产噪声，同时确保环保措施发挥最佳有效的功能；</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⑤项目生产活动在白天进行，生产时间安排合理。</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预测结果表明，采取噪声治理措施后，本项目北侧、</w:t>
            </w:r>
            <w:r>
              <w:rPr>
                <w:rFonts w:hint="default" w:ascii="Times New Roman" w:hAnsi="Times New Roman" w:eastAsia="宋体" w:cs="Times New Roman"/>
                <w:color w:val="auto"/>
                <w:highlight w:val="none"/>
                <w:lang w:val="en-US" w:eastAsia="zh-CN"/>
              </w:rPr>
              <w:t>西</w:t>
            </w:r>
            <w:r>
              <w:rPr>
                <w:rFonts w:hint="default" w:ascii="Times New Roman" w:hAnsi="Times New Roman" w:eastAsia="宋体" w:cs="Times New Roman"/>
                <w:color w:val="auto"/>
                <w:highlight w:val="none"/>
              </w:rPr>
              <w:t>侧和东侧厂界噪声符合《工业企业厂界环境噪声排放标准》（GB12348-2008）表1中2类标准</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南侧</w:t>
            </w:r>
            <w:r>
              <w:rPr>
                <w:rFonts w:hint="default" w:ascii="Times New Roman" w:hAnsi="Times New Roman" w:eastAsia="宋体" w:cs="Times New Roman"/>
                <w:color w:val="auto"/>
                <w:highlight w:val="none"/>
              </w:rPr>
              <w:t>厂界噪声符合《工业企业厂界环境噪声排放标准》（GB12348-2008）表1中</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类标准。</w:t>
            </w:r>
          </w:p>
          <w:p>
            <w:pPr>
              <w:pStyle w:val="30"/>
              <w:keepNext w:val="0"/>
              <w:keepLines w:val="0"/>
              <w:widowControl w:val="0"/>
              <w:suppressLineNumbers w:val="0"/>
              <w:snapToGrid/>
              <w:spacing w:before="0" w:beforeAutospacing="0" w:after="0" w:afterAutospacing="0" w:line="360" w:lineRule="auto"/>
              <w:ind w:left="0" w:right="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结合</w:t>
            </w:r>
            <w:r>
              <w:rPr>
                <w:rFonts w:hint="default" w:ascii="Times New Roman" w:hAnsi="Times New Roman" w:cs="Times New Roman"/>
                <w:color w:val="auto"/>
                <w:sz w:val="24"/>
                <w:szCs w:val="24"/>
                <w:highlight w:val="none"/>
                <w:lang w:val="en-US" w:eastAsia="zh-CN"/>
              </w:rPr>
              <w:t>黑龙江</w:t>
            </w:r>
            <w:r>
              <w:rPr>
                <w:rFonts w:hint="eastAsia" w:ascii="Times New Roman" w:hAnsi="Times New Roman" w:cs="Times New Roman"/>
                <w:color w:val="auto"/>
                <w:sz w:val="24"/>
                <w:szCs w:val="24"/>
                <w:highlight w:val="none"/>
                <w:lang w:val="en-US" w:eastAsia="zh-CN"/>
              </w:rPr>
              <w:t>汇川检测</w:t>
            </w:r>
            <w:r>
              <w:rPr>
                <w:rFonts w:hint="default" w:ascii="Times New Roman" w:hAnsi="Times New Roman" w:cs="Times New Roman"/>
                <w:color w:val="auto"/>
                <w:sz w:val="24"/>
                <w:szCs w:val="24"/>
                <w:highlight w:val="none"/>
                <w:lang w:val="en-US" w:eastAsia="zh-CN"/>
              </w:rPr>
              <w:t>有限公司</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日出具的敏感点现状检测报告，经上述公式计算，噪声预测结果见下表。</w:t>
            </w:r>
          </w:p>
          <w:p>
            <w:pPr>
              <w:wordWrap w:val="0"/>
              <w:adjustRightInd w:val="0"/>
              <w:snapToGrid w:val="0"/>
              <w:spacing w:line="240" w:lineRule="auto"/>
              <w:jc w:val="center"/>
              <w:rPr>
                <w:rFonts w:hint="default" w:ascii="Times New Roman" w:hAnsi="Times New Roman"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u w:val="none"/>
                <w:lang w:val="en-US" w:eastAsia="zh-CN"/>
              </w:rPr>
              <w:t>表4-</w:t>
            </w:r>
            <w:r>
              <w:rPr>
                <w:rFonts w:hint="eastAsia" w:cs="Times New Roman"/>
                <w:b/>
                <w:color w:val="auto"/>
                <w:sz w:val="21"/>
                <w:szCs w:val="21"/>
                <w:highlight w:val="none"/>
                <w:u w:val="none"/>
                <w:lang w:val="en-US" w:eastAsia="zh-CN"/>
              </w:rPr>
              <w:t>8</w:t>
            </w:r>
            <w:r>
              <w:rPr>
                <w:rFonts w:hint="eastAsia" w:ascii="Times New Roman" w:hAnsi="Times New Roman" w:eastAsia="宋体" w:cs="Times New Roman"/>
                <w:b/>
                <w:color w:val="auto"/>
                <w:sz w:val="21"/>
                <w:szCs w:val="21"/>
                <w:highlight w:val="none"/>
                <w:u w:val="none"/>
                <w:lang w:val="en-US" w:eastAsia="zh-CN"/>
              </w:rPr>
              <w:t xml:space="preserve"> </w:t>
            </w:r>
            <w:r>
              <w:rPr>
                <w:rFonts w:hint="default" w:ascii="Times New Roman" w:hAnsi="Times New Roman" w:eastAsia="宋体" w:cs="Times New Roman"/>
                <w:b/>
                <w:color w:val="auto"/>
                <w:sz w:val="21"/>
                <w:szCs w:val="21"/>
                <w:highlight w:val="none"/>
                <w:u w:val="none"/>
                <w:lang w:val="en-US" w:eastAsia="zh-CN"/>
              </w:rPr>
              <w:t>敏感点噪声预测结果单位：dB(A)</w:t>
            </w:r>
          </w:p>
          <w:tbl>
            <w:tblPr>
              <w:tblStyle w:val="32"/>
              <w:tblW w:w="8669"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765"/>
              <w:gridCol w:w="738"/>
              <w:gridCol w:w="638"/>
              <w:gridCol w:w="684"/>
              <w:gridCol w:w="713"/>
              <w:gridCol w:w="732"/>
              <w:gridCol w:w="735"/>
              <w:gridCol w:w="761"/>
              <w:gridCol w:w="698"/>
              <w:gridCol w:w="648"/>
              <w:gridCol w:w="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33" w:type="dxa"/>
                <w:trHeight w:val="374" w:hRule="exact"/>
                <w:jc w:val="center"/>
              </w:trPr>
              <w:tc>
                <w:tcPr>
                  <w:tcW w:w="152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150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贡献值</w:t>
                  </w:r>
                </w:p>
              </w:tc>
              <w:tc>
                <w:tcPr>
                  <w:tcW w:w="132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现状值</w:t>
                  </w:r>
                </w:p>
              </w:tc>
              <w:tc>
                <w:tcPr>
                  <w:tcW w:w="1445"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预测</w:t>
                  </w:r>
                  <w:r>
                    <w:rPr>
                      <w:rFonts w:hint="default" w:ascii="Times New Roman" w:hAnsi="Times New Roman" w:eastAsia="宋体" w:cs="Times New Roman"/>
                      <w:color w:val="auto"/>
                      <w:kern w:val="0"/>
                      <w:sz w:val="21"/>
                      <w:szCs w:val="21"/>
                      <w:highlight w:val="none"/>
                    </w:rPr>
                    <w:t>值</w:t>
                  </w:r>
                </w:p>
              </w:tc>
              <w:tc>
                <w:tcPr>
                  <w:tcW w:w="1496"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较现状增量</w:t>
                  </w:r>
                </w:p>
              </w:tc>
              <w:tc>
                <w:tcPr>
                  <w:tcW w:w="1346"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9" w:hRule="exact"/>
                <w:jc w:val="center"/>
              </w:trPr>
              <w:tc>
                <w:tcPr>
                  <w:tcW w:w="152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765"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 w:val="21"/>
                      <w:szCs w:val="21"/>
                      <w:highlight w:val="none"/>
                    </w:rPr>
                    <w:t>昼间</w:t>
                  </w:r>
                </w:p>
              </w:tc>
              <w:tc>
                <w:tcPr>
                  <w:tcW w:w="738"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638"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 w:val="21"/>
                      <w:szCs w:val="21"/>
                      <w:highlight w:val="none"/>
                    </w:rPr>
                    <w:t>昼间</w:t>
                  </w:r>
                </w:p>
              </w:tc>
              <w:tc>
                <w:tcPr>
                  <w:tcW w:w="684"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713"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 w:val="21"/>
                      <w:szCs w:val="21"/>
                      <w:highlight w:val="none"/>
                    </w:rPr>
                    <w:t>昼间</w:t>
                  </w:r>
                </w:p>
              </w:tc>
              <w:tc>
                <w:tcPr>
                  <w:tcW w:w="732"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735"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昼间</w:t>
                  </w:r>
                </w:p>
              </w:tc>
              <w:tc>
                <w:tcPr>
                  <w:tcW w:w="761"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698"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bCs/>
                      <w:color w:val="auto"/>
                      <w:sz w:val="21"/>
                      <w:szCs w:val="21"/>
                      <w:highlight w:val="none"/>
                    </w:rPr>
                    <w:t>昼间</w:t>
                  </w:r>
                </w:p>
              </w:tc>
              <w:tc>
                <w:tcPr>
                  <w:tcW w:w="681" w:type="dxa"/>
                  <w:gridSpan w:val="2"/>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6" w:hRule="exact"/>
                <w:jc w:val="center"/>
              </w:trPr>
              <w:tc>
                <w:tcPr>
                  <w:tcW w:w="1524" w:type="dxa"/>
                  <w:tcBorders>
                    <w:tl2br w:val="nil"/>
                    <w:tr2bl w:val="nil"/>
                  </w:tcBorders>
                  <w:noWrap w:val="0"/>
                  <w:vAlign w:val="center"/>
                </w:tcPr>
                <w:p>
                  <w:pPr>
                    <w:adjustRightInd/>
                    <w:snapToGrid/>
                    <w:spacing w:after="0"/>
                    <w:contextualSpacing/>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olor w:val="000000" w:themeColor="text1"/>
                      <w:sz w:val="21"/>
                      <w:szCs w:val="21"/>
                      <w:highlight w:val="none"/>
                      <w14:textFill>
                        <w14:solidFill>
                          <w14:schemeClr w14:val="tx1"/>
                        </w14:solidFill>
                      </w14:textFill>
                    </w:rPr>
                    <w:t>厂界</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西</w:t>
                  </w:r>
                  <w:r>
                    <w:rPr>
                      <w:rFonts w:hint="eastAsia" w:ascii="Times New Roman" w:hAnsi="Times New Roman" w:eastAsia="宋体"/>
                      <w:color w:val="000000" w:themeColor="text1"/>
                      <w:sz w:val="21"/>
                      <w:szCs w:val="21"/>
                      <w:highlight w:val="none"/>
                      <w14:textFill>
                        <w14:solidFill>
                          <w14:schemeClr w14:val="tx1"/>
                        </w14:solidFill>
                      </w14:textFill>
                    </w:rPr>
                    <w:t>侧</w:t>
                  </w:r>
                  <w:r>
                    <w:rPr>
                      <w:rFonts w:hint="eastAsia" w:ascii="Times New Roman" w:hAnsi="Times New Roman" w:eastAsia="宋体" w:cs="Times New Roman"/>
                      <w:color w:val="auto"/>
                      <w:sz w:val="21"/>
                      <w:szCs w:val="21"/>
                      <w:highlight w:val="none"/>
                      <w:lang w:val="en-US" w:eastAsia="zh-CN"/>
                    </w:rPr>
                    <w:t>嘉荫县应急管理局</w:t>
                  </w:r>
                </w:p>
              </w:tc>
              <w:tc>
                <w:tcPr>
                  <w:tcW w:w="765" w:type="dxa"/>
                  <w:tcBorders>
                    <w:right w:val="single" w:color="auto" w:sz="4" w:space="0"/>
                    <w:tl2br w:val="nil"/>
                    <w:tr2bl w:val="nil"/>
                  </w:tcBorders>
                  <w:noWrap w:val="0"/>
                  <w:vAlign w:val="center"/>
                </w:tcPr>
                <w:p>
                  <w:pPr>
                    <w:pStyle w:val="38"/>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38</w:t>
                  </w:r>
                </w:p>
              </w:tc>
              <w:tc>
                <w:tcPr>
                  <w:tcW w:w="738" w:type="dxa"/>
                  <w:tcBorders>
                    <w:left w:val="single" w:color="auto" w:sz="4" w:space="0"/>
                    <w:tl2br w:val="nil"/>
                    <w:tr2bl w:val="nil"/>
                  </w:tcBorders>
                  <w:noWrap w:val="0"/>
                  <w:vAlign w:val="center"/>
                </w:tcPr>
                <w:p>
                  <w:pPr>
                    <w:pStyle w:val="38"/>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38</w:t>
                  </w:r>
                </w:p>
              </w:tc>
              <w:tc>
                <w:tcPr>
                  <w:tcW w:w="638" w:type="dxa"/>
                  <w:tcBorders>
                    <w:right w:val="single" w:color="auto" w:sz="4" w:space="0"/>
                    <w:tl2br w:val="nil"/>
                    <w:tr2bl w:val="nil"/>
                  </w:tcBorders>
                  <w:shd w:val="clear" w:color="auto" w:fill="auto"/>
                  <w:noWrap w:val="0"/>
                  <w:vAlign w:val="center"/>
                </w:tcPr>
                <w:p>
                  <w:pPr>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z w:val="21"/>
                      <w:szCs w:val="21"/>
                      <w:highlight w:val="none"/>
                      <w:lang w:val="en-US" w:eastAsia="zh-CN"/>
                    </w:rPr>
                    <w:t>53</w:t>
                  </w:r>
                </w:p>
              </w:tc>
              <w:tc>
                <w:tcPr>
                  <w:tcW w:w="684" w:type="dxa"/>
                  <w:tcBorders>
                    <w:left w:val="single" w:color="auto" w:sz="4" w:space="0"/>
                    <w:tl2br w:val="nil"/>
                    <w:tr2bl w:val="nil"/>
                  </w:tcBorders>
                  <w:shd w:val="clear" w:color="auto" w:fill="auto"/>
                  <w:noWrap w:val="0"/>
                  <w:vAlign w:val="center"/>
                </w:tcPr>
                <w:p>
                  <w:pPr>
                    <w:spacing w:after="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z w:val="21"/>
                      <w:szCs w:val="21"/>
                      <w:highlight w:val="none"/>
                      <w:lang w:val="en-US" w:eastAsia="zh-CN"/>
                    </w:rPr>
                    <w:t>40</w:t>
                  </w:r>
                </w:p>
              </w:tc>
              <w:tc>
                <w:tcPr>
                  <w:tcW w:w="713" w:type="dxa"/>
                  <w:tcBorders>
                    <w:right w:val="single" w:color="auto" w:sz="4" w:space="0"/>
                    <w:tl2br w:val="nil"/>
                    <w:tr2bl w:val="nil"/>
                  </w:tcBorders>
                  <w:noWrap w:val="0"/>
                  <w:vAlign w:val="center"/>
                </w:tcPr>
                <w:p>
                  <w:pPr>
                    <w:pStyle w:val="38"/>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53.14</w:t>
                  </w:r>
                </w:p>
              </w:tc>
              <w:tc>
                <w:tcPr>
                  <w:tcW w:w="732" w:type="dxa"/>
                  <w:tcBorders>
                    <w:left w:val="single" w:color="auto" w:sz="4" w:space="0"/>
                    <w:tl2br w:val="nil"/>
                    <w:tr2bl w:val="nil"/>
                  </w:tcBorders>
                  <w:noWrap w:val="0"/>
                  <w:vAlign w:val="center"/>
                </w:tcPr>
                <w:p>
                  <w:pPr>
                    <w:pStyle w:val="38"/>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42.12</w:t>
                  </w:r>
                </w:p>
              </w:tc>
              <w:tc>
                <w:tcPr>
                  <w:tcW w:w="735" w:type="dxa"/>
                  <w:tcBorders>
                    <w:right w:val="single" w:color="auto" w:sz="4" w:space="0"/>
                    <w:tl2br w:val="nil"/>
                    <w:tr2bl w:val="nil"/>
                  </w:tcBorders>
                  <w:noWrap w:val="0"/>
                  <w:vAlign w:val="center"/>
                </w:tcPr>
                <w:p>
                  <w:pPr>
                    <w:pStyle w:val="38"/>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+0.14</w:t>
                  </w:r>
                </w:p>
              </w:tc>
              <w:tc>
                <w:tcPr>
                  <w:tcW w:w="761" w:type="dxa"/>
                  <w:tcBorders>
                    <w:left w:val="single" w:color="auto" w:sz="4" w:space="0"/>
                    <w:tl2br w:val="nil"/>
                    <w:tr2bl w:val="nil"/>
                  </w:tcBorders>
                  <w:noWrap w:val="0"/>
                  <w:vAlign w:val="center"/>
                </w:tcPr>
                <w:p>
                  <w:pPr>
                    <w:pStyle w:val="38"/>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+2.12</w:t>
                  </w:r>
                </w:p>
              </w:tc>
              <w:tc>
                <w:tcPr>
                  <w:tcW w:w="698" w:type="dxa"/>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c>
                <w:tcPr>
                  <w:tcW w:w="681" w:type="dxa"/>
                  <w:gridSpan w:val="2"/>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pPr>
              <w:adjustRightInd w:val="0"/>
              <w:snapToGrid w:val="0"/>
              <w:spacing w:line="360" w:lineRule="auto"/>
              <w:ind w:firstLine="480" w:firstLineChars="200"/>
              <w:rPr>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由上表可知，本项目敏感点噪声满足《声环境质量标准》（GB3096-2008）中2类标准限值要求。</w:t>
            </w:r>
          </w:p>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⑥运输噪声防治措施</w:t>
            </w:r>
          </w:p>
          <w:p>
            <w:pPr>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企业应采取降低运输交通噪声的措施，禁止使用超过噪声限值的运输车辆，汽车运输机械设备应安装消声器和禁用高音喇叭，机动车辆必须加强维修和保养，保持技术性能良好，在经过运输道路沿途村落时，应限制鸣笛，合理安排运输车辆工作时间，22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00—次日6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00禁止运输工作，避免交通噪声对沿途村庄产生影响，控制行驶速度（保持在15km/h）的措施，降低运输噪声对沿线居民的影响。针对运输噪声通过低速行驶，合理安排运输时间、限制鸣笛等措施，可将对运输路线沿途居民的影响降至最低，因此，本项目建设对区域声环境的影响可以被环境所接受。</w:t>
            </w:r>
          </w:p>
          <w:p>
            <w:pPr>
              <w:pStyle w:val="54"/>
              <w:numPr>
                <w:ilvl w:val="0"/>
                <w:numId w:val="12"/>
              </w:num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监测计划</w:t>
            </w:r>
          </w:p>
          <w:p>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根据《排污单位自行监测技术指南 总则》（HJ819-2017）、《排污许可证申请与核发技术规范 水泥工业》（HJ847—2017）确定本项目环境监测计划。</w:t>
            </w:r>
            <w:r>
              <w:rPr>
                <w:rFonts w:hint="default" w:ascii="Times New Roman" w:hAnsi="Times New Roman" w:eastAsia="宋体" w:cs="Times New Roman"/>
                <w:color w:val="auto"/>
                <w:highlight w:val="none"/>
                <w:lang w:val="en-US" w:eastAsia="zh-CN"/>
              </w:rPr>
              <w:t>运行中由企业委托有资质单位进行监测并由企业专用环保资金提供相关监测费用。</w:t>
            </w:r>
          </w:p>
          <w:p>
            <w:pPr>
              <w:pStyle w:val="60"/>
              <w:numPr>
                <w:ilvl w:val="0"/>
                <w:numId w:val="0"/>
              </w:numP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表4-</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u w:val="none"/>
              </w:rPr>
              <w:t>噪声监测计划</w:t>
            </w:r>
          </w:p>
          <w:tbl>
            <w:tblPr>
              <w:tblStyle w:val="32"/>
              <w:tblW w:w="867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241"/>
              <w:gridCol w:w="1130"/>
              <w:gridCol w:w="890"/>
              <w:gridCol w:w="4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13"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监测要素</w:t>
                  </w:r>
                </w:p>
              </w:tc>
              <w:tc>
                <w:tcPr>
                  <w:tcW w:w="1241"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监测位置</w:t>
                  </w:r>
                </w:p>
              </w:tc>
              <w:tc>
                <w:tcPr>
                  <w:tcW w:w="1130"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监测项目</w:t>
                  </w:r>
                </w:p>
              </w:tc>
              <w:tc>
                <w:tcPr>
                  <w:tcW w:w="890"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监测频次</w:t>
                  </w:r>
                </w:p>
              </w:tc>
              <w:tc>
                <w:tcPr>
                  <w:tcW w:w="4199"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执行标准及其限值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13" w:type="dxa"/>
                  <w:vMerge w:val="restart"/>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噪声</w:t>
                  </w:r>
                </w:p>
              </w:tc>
              <w:tc>
                <w:tcPr>
                  <w:tcW w:w="1241"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rPr>
                    <w:t>厂界四周</w:t>
                  </w:r>
                  <w:r>
                    <w:rPr>
                      <w:rFonts w:hint="default" w:ascii="Times New Roman" w:hAnsi="Times New Roman" w:eastAsia="宋体" w:cs="Times New Roman"/>
                      <w:color w:val="auto"/>
                      <w:szCs w:val="21"/>
                      <w:highlight w:val="none"/>
                      <w:u w:val="none"/>
                      <w:lang w:val="en-US" w:eastAsia="zh-CN"/>
                    </w:rPr>
                    <w:t>1m</w:t>
                  </w:r>
                </w:p>
              </w:tc>
              <w:tc>
                <w:tcPr>
                  <w:tcW w:w="1130" w:type="dxa"/>
                  <w:vMerge w:val="restart"/>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等效连续A声级</w:t>
                  </w:r>
                </w:p>
              </w:tc>
              <w:tc>
                <w:tcPr>
                  <w:tcW w:w="890" w:type="dxa"/>
                  <w:vMerge w:val="restart"/>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1次/季</w:t>
                  </w:r>
                </w:p>
              </w:tc>
              <w:tc>
                <w:tcPr>
                  <w:tcW w:w="4199"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Cs w:val="21"/>
                      <w:highlight w:val="none"/>
                      <w:u w:val="none"/>
                    </w:rPr>
                    <w:t>《工业企业厂界环境噪声排放标准》（GB12348-2008）中2类</w:t>
                  </w:r>
                  <w:r>
                    <w:rPr>
                      <w:rFonts w:hint="eastAsia" w:cs="Times New Roman"/>
                      <w:color w:val="auto"/>
                      <w:szCs w:val="21"/>
                      <w:highlight w:val="none"/>
                      <w:u w:val="none"/>
                      <w:lang w:eastAsia="zh-CN"/>
                    </w:rPr>
                    <w:t>、</w:t>
                  </w:r>
                  <w:r>
                    <w:rPr>
                      <w:rFonts w:hint="eastAsia" w:cs="Times New Roman"/>
                      <w:color w:val="auto"/>
                      <w:szCs w:val="21"/>
                      <w:highlight w:val="none"/>
                      <w:u w:val="none"/>
                      <w:lang w:val="en-US" w:eastAsia="zh-CN"/>
                    </w:rPr>
                    <w:t>4类</w:t>
                  </w:r>
                  <w:r>
                    <w:rPr>
                      <w:rFonts w:hint="default" w:ascii="Times New Roman" w:hAnsi="Times New Roman" w:eastAsia="宋体" w:cs="Times New Roman"/>
                      <w:color w:val="auto"/>
                      <w:szCs w:val="21"/>
                      <w:highlight w:val="none"/>
                      <w:u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3" w:type="dxa"/>
                  <w:vMerge w:val="continue"/>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p>
              </w:tc>
              <w:tc>
                <w:tcPr>
                  <w:tcW w:w="1241"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eastAsia"/>
                      <w:bCs/>
                      <w:color w:val="000000" w:themeColor="text1"/>
                      <w:kern w:val="0"/>
                      <w:szCs w:val="21"/>
                      <w:lang w:val="en-US" w:eastAsia="zh-CN"/>
                      <w14:textFill>
                        <w14:solidFill>
                          <w14:schemeClr w14:val="tx1"/>
                        </w14:solidFill>
                      </w14:textFill>
                    </w:rPr>
                    <w:t>敏感点</w:t>
                  </w:r>
                </w:p>
              </w:tc>
              <w:tc>
                <w:tcPr>
                  <w:tcW w:w="1130" w:type="dxa"/>
                  <w:vMerge w:val="continue"/>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p>
              </w:tc>
              <w:tc>
                <w:tcPr>
                  <w:tcW w:w="890" w:type="dxa"/>
                  <w:vMerge w:val="continue"/>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p>
              </w:tc>
              <w:tc>
                <w:tcPr>
                  <w:tcW w:w="4199" w:type="dxa"/>
                  <w:tcBorders>
                    <w:tl2br w:val="nil"/>
                    <w:tr2bl w:val="nil"/>
                  </w:tcBorders>
                  <w:vAlign w:val="center"/>
                </w:tcPr>
                <w:p>
                  <w:pPr>
                    <w:pStyle w:val="72"/>
                    <w:keepNext/>
                    <w:keepLines/>
                    <w:adjustRightInd w:val="0"/>
                    <w:snapToGrid w:val="0"/>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z w:val="21"/>
                      <w:szCs w:val="21"/>
                      <w:highlight w:val="none"/>
                      <w:lang w:val="en-US" w:eastAsia="zh-CN"/>
                    </w:rPr>
                    <w:t>《声环境质量标准》（GB3096-2008）中2类标准限值要求</w:t>
                  </w:r>
                </w:p>
              </w:tc>
            </w:tr>
          </w:tbl>
          <w:p>
            <w:pPr>
              <w:pStyle w:val="54"/>
              <w:numPr>
                <w:ilvl w:val="0"/>
                <w:numId w:val="11"/>
              </w:numPr>
              <w:ind w:firstLine="482"/>
              <w:rPr>
                <w:b/>
                <w:bCs/>
                <w:color w:val="auto"/>
                <w:highlight w:val="none"/>
              </w:rPr>
            </w:pPr>
            <w:r>
              <w:rPr>
                <w:b/>
                <w:bCs/>
                <w:color w:val="auto"/>
                <w:highlight w:val="none"/>
              </w:rPr>
              <w:t>固体废物</w:t>
            </w:r>
          </w:p>
          <w:p>
            <w:pPr>
              <w:pStyle w:val="65"/>
              <w:adjustRightInd w:val="0"/>
              <w:snapToGrid w:val="0"/>
              <w:spacing w:before="0" w:beforeLines="0" w:line="360" w:lineRule="auto"/>
              <w:ind w:firstLine="480" w:firstLineChars="200"/>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本项目投产后产生的固体废弃物主要为除尘器收尘、沉淀池沉渣、砂和碎石混</w:t>
            </w:r>
            <w:r>
              <w:rPr>
                <w:rFonts w:hint="default" w:ascii="Times New Roman" w:hAnsi="Times New Roman" w:eastAsia="宋体" w:cs="Times New Roman"/>
                <w:b w:val="0"/>
                <w:bCs/>
                <w:color w:val="auto"/>
                <w:highlight w:val="none"/>
                <w:u w:val="none"/>
              </w:rPr>
              <w:t>合物</w:t>
            </w:r>
            <w:r>
              <w:rPr>
                <w:rFonts w:hint="eastAsia" w:cs="Times New Roman"/>
                <w:b w:val="0"/>
                <w:bCs/>
                <w:color w:val="auto"/>
                <w:highlight w:val="none"/>
                <w:u w:val="none"/>
                <w:lang w:eastAsia="zh-CN"/>
              </w:rPr>
              <w:t>、</w:t>
            </w:r>
            <w:r>
              <w:rPr>
                <w:rFonts w:hint="default" w:ascii="Times New Roman" w:hAnsi="Times New Roman" w:eastAsia="宋体" w:cs="Times New Roman"/>
                <w:b w:val="0"/>
                <w:bCs/>
                <w:color w:val="auto"/>
                <w:highlight w:val="none"/>
                <w:u w:val="none"/>
              </w:rPr>
              <w:t>实验室废料</w:t>
            </w:r>
            <w:r>
              <w:rPr>
                <w:rFonts w:hint="eastAsia" w:cs="Times New Roman"/>
                <w:b w:val="0"/>
                <w:bCs/>
                <w:color w:val="auto"/>
                <w:highlight w:val="none"/>
                <w:u w:val="none"/>
                <w:lang w:eastAsia="zh-CN"/>
              </w:rPr>
              <w:t>、</w:t>
            </w:r>
            <w:r>
              <w:rPr>
                <w:rFonts w:hint="default" w:ascii="Times New Roman" w:hAnsi="Times New Roman" w:eastAsia="宋体" w:cs="Times New Roman"/>
                <w:b w:val="0"/>
                <w:bCs/>
                <w:color w:val="auto"/>
                <w:sz w:val="24"/>
                <w:szCs w:val="24"/>
                <w:highlight w:val="none"/>
                <w:u w:val="none"/>
              </w:rPr>
              <w:t>废布袋</w:t>
            </w:r>
            <w:r>
              <w:rPr>
                <w:rFonts w:hint="eastAsia" w:cs="Times New Roman"/>
                <w:b w:val="0"/>
                <w:bCs/>
                <w:color w:val="auto"/>
                <w:highlight w:val="none"/>
                <w:u w:val="none"/>
                <w:lang w:eastAsia="zh-CN"/>
              </w:rPr>
              <w:t>，</w:t>
            </w:r>
          </w:p>
          <w:p>
            <w:pPr>
              <w:pStyle w:val="65"/>
              <w:adjustRightInd w:val="0"/>
              <w:snapToGrid w:val="0"/>
              <w:spacing w:before="0" w:beforeLines="0" w:line="360" w:lineRule="auto"/>
              <w:ind w:firstLine="480" w:firstLineChars="200"/>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（1）除尘器收尘</w:t>
            </w:r>
          </w:p>
          <w:p>
            <w:pPr>
              <w:pStyle w:val="65"/>
              <w:adjustRightInd w:val="0"/>
              <w:snapToGrid w:val="0"/>
              <w:spacing w:before="0" w:beforeLines="0" w:line="360" w:lineRule="auto"/>
              <w:ind w:firstLine="480" w:firstLineChars="200"/>
              <w:rPr>
                <w:rFonts w:hint="default" w:ascii="Times New Roman" w:hAnsi="Times New Roman" w:eastAsia="宋体" w:cs="Times New Roman"/>
                <w:b w:val="0"/>
                <w:bCs/>
                <w:color w:val="auto"/>
                <w:highlight w:val="none"/>
                <w:u w:val="none"/>
              </w:rPr>
            </w:pPr>
            <w:r>
              <w:rPr>
                <w:rFonts w:hint="default" w:ascii="Times New Roman" w:hAnsi="Times New Roman" w:eastAsia="宋体" w:cs="Times New Roman"/>
                <w:b w:val="0"/>
                <w:bCs/>
                <w:color w:val="auto"/>
                <w:highlight w:val="none"/>
                <w:u w:val="none"/>
              </w:rPr>
              <w:t>本项目布袋除尘器</w:t>
            </w:r>
            <w:r>
              <w:rPr>
                <w:rFonts w:hint="eastAsia" w:cs="Times New Roman"/>
                <w:b w:val="0"/>
                <w:bCs/>
                <w:color w:val="auto"/>
                <w:highlight w:val="none"/>
                <w:u w:val="none"/>
                <w:lang w:val="en-US" w:eastAsia="zh-CN"/>
              </w:rPr>
              <w:t>收尘</w:t>
            </w:r>
            <w:r>
              <w:rPr>
                <w:rFonts w:hint="default" w:ascii="Times New Roman" w:hAnsi="Times New Roman" w:eastAsia="宋体" w:cs="Times New Roman"/>
                <w:b w:val="0"/>
                <w:bCs/>
                <w:color w:val="auto"/>
                <w:highlight w:val="none"/>
                <w:u w:val="none"/>
              </w:rPr>
              <w:t>量为</w:t>
            </w:r>
            <w:r>
              <w:rPr>
                <w:rFonts w:hint="eastAsia" w:ascii="Times New Roman" w:hAnsi="Times New Roman" w:eastAsia="宋体" w:cs="Times New Roman"/>
                <w:b w:val="0"/>
                <w:bCs/>
                <w:color w:val="auto"/>
                <w:highlight w:val="none"/>
                <w:u w:val="none"/>
                <w:lang w:val="en-US" w:eastAsia="zh-CN"/>
              </w:rPr>
              <w:t>14.24</w:t>
            </w:r>
            <w:r>
              <w:rPr>
                <w:rFonts w:hint="default" w:ascii="Times New Roman" w:hAnsi="Times New Roman" w:eastAsia="宋体" w:cs="Times New Roman"/>
                <w:b w:val="0"/>
                <w:bCs/>
                <w:color w:val="auto"/>
                <w:highlight w:val="none"/>
                <w:u w:val="none"/>
              </w:rPr>
              <w:t>t/a，集中收集后回用于生产。</w:t>
            </w:r>
            <w:r>
              <w:rPr>
                <w:rFonts w:hint="default" w:ascii="Times New Roman" w:hAnsi="Times New Roman" w:eastAsia="宋体" w:cs="Times New Roman"/>
                <w:b w:val="0"/>
                <w:bCs/>
                <w:color w:val="auto"/>
                <w:sz w:val="24"/>
                <w:highlight w:val="none"/>
                <w:u w:val="none"/>
              </w:rPr>
              <w:t>根据</w:t>
            </w:r>
            <w:r>
              <w:rPr>
                <w:rFonts w:hint="default" w:ascii="Times New Roman" w:hAnsi="Times New Roman" w:eastAsia="宋体" w:cs="Times New Roman"/>
                <w:b w:val="0"/>
                <w:bCs/>
                <w:color w:val="auto"/>
                <w:sz w:val="24"/>
                <w:szCs w:val="24"/>
                <w:highlight w:val="none"/>
                <w:u w:val="none"/>
              </w:rPr>
              <w:t>《固体废物分类与代码目录》</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lang w:val="en-US" w:eastAsia="zh-CN"/>
              </w:rPr>
              <w:t>2024年版</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highlight w:val="none"/>
                <w:u w:val="none"/>
              </w:rPr>
              <w:t>废物种类SW59其他工业固体废物，废物代码900-099-S59。</w:t>
            </w:r>
          </w:p>
          <w:p>
            <w:pPr>
              <w:pStyle w:val="65"/>
              <w:adjustRightInd w:val="0"/>
              <w:snapToGrid w:val="0"/>
              <w:spacing w:before="0" w:beforeLines="0" w:line="360" w:lineRule="auto"/>
              <w:ind w:firstLine="480" w:firstLineChars="200"/>
              <w:rPr>
                <w:rFonts w:hint="default" w:ascii="Times New Roman" w:hAnsi="Times New Roman" w:eastAsia="宋体" w:cs="Times New Roman"/>
                <w:b w:val="0"/>
                <w:bCs/>
                <w:color w:val="auto"/>
                <w:highlight w:val="none"/>
                <w:u w:val="none"/>
              </w:rPr>
            </w:pPr>
            <w:r>
              <w:rPr>
                <w:rFonts w:hint="default" w:ascii="Times New Roman" w:hAnsi="Times New Roman" w:eastAsia="宋体" w:cs="Times New Roman"/>
                <w:b w:val="0"/>
                <w:bCs/>
                <w:color w:val="auto"/>
                <w:highlight w:val="none"/>
              </w:rPr>
              <w:t>（</w:t>
            </w:r>
            <w:r>
              <w:rPr>
                <w:rFonts w:hint="default" w:ascii="Times New Roman" w:hAnsi="Times New Roman" w:eastAsia="宋体" w:cs="Times New Roman"/>
                <w:b w:val="0"/>
                <w:bCs/>
                <w:color w:val="auto"/>
                <w:highlight w:val="none"/>
                <w:u w:val="none"/>
              </w:rPr>
              <w:t>2）沉淀池沉渣</w:t>
            </w:r>
          </w:p>
          <w:p>
            <w:pPr>
              <w:pStyle w:val="65"/>
              <w:adjustRightInd w:val="0"/>
              <w:snapToGrid w:val="0"/>
              <w:spacing w:before="0" w:beforeLines="0" w:line="360" w:lineRule="auto"/>
              <w:ind w:firstLine="480" w:firstLineChars="200"/>
              <w:rPr>
                <w:rFonts w:hint="default" w:ascii="Times New Roman" w:hAnsi="Times New Roman" w:eastAsia="宋体" w:cs="Times New Roman"/>
                <w:b w:val="0"/>
                <w:bCs/>
                <w:color w:val="auto"/>
                <w:highlight w:val="none"/>
                <w:u w:val="none"/>
              </w:rPr>
            </w:pPr>
            <w:r>
              <w:rPr>
                <w:rFonts w:hint="default" w:ascii="Times New Roman" w:hAnsi="Times New Roman" w:eastAsia="宋体" w:cs="Times New Roman"/>
                <w:b w:val="0"/>
                <w:bCs/>
                <w:color w:val="auto"/>
                <w:highlight w:val="none"/>
                <w:u w:val="none"/>
              </w:rPr>
              <w:t>沉淀池沉渣的产生量约为</w:t>
            </w:r>
            <w:r>
              <w:rPr>
                <w:rFonts w:hint="default" w:ascii="Times New Roman" w:hAnsi="Times New Roman" w:eastAsia="宋体" w:cs="Times New Roman"/>
                <w:b w:val="0"/>
                <w:bCs/>
                <w:color w:val="auto"/>
                <w:highlight w:val="none"/>
                <w:u w:val="none"/>
                <w:lang w:val="en-US" w:eastAsia="zh-CN"/>
              </w:rPr>
              <w:t>5</w:t>
            </w:r>
            <w:r>
              <w:rPr>
                <w:rFonts w:hint="default" w:ascii="Times New Roman" w:hAnsi="Times New Roman" w:eastAsia="宋体" w:cs="Times New Roman"/>
                <w:b w:val="0"/>
                <w:bCs/>
                <w:color w:val="auto"/>
                <w:highlight w:val="none"/>
                <w:u w:val="none"/>
              </w:rPr>
              <w:t>t/a，集中</w:t>
            </w:r>
            <w:bookmarkStart w:id="19" w:name="_Hlk110436373"/>
            <w:r>
              <w:rPr>
                <w:rFonts w:hint="default" w:ascii="Times New Roman" w:hAnsi="Times New Roman" w:eastAsia="宋体" w:cs="Times New Roman"/>
                <w:b w:val="0"/>
                <w:bCs/>
                <w:color w:val="auto"/>
                <w:highlight w:val="none"/>
                <w:u w:val="none"/>
              </w:rPr>
              <w:t>收集后</w:t>
            </w:r>
            <w:r>
              <w:rPr>
                <w:rFonts w:hint="default" w:ascii="Times New Roman" w:hAnsi="Times New Roman" w:eastAsia="宋体" w:cs="Times New Roman"/>
                <w:b w:val="0"/>
                <w:bCs/>
                <w:snapToGrid w:val="0"/>
                <w:color w:val="auto"/>
                <w:highlight w:val="none"/>
                <w:u w:val="none"/>
              </w:rPr>
              <w:t>回用于生产</w:t>
            </w:r>
            <w:bookmarkEnd w:id="19"/>
            <w:r>
              <w:rPr>
                <w:rFonts w:hint="default" w:ascii="Times New Roman" w:hAnsi="Times New Roman" w:eastAsia="宋体" w:cs="Times New Roman"/>
                <w:b w:val="0"/>
                <w:bCs/>
                <w:color w:val="auto"/>
                <w:highlight w:val="none"/>
                <w:u w:val="none"/>
              </w:rPr>
              <w:t>。</w:t>
            </w:r>
            <w:r>
              <w:rPr>
                <w:rFonts w:hint="default" w:ascii="Times New Roman" w:hAnsi="Times New Roman" w:eastAsia="宋体" w:cs="Times New Roman"/>
                <w:b w:val="0"/>
                <w:bCs/>
                <w:color w:val="auto"/>
                <w:sz w:val="24"/>
                <w:highlight w:val="none"/>
                <w:u w:val="none"/>
              </w:rPr>
              <w:t>根据</w:t>
            </w:r>
            <w:r>
              <w:rPr>
                <w:rFonts w:hint="default" w:ascii="Times New Roman" w:hAnsi="Times New Roman" w:eastAsia="宋体" w:cs="Times New Roman"/>
                <w:b w:val="0"/>
                <w:bCs/>
                <w:color w:val="auto"/>
                <w:sz w:val="24"/>
                <w:szCs w:val="24"/>
                <w:highlight w:val="none"/>
                <w:u w:val="none"/>
              </w:rPr>
              <w:t>《固体废物分类与代码目录》</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szCs w:val="24"/>
                <w:highlight w:val="none"/>
                <w:u w:val="none"/>
                <w:lang w:val="en-US" w:eastAsia="zh-CN"/>
              </w:rPr>
              <w:t>2024年版</w:t>
            </w:r>
            <w:r>
              <w:rPr>
                <w:rFonts w:hint="default" w:ascii="Times New Roman" w:hAnsi="Times New Roman" w:eastAsia="宋体" w:cs="Times New Roman"/>
                <w:b w:val="0"/>
                <w:bCs/>
                <w:color w:val="auto"/>
                <w:sz w:val="24"/>
                <w:szCs w:val="24"/>
                <w:highlight w:val="none"/>
                <w:u w:val="none"/>
                <w:lang w:eastAsia="zh-CN"/>
              </w:rPr>
              <w:t>）</w:t>
            </w:r>
            <w:r>
              <w:rPr>
                <w:rFonts w:hint="default" w:ascii="Times New Roman" w:hAnsi="Times New Roman" w:eastAsia="宋体" w:cs="Times New Roman"/>
                <w:b w:val="0"/>
                <w:bCs/>
                <w:color w:val="auto"/>
                <w:sz w:val="24"/>
                <w:highlight w:val="none"/>
                <w:u w:val="none"/>
              </w:rPr>
              <w:t>废物种类SW59其他工业固体废物，废物代码900-099-S59。</w:t>
            </w:r>
          </w:p>
          <w:p>
            <w:pPr>
              <w:adjustRightInd w:val="0"/>
              <w:snapToGrid w:val="0"/>
              <w:spacing w:line="360" w:lineRule="auto"/>
              <w:ind w:firstLine="480" w:firstLineChars="200"/>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（3）砂和碎石混合物</w:t>
            </w:r>
          </w:p>
          <w:p>
            <w:pPr>
              <w:adjustRightInd w:val="0"/>
              <w:snapToGrid w:val="0"/>
              <w:spacing w:line="360" w:lineRule="auto"/>
              <w:ind w:firstLine="480" w:firstLineChars="200"/>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混凝土</w:t>
            </w:r>
            <w:r>
              <w:rPr>
                <w:rFonts w:hint="eastAsia" w:ascii="Times New Roman" w:hAnsi="Times New Roman" w:eastAsia="宋体" w:cs="Times New Roman"/>
                <w:bCs/>
                <w:color w:val="auto"/>
                <w:highlight w:val="none"/>
                <w:u w:val="none"/>
                <w:lang w:val="en-US" w:eastAsia="zh-CN"/>
              </w:rPr>
              <w:t>及水泥稳定碎石</w:t>
            </w:r>
            <w:r>
              <w:rPr>
                <w:rFonts w:hint="default" w:ascii="Times New Roman" w:hAnsi="Times New Roman" w:eastAsia="宋体" w:cs="Times New Roman"/>
                <w:bCs/>
                <w:color w:val="auto"/>
                <w:highlight w:val="none"/>
                <w:u w:val="none"/>
              </w:rPr>
              <w:t>生产过程中会产生废弃物，主要为砂和碎石混合物</w:t>
            </w:r>
            <w:r>
              <w:rPr>
                <w:rFonts w:hint="eastAsia" w:ascii="Times New Roman" w:hAnsi="Times New Roman" w:eastAsia="宋体" w:cs="Times New Roman"/>
                <w:bCs/>
                <w:color w:val="auto"/>
                <w:highlight w:val="none"/>
                <w:u w:val="none"/>
                <w:lang w:eastAsia="zh-CN"/>
              </w:rPr>
              <w:t>，</w:t>
            </w:r>
            <w:r>
              <w:rPr>
                <w:rFonts w:hint="default" w:ascii="Times New Roman" w:hAnsi="Times New Roman" w:eastAsia="宋体" w:cs="Times New Roman"/>
                <w:bCs/>
                <w:color w:val="auto"/>
                <w:highlight w:val="none"/>
                <w:u w:val="none"/>
              </w:rPr>
              <w:t>产生量为</w:t>
            </w:r>
            <w:r>
              <w:rPr>
                <w:rFonts w:hint="eastAsia" w:ascii="Times New Roman" w:hAnsi="Times New Roman" w:eastAsia="宋体" w:cs="Times New Roman"/>
                <w:bCs/>
                <w:color w:val="auto"/>
                <w:highlight w:val="none"/>
                <w:u w:val="none"/>
                <w:lang w:val="en-US" w:eastAsia="zh-CN"/>
              </w:rPr>
              <w:t>8</w:t>
            </w:r>
            <w:r>
              <w:rPr>
                <w:rFonts w:hint="default" w:ascii="Times New Roman" w:hAnsi="Times New Roman" w:eastAsia="宋体" w:cs="Times New Roman"/>
                <w:bCs/>
                <w:color w:val="auto"/>
                <w:highlight w:val="none"/>
                <w:u w:val="none"/>
                <w:lang w:val="en-US" w:eastAsia="zh-CN"/>
              </w:rPr>
              <w:t>0</w:t>
            </w:r>
            <w:r>
              <w:rPr>
                <w:rFonts w:hint="default" w:ascii="Times New Roman" w:hAnsi="Times New Roman" w:eastAsia="宋体" w:cs="Times New Roman"/>
                <w:bCs/>
                <w:color w:val="auto"/>
                <w:highlight w:val="none"/>
                <w:u w:val="none"/>
              </w:rPr>
              <w:t>t/a，回用于生产。</w:t>
            </w:r>
            <w:r>
              <w:rPr>
                <w:rFonts w:hint="default" w:ascii="Times New Roman" w:hAnsi="Times New Roman" w:eastAsia="宋体" w:cs="Times New Roman"/>
                <w:color w:val="auto"/>
                <w:sz w:val="24"/>
                <w:highlight w:val="none"/>
                <w:u w:val="none"/>
              </w:rPr>
              <w:t>根据</w:t>
            </w:r>
            <w:r>
              <w:rPr>
                <w:rFonts w:hint="default" w:ascii="Times New Roman" w:hAnsi="Times New Roman" w:eastAsia="宋体" w:cs="Times New Roman"/>
                <w:color w:val="auto"/>
                <w:sz w:val="24"/>
                <w:szCs w:val="24"/>
                <w:highlight w:val="none"/>
                <w:u w:val="none"/>
              </w:rPr>
              <w:t>《固体废物分类与代码目录》</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2024年版</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highlight w:val="none"/>
                <w:u w:val="none"/>
              </w:rPr>
              <w:t>废物种类SW59其他工业固体废物，废物代码900-099-S59。</w:t>
            </w:r>
          </w:p>
          <w:p>
            <w:pPr>
              <w:adjustRightInd w:val="0"/>
              <w:snapToGrid w:val="0"/>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（4）</w:t>
            </w:r>
            <w:r>
              <w:rPr>
                <w:rFonts w:hint="default" w:ascii="Times New Roman" w:hAnsi="Times New Roman" w:eastAsia="宋体" w:cs="Times New Roman"/>
                <w:color w:val="auto"/>
                <w:highlight w:val="none"/>
              </w:rPr>
              <w:t>实验室废料</w:t>
            </w:r>
          </w:p>
          <w:p>
            <w:pPr>
              <w:adjustRightInd w:val="0"/>
              <w:snapToGrid w:val="0"/>
              <w:spacing w:line="360" w:lineRule="auto"/>
              <w:ind w:firstLine="480" w:firstLineChars="200"/>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lang w:val="en-US" w:eastAsia="zh-CN"/>
              </w:rPr>
              <w:t>物理实验过程中</w:t>
            </w:r>
            <w:r>
              <w:rPr>
                <w:rFonts w:hint="default" w:ascii="Times New Roman" w:hAnsi="Times New Roman" w:eastAsia="宋体" w:cs="Times New Roman"/>
                <w:bCs/>
                <w:color w:val="auto"/>
                <w:highlight w:val="none"/>
                <w:u w:val="none"/>
              </w:rPr>
              <w:t>会产生废弃物，主要为砂和碎石混合物</w:t>
            </w:r>
            <w:r>
              <w:rPr>
                <w:rFonts w:hint="eastAsia" w:cs="Times New Roman"/>
                <w:bCs/>
                <w:color w:val="auto"/>
                <w:highlight w:val="none"/>
                <w:u w:val="none"/>
                <w:lang w:eastAsia="zh-CN"/>
              </w:rPr>
              <w:t>的</w:t>
            </w:r>
            <w:r>
              <w:rPr>
                <w:rFonts w:hint="default" w:ascii="Times New Roman" w:hAnsi="Times New Roman" w:eastAsia="宋体" w:cs="Times New Roman"/>
                <w:bCs/>
                <w:color w:val="auto"/>
                <w:highlight w:val="none"/>
                <w:u w:val="none"/>
              </w:rPr>
              <w:t>产生量为</w:t>
            </w:r>
            <w:r>
              <w:rPr>
                <w:rFonts w:hint="default" w:ascii="Times New Roman" w:hAnsi="Times New Roman" w:eastAsia="宋体" w:cs="Times New Roman"/>
                <w:bCs/>
                <w:color w:val="auto"/>
                <w:highlight w:val="none"/>
                <w:u w:val="none"/>
                <w:lang w:val="en-US" w:eastAsia="zh-CN"/>
              </w:rPr>
              <w:t>10</w:t>
            </w:r>
            <w:r>
              <w:rPr>
                <w:rFonts w:hint="default" w:ascii="Times New Roman" w:hAnsi="Times New Roman" w:eastAsia="宋体" w:cs="Times New Roman"/>
                <w:bCs/>
                <w:color w:val="auto"/>
                <w:highlight w:val="none"/>
                <w:u w:val="none"/>
              </w:rPr>
              <w:t>t/a，回用于生产。</w:t>
            </w:r>
            <w:r>
              <w:rPr>
                <w:rFonts w:hint="default" w:ascii="Times New Roman" w:hAnsi="Times New Roman" w:eastAsia="宋体" w:cs="Times New Roman"/>
                <w:color w:val="auto"/>
                <w:sz w:val="24"/>
                <w:highlight w:val="none"/>
                <w:u w:val="none"/>
              </w:rPr>
              <w:t>根据</w:t>
            </w:r>
            <w:r>
              <w:rPr>
                <w:rFonts w:hint="default" w:ascii="Times New Roman" w:hAnsi="Times New Roman" w:eastAsia="宋体" w:cs="Times New Roman"/>
                <w:color w:val="auto"/>
                <w:sz w:val="24"/>
                <w:szCs w:val="24"/>
                <w:highlight w:val="none"/>
                <w:u w:val="none"/>
              </w:rPr>
              <w:t>《固体废物分类与代码目录》</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2024年版</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highlight w:val="none"/>
                <w:u w:val="none"/>
              </w:rPr>
              <w:t>废物种类SW59其他工业固体废物，废物代码900-099-S59。</w:t>
            </w:r>
          </w:p>
          <w:p>
            <w:pPr>
              <w:pStyle w:val="96"/>
              <w:spacing w:line="360" w:lineRule="auto"/>
              <w:ind w:firstLine="48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bCs/>
                <w:color w:val="auto"/>
                <w:highlight w:val="none"/>
                <w:u w:val="none"/>
                <w:lang w:eastAsia="zh-CN"/>
              </w:rPr>
              <w:t>（</w:t>
            </w:r>
            <w:r>
              <w:rPr>
                <w:rFonts w:hint="default" w:ascii="Times New Roman" w:hAnsi="Times New Roman" w:eastAsia="宋体" w:cs="Times New Roman"/>
                <w:bCs/>
                <w:color w:val="auto"/>
                <w:highlight w:val="none"/>
                <w:u w:val="none"/>
                <w:lang w:val="en-US" w:eastAsia="zh-CN"/>
              </w:rPr>
              <w:t>5</w:t>
            </w:r>
            <w:r>
              <w:rPr>
                <w:rFonts w:hint="default" w:ascii="Times New Roman" w:hAnsi="Times New Roman" w:eastAsia="宋体" w:cs="Times New Roman"/>
                <w:bCs/>
                <w:color w:val="auto"/>
                <w:highlight w:val="none"/>
                <w:u w:val="none"/>
                <w:lang w:eastAsia="zh-CN"/>
              </w:rPr>
              <w:t>）</w:t>
            </w:r>
            <w:r>
              <w:rPr>
                <w:rFonts w:hint="default" w:ascii="Times New Roman" w:hAnsi="Times New Roman" w:eastAsia="宋体" w:cs="Times New Roman"/>
                <w:color w:val="auto"/>
                <w:sz w:val="24"/>
                <w:szCs w:val="24"/>
                <w:highlight w:val="none"/>
                <w:u w:val="none"/>
              </w:rPr>
              <w:t>废布袋</w:t>
            </w:r>
          </w:p>
          <w:p>
            <w:pPr>
              <w:adjustRightInd w:val="0"/>
              <w:snapToGrid w:val="0"/>
              <w:spacing w:line="360" w:lineRule="auto"/>
              <w:ind w:firstLine="480" w:firstLineChars="200"/>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color w:val="auto"/>
                <w:sz w:val="24"/>
                <w:szCs w:val="24"/>
                <w:highlight w:val="none"/>
                <w:u w:val="none"/>
              </w:rPr>
              <w:t>除尘器布袋一年更换一次，约0.</w:t>
            </w:r>
            <w:r>
              <w:rPr>
                <w:rFonts w:hint="default" w:ascii="Times New Roman" w:hAnsi="Times New Roman" w:eastAsia="宋体" w:cs="Times New Roman"/>
                <w:color w:val="auto"/>
                <w:sz w:val="24"/>
                <w:szCs w:val="24"/>
                <w:highlight w:val="none"/>
                <w:u w:val="none"/>
                <w:lang w:val="en-US" w:eastAsia="zh-CN"/>
              </w:rPr>
              <w:t>04</w:t>
            </w:r>
            <w:r>
              <w:rPr>
                <w:rFonts w:hint="default" w:ascii="Times New Roman" w:hAnsi="Times New Roman" w:eastAsia="宋体" w:cs="Times New Roman"/>
                <w:color w:val="auto"/>
                <w:sz w:val="24"/>
                <w:szCs w:val="24"/>
                <w:highlight w:val="none"/>
                <w:u w:val="none"/>
              </w:rPr>
              <w:t>t/a，厂家回收处置。</w:t>
            </w:r>
            <w:r>
              <w:rPr>
                <w:rFonts w:hint="default" w:ascii="Times New Roman" w:hAnsi="Times New Roman" w:eastAsia="宋体" w:cs="Times New Roman"/>
                <w:color w:val="auto"/>
                <w:sz w:val="24"/>
                <w:highlight w:val="none"/>
                <w:u w:val="none"/>
              </w:rPr>
              <w:t>根据</w:t>
            </w:r>
            <w:r>
              <w:rPr>
                <w:rFonts w:hint="default" w:ascii="Times New Roman" w:hAnsi="Times New Roman" w:eastAsia="宋体" w:cs="Times New Roman"/>
                <w:color w:val="auto"/>
                <w:sz w:val="24"/>
                <w:szCs w:val="24"/>
                <w:highlight w:val="none"/>
                <w:u w:val="none"/>
              </w:rPr>
              <w:t>《固体废物分类与代码目录》</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2024年版</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highlight w:val="none"/>
                <w:u w:val="none"/>
              </w:rPr>
              <w:t>废物种类SW59其他工业固体废物，废物代码900-099-S59。</w:t>
            </w:r>
          </w:p>
          <w:p>
            <w:pPr>
              <w:pStyle w:val="30"/>
              <w:spacing w:line="360" w:lineRule="auto"/>
              <w:ind w:firstLine="480" w:firstLineChars="200"/>
              <w:jc w:val="both"/>
              <w:rPr>
                <w:bCs/>
                <w:color w:val="auto"/>
                <w:sz w:val="24"/>
                <w:szCs w:val="24"/>
              </w:rPr>
            </w:pPr>
            <w:r>
              <w:rPr>
                <w:bCs/>
                <w:color w:val="auto"/>
                <w:sz w:val="24"/>
                <w:szCs w:val="24"/>
              </w:rPr>
              <w:t>项目固废产生情况详见表4-</w:t>
            </w:r>
            <w:r>
              <w:rPr>
                <w:rFonts w:hint="eastAsia"/>
                <w:bCs/>
                <w:color w:val="auto"/>
                <w:sz w:val="24"/>
                <w:szCs w:val="24"/>
                <w:lang w:val="en-US" w:eastAsia="zh-CN"/>
              </w:rPr>
              <w:t>10</w:t>
            </w:r>
            <w:r>
              <w:rPr>
                <w:bCs/>
                <w:color w:val="auto"/>
                <w:sz w:val="24"/>
                <w:szCs w:val="24"/>
              </w:rPr>
              <w:t>。</w:t>
            </w:r>
          </w:p>
          <w:p>
            <w:pPr>
              <w:pStyle w:val="55"/>
              <w:ind w:firstLine="482"/>
              <w:rPr>
                <w:rFonts w:eastAsia="宋体"/>
                <w:b/>
                <w:color w:val="auto"/>
                <w:sz w:val="21"/>
                <w:szCs w:val="21"/>
              </w:rPr>
            </w:pPr>
            <w:r>
              <w:rPr>
                <w:rFonts w:eastAsia="宋体"/>
                <w:b/>
                <w:color w:val="auto"/>
                <w:sz w:val="21"/>
                <w:szCs w:val="21"/>
              </w:rPr>
              <w:t>表4-</w:t>
            </w:r>
            <w:r>
              <w:rPr>
                <w:rFonts w:hint="eastAsia" w:eastAsia="宋体"/>
                <w:b/>
                <w:color w:val="auto"/>
                <w:sz w:val="21"/>
                <w:szCs w:val="21"/>
                <w:lang w:val="en-US" w:eastAsia="zh-CN"/>
              </w:rPr>
              <w:t xml:space="preserve">10 </w:t>
            </w:r>
            <w:r>
              <w:rPr>
                <w:rFonts w:eastAsia="宋体"/>
                <w:b/>
                <w:color w:val="auto"/>
                <w:sz w:val="21"/>
                <w:szCs w:val="21"/>
              </w:rPr>
              <w:t>本项目固废汇总表</w:t>
            </w:r>
          </w:p>
          <w:tbl>
            <w:tblPr>
              <w:tblStyle w:val="32"/>
              <w:tblW w:w="86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807"/>
              <w:gridCol w:w="1080"/>
              <w:gridCol w:w="1016"/>
              <w:gridCol w:w="1439"/>
              <w:gridCol w:w="938"/>
              <w:gridCol w:w="1664"/>
              <w:gridCol w:w="821"/>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807" w:type="dxa"/>
                  <w:tcBorders>
                    <w:tl2br w:val="nil"/>
                    <w:tr2bl w:val="nil"/>
                  </w:tcBorders>
                  <w:vAlign w:val="center"/>
                </w:tcPr>
                <w:p>
                  <w:pPr>
                    <w:pStyle w:val="57"/>
                    <w:rPr>
                      <w:b/>
                      <w:color w:val="auto"/>
                      <w:sz w:val="21"/>
                      <w:szCs w:val="21"/>
                    </w:rPr>
                  </w:pPr>
                  <w:bookmarkStart w:id="20" w:name="_Hlk523068308"/>
                  <w:r>
                    <w:rPr>
                      <w:b/>
                      <w:color w:val="auto"/>
                      <w:sz w:val="21"/>
                      <w:szCs w:val="21"/>
                    </w:rPr>
                    <w:t>工序</w:t>
                  </w:r>
                </w:p>
              </w:tc>
              <w:tc>
                <w:tcPr>
                  <w:tcW w:w="1080" w:type="dxa"/>
                  <w:tcBorders>
                    <w:tl2br w:val="nil"/>
                    <w:tr2bl w:val="nil"/>
                  </w:tcBorders>
                  <w:vAlign w:val="center"/>
                </w:tcPr>
                <w:p>
                  <w:pPr>
                    <w:pStyle w:val="57"/>
                    <w:rPr>
                      <w:b/>
                      <w:color w:val="auto"/>
                      <w:sz w:val="21"/>
                      <w:szCs w:val="21"/>
                    </w:rPr>
                  </w:pPr>
                  <w:r>
                    <w:rPr>
                      <w:b/>
                      <w:color w:val="auto"/>
                      <w:sz w:val="21"/>
                      <w:szCs w:val="21"/>
                    </w:rPr>
                    <w:t>固体废物名称</w:t>
                  </w:r>
                </w:p>
              </w:tc>
              <w:tc>
                <w:tcPr>
                  <w:tcW w:w="1016" w:type="dxa"/>
                  <w:tcBorders>
                    <w:tl2br w:val="nil"/>
                    <w:tr2bl w:val="nil"/>
                  </w:tcBorders>
                  <w:vAlign w:val="center"/>
                </w:tcPr>
                <w:p>
                  <w:pPr>
                    <w:pStyle w:val="57"/>
                    <w:rPr>
                      <w:b/>
                      <w:color w:val="auto"/>
                      <w:sz w:val="21"/>
                      <w:szCs w:val="21"/>
                    </w:rPr>
                  </w:pPr>
                  <w:r>
                    <w:rPr>
                      <w:b/>
                      <w:color w:val="auto"/>
                      <w:sz w:val="21"/>
                      <w:szCs w:val="21"/>
                    </w:rPr>
                    <w:t>固废</w:t>
                  </w:r>
                </w:p>
                <w:p>
                  <w:pPr>
                    <w:pStyle w:val="57"/>
                    <w:rPr>
                      <w:b/>
                      <w:color w:val="auto"/>
                      <w:sz w:val="21"/>
                      <w:szCs w:val="21"/>
                    </w:rPr>
                  </w:pPr>
                  <w:r>
                    <w:rPr>
                      <w:b/>
                      <w:color w:val="auto"/>
                      <w:sz w:val="21"/>
                      <w:szCs w:val="21"/>
                    </w:rPr>
                    <w:t>属性</w:t>
                  </w:r>
                </w:p>
              </w:tc>
              <w:tc>
                <w:tcPr>
                  <w:tcW w:w="1439" w:type="dxa"/>
                  <w:tcBorders>
                    <w:tl2br w:val="nil"/>
                    <w:tr2bl w:val="nil"/>
                  </w:tcBorders>
                  <w:vAlign w:val="center"/>
                </w:tcPr>
                <w:p>
                  <w:pPr>
                    <w:pStyle w:val="57"/>
                    <w:rPr>
                      <w:b/>
                      <w:color w:val="auto"/>
                      <w:sz w:val="21"/>
                      <w:szCs w:val="21"/>
                    </w:rPr>
                  </w:pPr>
                  <w:r>
                    <w:rPr>
                      <w:b/>
                      <w:color w:val="auto"/>
                      <w:sz w:val="21"/>
                      <w:szCs w:val="21"/>
                    </w:rPr>
                    <w:t>固废代码</w:t>
                  </w:r>
                </w:p>
              </w:tc>
              <w:tc>
                <w:tcPr>
                  <w:tcW w:w="938" w:type="dxa"/>
                  <w:tcBorders>
                    <w:tl2br w:val="nil"/>
                    <w:tr2bl w:val="nil"/>
                  </w:tcBorders>
                  <w:vAlign w:val="center"/>
                </w:tcPr>
                <w:p>
                  <w:pPr>
                    <w:pStyle w:val="57"/>
                    <w:rPr>
                      <w:b/>
                      <w:color w:val="auto"/>
                      <w:sz w:val="21"/>
                      <w:szCs w:val="21"/>
                    </w:rPr>
                  </w:pPr>
                  <w:r>
                    <w:rPr>
                      <w:b/>
                      <w:color w:val="auto"/>
                      <w:sz w:val="21"/>
                      <w:szCs w:val="21"/>
                    </w:rPr>
                    <w:t>产生量</w:t>
                  </w:r>
                </w:p>
                <w:p>
                  <w:pPr>
                    <w:pStyle w:val="57"/>
                    <w:rPr>
                      <w:b/>
                      <w:color w:val="auto"/>
                      <w:sz w:val="21"/>
                      <w:szCs w:val="21"/>
                    </w:rPr>
                  </w:pPr>
                  <w:r>
                    <w:rPr>
                      <w:b/>
                      <w:color w:val="auto"/>
                      <w:sz w:val="21"/>
                      <w:szCs w:val="21"/>
                    </w:rPr>
                    <w:t>（t/a）</w:t>
                  </w:r>
                </w:p>
              </w:tc>
              <w:tc>
                <w:tcPr>
                  <w:tcW w:w="1664" w:type="dxa"/>
                  <w:tcBorders>
                    <w:tl2br w:val="nil"/>
                    <w:tr2bl w:val="nil"/>
                  </w:tcBorders>
                  <w:vAlign w:val="center"/>
                </w:tcPr>
                <w:p>
                  <w:pPr>
                    <w:pStyle w:val="57"/>
                    <w:rPr>
                      <w:b/>
                      <w:color w:val="auto"/>
                      <w:sz w:val="21"/>
                      <w:szCs w:val="21"/>
                    </w:rPr>
                  </w:pPr>
                  <w:r>
                    <w:rPr>
                      <w:b/>
                      <w:color w:val="auto"/>
                      <w:sz w:val="21"/>
                      <w:szCs w:val="21"/>
                    </w:rPr>
                    <w:t>处置措施</w:t>
                  </w:r>
                </w:p>
              </w:tc>
              <w:tc>
                <w:tcPr>
                  <w:tcW w:w="821" w:type="dxa"/>
                  <w:tcBorders>
                    <w:tl2br w:val="nil"/>
                    <w:tr2bl w:val="nil"/>
                  </w:tcBorders>
                  <w:vAlign w:val="center"/>
                </w:tcPr>
                <w:p>
                  <w:pPr>
                    <w:pStyle w:val="57"/>
                    <w:rPr>
                      <w:b/>
                      <w:color w:val="auto"/>
                      <w:sz w:val="21"/>
                      <w:szCs w:val="21"/>
                    </w:rPr>
                  </w:pPr>
                  <w:r>
                    <w:rPr>
                      <w:b/>
                      <w:color w:val="auto"/>
                      <w:sz w:val="21"/>
                      <w:szCs w:val="21"/>
                    </w:rPr>
                    <w:t>处置量（t/a）</w:t>
                  </w:r>
                </w:p>
              </w:tc>
              <w:tc>
                <w:tcPr>
                  <w:tcW w:w="905" w:type="dxa"/>
                  <w:tcBorders>
                    <w:tl2br w:val="nil"/>
                    <w:tr2bl w:val="nil"/>
                  </w:tcBorders>
                  <w:vAlign w:val="center"/>
                </w:tcPr>
                <w:p>
                  <w:pPr>
                    <w:pStyle w:val="57"/>
                    <w:rPr>
                      <w:b/>
                      <w:color w:val="auto"/>
                      <w:sz w:val="21"/>
                      <w:szCs w:val="21"/>
                    </w:rPr>
                  </w:pPr>
                  <w:r>
                    <w:rPr>
                      <w:b/>
                      <w:color w:val="auto"/>
                      <w:sz w:val="21"/>
                      <w:szCs w:val="21"/>
                    </w:rPr>
                    <w:t>最终去向</w:t>
                  </w:r>
                </w:p>
              </w:tc>
            </w:tr>
            <w:bookmarkEnd w:id="2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807" w:type="dxa"/>
                  <w:vMerge w:val="restart"/>
                  <w:tcBorders>
                    <w:tl2br w:val="nil"/>
                    <w:tr2bl w:val="nil"/>
                  </w:tcBorders>
                  <w:vAlign w:val="center"/>
                </w:tcPr>
                <w:p>
                  <w:pPr>
                    <w:pStyle w:val="57"/>
                    <w:rPr>
                      <w:color w:val="auto"/>
                      <w:sz w:val="21"/>
                      <w:szCs w:val="21"/>
                    </w:rPr>
                  </w:pPr>
                  <w:r>
                    <w:rPr>
                      <w:color w:val="auto"/>
                      <w:sz w:val="21"/>
                      <w:szCs w:val="21"/>
                    </w:rPr>
                    <w:t>生产</w:t>
                  </w:r>
                </w:p>
                <w:p>
                  <w:pPr>
                    <w:pStyle w:val="57"/>
                    <w:rPr>
                      <w:color w:val="auto"/>
                      <w:sz w:val="21"/>
                      <w:szCs w:val="21"/>
                    </w:rPr>
                  </w:pPr>
                  <w:r>
                    <w:rPr>
                      <w:color w:val="auto"/>
                      <w:sz w:val="21"/>
                      <w:szCs w:val="21"/>
                    </w:rPr>
                    <w:t>废物</w:t>
                  </w:r>
                </w:p>
              </w:tc>
              <w:tc>
                <w:tcPr>
                  <w:tcW w:w="1080" w:type="dxa"/>
                  <w:tcBorders>
                    <w:tl2br w:val="nil"/>
                    <w:tr2bl w:val="nil"/>
                  </w:tcBorders>
                  <w:vAlign w:val="center"/>
                </w:tcPr>
                <w:p>
                  <w:pPr>
                    <w:pStyle w:val="93"/>
                    <w:adjustRightInd w:val="0"/>
                    <w:snapToGrid w:val="0"/>
                    <w:spacing w:before="0" w:beforeLines="0" w:after="0" w:afterLines="0" w:line="240" w:lineRule="auto"/>
                    <w:rPr>
                      <w:rFonts w:hint="default"/>
                      <w:color w:val="auto"/>
                      <w:sz w:val="21"/>
                      <w:szCs w:val="21"/>
                    </w:rPr>
                  </w:pPr>
                  <w:r>
                    <w:rPr>
                      <w:rFonts w:hint="default"/>
                      <w:color w:val="auto"/>
                      <w:sz w:val="21"/>
                      <w:szCs w:val="21"/>
                    </w:rPr>
                    <w:t>除尘器收尘</w:t>
                  </w:r>
                </w:p>
              </w:tc>
              <w:tc>
                <w:tcPr>
                  <w:tcW w:w="1016" w:type="dxa"/>
                  <w:tcBorders>
                    <w:tl2br w:val="nil"/>
                    <w:tr2bl w:val="nil"/>
                  </w:tcBorders>
                  <w:vAlign w:val="center"/>
                </w:tcPr>
                <w:p>
                  <w:pPr>
                    <w:pStyle w:val="57"/>
                    <w:rPr>
                      <w:color w:val="auto"/>
                      <w:sz w:val="21"/>
                      <w:szCs w:val="21"/>
                    </w:rPr>
                  </w:pPr>
                  <w:r>
                    <w:rPr>
                      <w:color w:val="auto"/>
                      <w:sz w:val="21"/>
                      <w:szCs w:val="21"/>
                    </w:rPr>
                    <w:t>一般工业固废</w:t>
                  </w:r>
                </w:p>
              </w:tc>
              <w:tc>
                <w:tcPr>
                  <w:tcW w:w="1439" w:type="dxa"/>
                  <w:tcBorders>
                    <w:tl2br w:val="nil"/>
                    <w:tr2bl w:val="nil"/>
                  </w:tcBorders>
                  <w:vAlign w:val="center"/>
                </w:tcPr>
                <w:p>
                  <w:pPr>
                    <w:pStyle w:val="5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900-099-S59</w:t>
                  </w:r>
                </w:p>
              </w:tc>
              <w:tc>
                <w:tcPr>
                  <w:tcW w:w="938" w:type="dxa"/>
                  <w:tcBorders>
                    <w:tl2br w:val="nil"/>
                    <w:tr2bl w:val="nil"/>
                  </w:tcBorders>
                  <w:vAlign w:val="center"/>
                </w:tcPr>
                <w:p>
                  <w:pPr>
                    <w:pStyle w:val="93"/>
                    <w:adjustRightInd w:val="0"/>
                    <w:snapToGrid w:val="0"/>
                    <w:spacing w:before="0" w:beforeLines="0" w:after="0" w:afterLines="0" w:line="240" w:lineRule="auto"/>
                    <w:rPr>
                      <w:rFonts w:hint="default" w:ascii="Times New Roman" w:hAnsi="Times New Roman" w:cs="Times New Roman"/>
                      <w:color w:val="auto"/>
                      <w:sz w:val="21"/>
                      <w:szCs w:val="21"/>
                      <w:highlight w:val="none"/>
                    </w:rPr>
                  </w:pPr>
                  <w:r>
                    <w:rPr>
                      <w:rFonts w:hint="eastAsia" w:ascii="Times New Roman" w:hAnsi="Times New Roman" w:eastAsia="宋体" w:cs="Times New Roman"/>
                      <w:b w:val="0"/>
                      <w:bCs/>
                      <w:color w:val="auto"/>
                      <w:highlight w:val="none"/>
                      <w:u w:val="none"/>
                      <w:lang w:val="en-US" w:eastAsia="zh-CN"/>
                    </w:rPr>
                    <w:t>14.24</w:t>
                  </w:r>
                </w:p>
              </w:tc>
              <w:tc>
                <w:tcPr>
                  <w:tcW w:w="1664" w:type="dxa"/>
                  <w:vMerge w:val="restart"/>
                  <w:tcBorders>
                    <w:tl2br w:val="nil"/>
                    <w:tr2bl w:val="nil"/>
                  </w:tcBorders>
                  <w:vAlign w:val="center"/>
                </w:tcPr>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回用于</w:t>
                  </w:r>
                </w:p>
                <w:p>
                  <w:pPr>
                    <w:pStyle w:val="5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w:t>
                  </w:r>
                </w:p>
              </w:tc>
              <w:tc>
                <w:tcPr>
                  <w:tcW w:w="821" w:type="dxa"/>
                  <w:tcBorders>
                    <w:tl2br w:val="nil"/>
                    <w:tr2bl w:val="nil"/>
                  </w:tcBorders>
                  <w:shd w:val="clear" w:color="auto" w:fill="auto"/>
                  <w:vAlign w:val="center"/>
                </w:tcPr>
                <w:p>
                  <w:pPr>
                    <w:pStyle w:val="93"/>
                    <w:adjustRightInd w:val="0"/>
                    <w:snapToGrid w:val="0"/>
                    <w:spacing w:before="0" w:beforeLines="0" w:after="0" w:afterLines="0" w:line="240" w:lineRule="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highlight w:val="none"/>
                      <w:u w:val="none"/>
                      <w:lang w:val="en-US" w:eastAsia="zh-CN"/>
                    </w:rPr>
                    <w:t>14.24</w:t>
                  </w:r>
                </w:p>
              </w:tc>
              <w:tc>
                <w:tcPr>
                  <w:tcW w:w="905" w:type="dxa"/>
                  <w:tcBorders>
                    <w:tl2br w:val="nil"/>
                    <w:tr2bl w:val="nil"/>
                  </w:tcBorders>
                  <w:vAlign w:val="center"/>
                </w:tcPr>
                <w:p>
                  <w:pPr>
                    <w:pStyle w:val="57"/>
                    <w:rPr>
                      <w:color w:val="auto"/>
                      <w:sz w:val="21"/>
                      <w:szCs w:val="21"/>
                    </w:rPr>
                  </w:pPr>
                  <w:r>
                    <w:rPr>
                      <w:color w:val="auto"/>
                      <w:sz w:val="21"/>
                      <w:szCs w:val="21"/>
                    </w:rPr>
                    <w:t>生产工序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9" w:hRule="atLeast"/>
                <w:jc w:val="center"/>
              </w:trPr>
              <w:tc>
                <w:tcPr>
                  <w:tcW w:w="807" w:type="dxa"/>
                  <w:vMerge w:val="continue"/>
                  <w:tcBorders>
                    <w:tl2br w:val="nil"/>
                    <w:tr2bl w:val="nil"/>
                  </w:tcBorders>
                  <w:vAlign w:val="center"/>
                </w:tcPr>
                <w:p>
                  <w:pPr>
                    <w:pStyle w:val="57"/>
                    <w:rPr>
                      <w:color w:val="auto"/>
                      <w:sz w:val="21"/>
                      <w:szCs w:val="21"/>
                    </w:rPr>
                  </w:pPr>
                </w:p>
              </w:tc>
              <w:tc>
                <w:tcPr>
                  <w:tcW w:w="1080" w:type="dxa"/>
                  <w:tcBorders>
                    <w:tl2br w:val="nil"/>
                    <w:tr2bl w:val="nil"/>
                  </w:tcBorders>
                  <w:vAlign w:val="center"/>
                </w:tcPr>
                <w:p>
                  <w:pPr>
                    <w:adjustRightInd w:val="0"/>
                    <w:snapToGrid w:val="0"/>
                    <w:jc w:val="center"/>
                    <w:rPr>
                      <w:color w:val="auto"/>
                      <w:sz w:val="21"/>
                      <w:szCs w:val="21"/>
                    </w:rPr>
                  </w:pPr>
                  <w:r>
                    <w:rPr>
                      <w:color w:val="auto"/>
                      <w:sz w:val="21"/>
                      <w:szCs w:val="21"/>
                    </w:rPr>
                    <w:t>沉淀池沉渣</w:t>
                  </w:r>
                </w:p>
              </w:tc>
              <w:tc>
                <w:tcPr>
                  <w:tcW w:w="1016" w:type="dxa"/>
                  <w:tcBorders>
                    <w:tl2br w:val="nil"/>
                    <w:tr2bl w:val="nil"/>
                  </w:tcBorders>
                  <w:vAlign w:val="center"/>
                </w:tcPr>
                <w:p>
                  <w:pPr>
                    <w:pStyle w:val="57"/>
                    <w:rPr>
                      <w:color w:val="auto"/>
                      <w:sz w:val="21"/>
                      <w:szCs w:val="21"/>
                    </w:rPr>
                  </w:pPr>
                  <w:r>
                    <w:rPr>
                      <w:color w:val="auto"/>
                      <w:sz w:val="21"/>
                      <w:szCs w:val="21"/>
                    </w:rPr>
                    <w:t>一般工业固废</w:t>
                  </w:r>
                </w:p>
              </w:tc>
              <w:tc>
                <w:tcPr>
                  <w:tcW w:w="1439"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900-099-S59</w:t>
                  </w:r>
                </w:p>
              </w:tc>
              <w:tc>
                <w:tcPr>
                  <w:tcW w:w="938" w:type="dxa"/>
                  <w:tcBorders>
                    <w:tl2br w:val="nil"/>
                    <w:tr2bl w:val="nil"/>
                  </w:tcBorders>
                  <w:vAlign w:val="center"/>
                </w:tcPr>
                <w:p>
                  <w:pPr>
                    <w:pStyle w:val="93"/>
                    <w:adjustRightInd w:val="0"/>
                    <w:snapToGrid w:val="0"/>
                    <w:spacing w:before="0" w:beforeLines="0" w:after="0" w:afterLines="0" w:line="240" w:lineRule="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1664" w:type="dxa"/>
                  <w:vMerge w:val="continue"/>
                  <w:tcBorders>
                    <w:tl2br w:val="nil"/>
                    <w:tr2bl w:val="nil"/>
                  </w:tcBorders>
                  <w:vAlign w:val="center"/>
                </w:tcPr>
                <w:p>
                  <w:pPr>
                    <w:pStyle w:val="57"/>
                    <w:rPr>
                      <w:rFonts w:hint="default" w:ascii="Times New Roman" w:hAnsi="Times New Roman" w:cs="Times New Roman"/>
                      <w:color w:val="auto"/>
                      <w:sz w:val="21"/>
                      <w:szCs w:val="21"/>
                    </w:rPr>
                  </w:pPr>
                </w:p>
              </w:tc>
              <w:tc>
                <w:tcPr>
                  <w:tcW w:w="821" w:type="dxa"/>
                  <w:tcBorders>
                    <w:tl2br w:val="nil"/>
                    <w:tr2bl w:val="nil"/>
                  </w:tcBorders>
                  <w:shd w:val="clear" w:color="auto" w:fill="auto"/>
                  <w:vAlign w:val="center"/>
                </w:tcPr>
                <w:p>
                  <w:pPr>
                    <w:pStyle w:val="93"/>
                    <w:adjustRightInd w:val="0"/>
                    <w:snapToGrid w:val="0"/>
                    <w:spacing w:before="0" w:beforeLines="0" w:after="0" w:afterLines="0" w:line="240" w:lineRule="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905" w:type="dxa"/>
                  <w:tcBorders>
                    <w:tl2br w:val="nil"/>
                    <w:tr2bl w:val="nil"/>
                  </w:tcBorders>
                  <w:vAlign w:val="center"/>
                </w:tcPr>
                <w:p>
                  <w:pPr>
                    <w:pStyle w:val="57"/>
                    <w:rPr>
                      <w:color w:val="auto"/>
                      <w:sz w:val="21"/>
                      <w:szCs w:val="21"/>
                    </w:rPr>
                  </w:pPr>
                  <w:r>
                    <w:rPr>
                      <w:color w:val="auto"/>
                      <w:sz w:val="21"/>
                      <w:szCs w:val="21"/>
                    </w:rPr>
                    <w:t>生产工序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45" w:hRule="atLeast"/>
                <w:jc w:val="center"/>
              </w:trPr>
              <w:tc>
                <w:tcPr>
                  <w:tcW w:w="807" w:type="dxa"/>
                  <w:vMerge w:val="continue"/>
                  <w:tcBorders>
                    <w:tl2br w:val="nil"/>
                    <w:tr2bl w:val="nil"/>
                  </w:tcBorders>
                  <w:vAlign w:val="center"/>
                </w:tcPr>
                <w:p>
                  <w:pPr>
                    <w:pStyle w:val="57"/>
                    <w:rPr>
                      <w:color w:val="auto"/>
                      <w:sz w:val="21"/>
                      <w:szCs w:val="21"/>
                    </w:rPr>
                  </w:pPr>
                </w:p>
              </w:tc>
              <w:tc>
                <w:tcPr>
                  <w:tcW w:w="1080" w:type="dxa"/>
                  <w:tcBorders>
                    <w:tl2br w:val="nil"/>
                    <w:tr2bl w:val="nil"/>
                  </w:tcBorders>
                  <w:vAlign w:val="center"/>
                </w:tcPr>
                <w:p>
                  <w:pPr>
                    <w:adjustRightInd w:val="0"/>
                    <w:snapToGrid w:val="0"/>
                    <w:jc w:val="center"/>
                    <w:rPr>
                      <w:color w:val="auto"/>
                      <w:sz w:val="21"/>
                      <w:szCs w:val="21"/>
                    </w:rPr>
                  </w:pPr>
                  <w:r>
                    <w:rPr>
                      <w:rFonts w:hint="default" w:ascii="Times New Roman" w:hAnsi="Times New Roman" w:eastAsia="宋体" w:cs="Times New Roman"/>
                      <w:color w:val="auto"/>
                      <w:sz w:val="21"/>
                      <w:szCs w:val="21"/>
                      <w:highlight w:val="none"/>
                    </w:rPr>
                    <w:t>实验室废料</w:t>
                  </w:r>
                </w:p>
              </w:tc>
              <w:tc>
                <w:tcPr>
                  <w:tcW w:w="1016" w:type="dxa"/>
                  <w:tcBorders>
                    <w:tl2br w:val="nil"/>
                    <w:tr2bl w:val="nil"/>
                  </w:tcBorders>
                  <w:vAlign w:val="center"/>
                </w:tcPr>
                <w:p>
                  <w:pPr>
                    <w:pStyle w:val="57"/>
                    <w:rPr>
                      <w:color w:val="auto"/>
                      <w:sz w:val="21"/>
                      <w:szCs w:val="21"/>
                    </w:rPr>
                  </w:pPr>
                  <w:r>
                    <w:rPr>
                      <w:color w:val="auto"/>
                      <w:sz w:val="21"/>
                      <w:szCs w:val="21"/>
                    </w:rPr>
                    <w:t>一般工业固废</w:t>
                  </w:r>
                </w:p>
              </w:tc>
              <w:tc>
                <w:tcPr>
                  <w:tcW w:w="1439"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900-099-S59</w:t>
                  </w:r>
                </w:p>
              </w:tc>
              <w:tc>
                <w:tcPr>
                  <w:tcW w:w="938" w:type="dxa"/>
                  <w:tcBorders>
                    <w:tl2br w:val="nil"/>
                    <w:tr2bl w:val="nil"/>
                  </w:tcBorders>
                  <w:vAlign w:val="center"/>
                </w:tcPr>
                <w:p>
                  <w:pPr>
                    <w:pStyle w:val="93"/>
                    <w:adjustRightInd w:val="0"/>
                    <w:snapToGrid w:val="0"/>
                    <w:spacing w:before="0" w:beforeLines="0" w:after="0" w:afterLines="0" w:line="240" w:lineRule="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1664" w:type="dxa"/>
                  <w:vMerge w:val="continue"/>
                  <w:tcBorders>
                    <w:tl2br w:val="nil"/>
                    <w:tr2bl w:val="nil"/>
                  </w:tcBorders>
                  <w:vAlign w:val="center"/>
                </w:tcPr>
                <w:p>
                  <w:pPr>
                    <w:pStyle w:val="57"/>
                    <w:rPr>
                      <w:rFonts w:hint="default" w:ascii="Times New Roman" w:hAnsi="Times New Roman" w:cs="Times New Roman"/>
                      <w:color w:val="auto"/>
                      <w:sz w:val="21"/>
                      <w:szCs w:val="21"/>
                    </w:rPr>
                  </w:pPr>
                </w:p>
              </w:tc>
              <w:tc>
                <w:tcPr>
                  <w:tcW w:w="821" w:type="dxa"/>
                  <w:tcBorders>
                    <w:tl2br w:val="nil"/>
                    <w:tr2bl w:val="nil"/>
                  </w:tcBorders>
                  <w:shd w:val="clear" w:color="auto" w:fill="auto"/>
                  <w:vAlign w:val="center"/>
                </w:tcPr>
                <w:p>
                  <w:pPr>
                    <w:pStyle w:val="93"/>
                    <w:adjustRightInd w:val="0"/>
                    <w:snapToGrid w:val="0"/>
                    <w:spacing w:before="0" w:beforeLines="0" w:after="0" w:afterLines="0" w:line="240" w:lineRule="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905" w:type="dxa"/>
                  <w:tcBorders>
                    <w:tl2br w:val="nil"/>
                    <w:tr2bl w:val="nil"/>
                  </w:tcBorders>
                  <w:vAlign w:val="center"/>
                </w:tcPr>
                <w:p>
                  <w:pPr>
                    <w:pStyle w:val="57"/>
                    <w:rPr>
                      <w:color w:val="auto"/>
                      <w:sz w:val="21"/>
                      <w:szCs w:val="21"/>
                    </w:rPr>
                  </w:pPr>
                  <w:r>
                    <w:rPr>
                      <w:color w:val="auto"/>
                      <w:sz w:val="21"/>
                      <w:szCs w:val="21"/>
                    </w:rPr>
                    <w:t>生产工序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807" w:type="dxa"/>
                  <w:vMerge w:val="continue"/>
                  <w:tcBorders>
                    <w:tl2br w:val="nil"/>
                    <w:tr2bl w:val="nil"/>
                  </w:tcBorders>
                  <w:vAlign w:val="center"/>
                </w:tcPr>
                <w:p>
                  <w:pPr>
                    <w:pStyle w:val="57"/>
                    <w:rPr>
                      <w:color w:val="auto"/>
                      <w:sz w:val="21"/>
                      <w:szCs w:val="21"/>
                    </w:rPr>
                  </w:pPr>
                </w:p>
              </w:tc>
              <w:tc>
                <w:tcPr>
                  <w:tcW w:w="1080" w:type="dxa"/>
                  <w:tcBorders>
                    <w:tl2br w:val="nil"/>
                    <w:tr2bl w:val="nil"/>
                  </w:tcBorders>
                  <w:vAlign w:val="center"/>
                </w:tcPr>
                <w:p>
                  <w:pPr>
                    <w:adjustRightInd w:val="0"/>
                    <w:snapToGrid w:val="0"/>
                    <w:jc w:val="center"/>
                    <w:rPr>
                      <w:color w:val="auto"/>
                      <w:sz w:val="21"/>
                      <w:szCs w:val="21"/>
                    </w:rPr>
                  </w:pPr>
                  <w:r>
                    <w:rPr>
                      <w:color w:val="auto"/>
                      <w:sz w:val="21"/>
                      <w:szCs w:val="21"/>
                    </w:rPr>
                    <w:t>砂和碎石混合物</w:t>
                  </w:r>
                </w:p>
              </w:tc>
              <w:tc>
                <w:tcPr>
                  <w:tcW w:w="1016" w:type="dxa"/>
                  <w:tcBorders>
                    <w:tl2br w:val="nil"/>
                    <w:tr2bl w:val="nil"/>
                  </w:tcBorders>
                  <w:vAlign w:val="center"/>
                </w:tcPr>
                <w:p>
                  <w:pPr>
                    <w:pStyle w:val="57"/>
                    <w:rPr>
                      <w:color w:val="auto"/>
                      <w:kern w:val="0"/>
                      <w:sz w:val="21"/>
                      <w:szCs w:val="21"/>
                    </w:rPr>
                  </w:pPr>
                  <w:r>
                    <w:rPr>
                      <w:color w:val="auto"/>
                      <w:sz w:val="21"/>
                      <w:szCs w:val="21"/>
                    </w:rPr>
                    <w:t>一般工业固废</w:t>
                  </w:r>
                </w:p>
              </w:tc>
              <w:tc>
                <w:tcPr>
                  <w:tcW w:w="1439"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900-099-S59</w:t>
                  </w:r>
                </w:p>
              </w:tc>
              <w:tc>
                <w:tcPr>
                  <w:tcW w:w="938" w:type="dxa"/>
                  <w:tcBorders>
                    <w:tl2br w:val="nil"/>
                    <w:tr2bl w:val="nil"/>
                  </w:tcBorders>
                  <w:vAlign w:val="center"/>
                </w:tcPr>
                <w:p>
                  <w:pPr>
                    <w:pStyle w:val="93"/>
                    <w:adjustRightInd w:val="0"/>
                    <w:snapToGrid w:val="0"/>
                    <w:spacing w:before="0" w:beforeLines="0" w:after="0" w:afterLines="0" w:line="240" w:lineRule="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1664" w:type="dxa"/>
                  <w:vMerge w:val="continue"/>
                  <w:tcBorders>
                    <w:tl2br w:val="nil"/>
                    <w:tr2bl w:val="nil"/>
                  </w:tcBorders>
                  <w:vAlign w:val="center"/>
                </w:tcPr>
                <w:p>
                  <w:pPr>
                    <w:pStyle w:val="57"/>
                    <w:rPr>
                      <w:rFonts w:hint="default" w:ascii="Times New Roman" w:hAnsi="Times New Roman" w:cs="Times New Roman"/>
                      <w:color w:val="auto"/>
                      <w:kern w:val="0"/>
                      <w:sz w:val="21"/>
                      <w:szCs w:val="21"/>
                    </w:rPr>
                  </w:pPr>
                </w:p>
              </w:tc>
              <w:tc>
                <w:tcPr>
                  <w:tcW w:w="821" w:type="dxa"/>
                  <w:tcBorders>
                    <w:tl2br w:val="nil"/>
                    <w:tr2bl w:val="nil"/>
                  </w:tcBorders>
                  <w:shd w:val="clear" w:color="auto" w:fill="auto"/>
                  <w:vAlign w:val="center"/>
                </w:tcPr>
                <w:p>
                  <w:pPr>
                    <w:pStyle w:val="93"/>
                    <w:adjustRightInd w:val="0"/>
                    <w:snapToGrid w:val="0"/>
                    <w:spacing w:before="0" w:beforeLines="0" w:after="0" w:afterLines="0" w:line="240" w:lineRule="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80</w:t>
                  </w:r>
                </w:p>
              </w:tc>
              <w:tc>
                <w:tcPr>
                  <w:tcW w:w="905" w:type="dxa"/>
                  <w:tcBorders>
                    <w:tl2br w:val="nil"/>
                    <w:tr2bl w:val="nil"/>
                  </w:tcBorders>
                  <w:vAlign w:val="center"/>
                </w:tcPr>
                <w:p>
                  <w:pPr>
                    <w:pStyle w:val="57"/>
                    <w:rPr>
                      <w:color w:val="auto"/>
                      <w:kern w:val="0"/>
                      <w:sz w:val="21"/>
                      <w:szCs w:val="21"/>
                    </w:rPr>
                  </w:pPr>
                  <w:r>
                    <w:rPr>
                      <w:color w:val="auto"/>
                      <w:sz w:val="21"/>
                      <w:szCs w:val="21"/>
                    </w:rPr>
                    <w:t>生产工序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283" w:hRule="atLeast"/>
                <w:jc w:val="center"/>
              </w:trPr>
              <w:tc>
                <w:tcPr>
                  <w:tcW w:w="807" w:type="dxa"/>
                  <w:vMerge w:val="continue"/>
                  <w:tcBorders>
                    <w:tl2br w:val="nil"/>
                    <w:tr2bl w:val="nil"/>
                  </w:tcBorders>
                  <w:vAlign w:val="center"/>
                </w:tcPr>
                <w:p>
                  <w:pPr>
                    <w:pStyle w:val="57"/>
                    <w:rPr>
                      <w:color w:val="auto"/>
                      <w:sz w:val="21"/>
                      <w:szCs w:val="21"/>
                    </w:rPr>
                  </w:pPr>
                </w:p>
              </w:tc>
              <w:tc>
                <w:tcPr>
                  <w:tcW w:w="1080" w:type="dxa"/>
                  <w:tcBorders>
                    <w:tl2br w:val="nil"/>
                    <w:tr2bl w:val="nil"/>
                  </w:tcBorders>
                  <w:vAlign w:val="center"/>
                </w:tcPr>
                <w:p>
                  <w:pPr>
                    <w:adjustRightInd w:val="0"/>
                    <w:snapToGrid w:val="0"/>
                    <w:jc w:val="center"/>
                    <w:rPr>
                      <w:color w:val="auto"/>
                      <w:sz w:val="21"/>
                      <w:szCs w:val="21"/>
                    </w:rPr>
                  </w:pPr>
                  <w:r>
                    <w:rPr>
                      <w:color w:val="auto"/>
                      <w:sz w:val="21"/>
                      <w:szCs w:val="21"/>
                    </w:rPr>
                    <w:t>废布袋</w:t>
                  </w:r>
                </w:p>
              </w:tc>
              <w:tc>
                <w:tcPr>
                  <w:tcW w:w="1016" w:type="dxa"/>
                  <w:tcBorders>
                    <w:tl2br w:val="nil"/>
                    <w:tr2bl w:val="nil"/>
                  </w:tcBorders>
                  <w:vAlign w:val="center"/>
                </w:tcPr>
                <w:p>
                  <w:pPr>
                    <w:pStyle w:val="57"/>
                    <w:rPr>
                      <w:color w:val="auto"/>
                      <w:sz w:val="21"/>
                      <w:szCs w:val="21"/>
                    </w:rPr>
                  </w:pPr>
                  <w:r>
                    <w:rPr>
                      <w:color w:val="auto"/>
                      <w:sz w:val="21"/>
                      <w:szCs w:val="21"/>
                    </w:rPr>
                    <w:t>一般工业固废</w:t>
                  </w:r>
                </w:p>
              </w:tc>
              <w:tc>
                <w:tcPr>
                  <w:tcW w:w="1439" w:type="dxa"/>
                  <w:tcBorders>
                    <w:tl2br w:val="nil"/>
                    <w:tr2bl w:val="nil"/>
                  </w:tcBorders>
                  <w:vAlign w:val="center"/>
                </w:tcPr>
                <w:p>
                  <w:pPr>
                    <w:pStyle w:val="5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900-009-S59</w:t>
                  </w:r>
                </w:p>
              </w:tc>
              <w:tc>
                <w:tcPr>
                  <w:tcW w:w="938" w:type="dxa"/>
                  <w:tcBorders>
                    <w:tl2br w:val="nil"/>
                    <w:tr2bl w:val="nil"/>
                  </w:tcBorders>
                  <w:vAlign w:val="center"/>
                </w:tcPr>
                <w:p>
                  <w:pPr>
                    <w:pStyle w:val="93"/>
                    <w:adjustRightInd w:val="0"/>
                    <w:snapToGrid w:val="0"/>
                    <w:spacing w:before="0" w:beforeLines="0" w:after="0" w:afterLines="0"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0.04</w:t>
                  </w:r>
                </w:p>
              </w:tc>
              <w:tc>
                <w:tcPr>
                  <w:tcW w:w="1664" w:type="dxa"/>
                  <w:tcBorders>
                    <w:tl2br w:val="nil"/>
                    <w:tr2bl w:val="nil"/>
                  </w:tcBorders>
                  <w:vAlign w:val="center"/>
                </w:tcPr>
                <w:p>
                  <w:pPr>
                    <w:pStyle w:val="57"/>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val="en-US" w:eastAsia="zh-CN"/>
                    </w:rPr>
                    <w:t>厂家回收处置</w:t>
                  </w:r>
                </w:p>
              </w:tc>
              <w:tc>
                <w:tcPr>
                  <w:tcW w:w="821" w:type="dxa"/>
                  <w:tcBorders>
                    <w:tl2br w:val="nil"/>
                    <w:tr2bl w:val="nil"/>
                  </w:tcBorders>
                  <w:shd w:val="clear" w:color="auto" w:fill="auto"/>
                  <w:vAlign w:val="center"/>
                </w:tcPr>
                <w:p>
                  <w:pPr>
                    <w:pStyle w:val="93"/>
                    <w:adjustRightInd w:val="0"/>
                    <w:snapToGrid w:val="0"/>
                    <w:spacing w:before="0" w:beforeLines="0" w:after="0" w:afterLines="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0.04</w:t>
                  </w:r>
                </w:p>
              </w:tc>
              <w:tc>
                <w:tcPr>
                  <w:tcW w:w="905" w:type="dxa"/>
                  <w:tcBorders>
                    <w:tl2br w:val="nil"/>
                    <w:tr2bl w:val="nil"/>
                  </w:tcBorders>
                  <w:vAlign w:val="center"/>
                </w:tcPr>
                <w:p>
                  <w:pPr>
                    <w:pStyle w:val="57"/>
                    <w:rPr>
                      <w:color w:val="auto"/>
                      <w:kern w:val="0"/>
                      <w:sz w:val="21"/>
                      <w:szCs w:val="21"/>
                    </w:rPr>
                  </w:pPr>
                  <w:r>
                    <w:rPr>
                      <w:rFonts w:hint="eastAsia"/>
                      <w:color w:val="auto"/>
                      <w:sz w:val="21"/>
                      <w:szCs w:val="21"/>
                      <w:lang w:val="en-US" w:eastAsia="zh-CN"/>
                    </w:rPr>
                    <w:t>厂家回收</w:t>
                  </w:r>
                </w:p>
              </w:tc>
            </w:tr>
          </w:tbl>
          <w:p>
            <w:pPr>
              <w:pStyle w:val="54"/>
              <w:numPr>
                <w:ilvl w:val="0"/>
                <w:numId w:val="11"/>
              </w:numPr>
              <w:ind w:firstLine="482"/>
              <w:jc w:val="both"/>
              <w:rPr>
                <w:b/>
                <w:bCs/>
                <w:color w:val="auto"/>
              </w:rPr>
            </w:pPr>
            <w:r>
              <w:rPr>
                <w:rFonts w:hint="eastAsia"/>
                <w:b/>
                <w:bCs/>
                <w:color w:val="auto"/>
              </w:rPr>
              <w:t>土壤、地下水</w:t>
            </w:r>
          </w:p>
          <w:p>
            <w:pPr>
              <w:spacing w:line="360" w:lineRule="auto"/>
              <w:ind w:firstLine="480" w:firstLineChars="200"/>
              <w:rPr>
                <w:color w:val="auto"/>
              </w:rPr>
            </w:pPr>
            <w:r>
              <w:rPr>
                <w:color w:val="auto"/>
              </w:rPr>
              <w:t>根据《环境影响评价技术导则—地下水环境》（HJ610-2016）附录A的规定，本项目属于Ⅳ类建设项目，所以本项目不开展地下水环境评价工作，仅需采取相应防渗措施。</w:t>
            </w:r>
          </w:p>
          <w:p>
            <w:pPr>
              <w:pStyle w:val="30"/>
              <w:spacing w:line="360" w:lineRule="auto"/>
              <w:ind w:firstLine="480" w:firstLineChars="200"/>
              <w:jc w:val="left"/>
              <w:rPr>
                <w:rFonts w:hint="eastAsia" w:eastAsia="宋体"/>
                <w:color w:val="000000" w:themeColor="text1"/>
                <w:lang w:eastAsia="zh-CN"/>
                <w14:textFill>
                  <w14:solidFill>
                    <w14:schemeClr w14:val="tx1"/>
                  </w14:solidFill>
                </w14:textFill>
              </w:rPr>
            </w:pPr>
            <w:bookmarkStart w:id="21" w:name="_Hlk203118549"/>
            <w:r>
              <w:rPr>
                <w:color w:val="auto"/>
                <w:sz w:val="24"/>
                <w:szCs w:val="24"/>
              </w:rPr>
              <w:t>本项目用地范围内均进行了</w:t>
            </w:r>
            <w:r>
              <w:rPr>
                <w:rFonts w:hint="eastAsia"/>
                <w:color w:val="auto"/>
                <w:sz w:val="24"/>
                <w:szCs w:val="24"/>
              </w:rPr>
              <w:t>地面硬化</w:t>
            </w:r>
            <w:r>
              <w:rPr>
                <w:color w:val="auto"/>
                <w:sz w:val="24"/>
                <w:szCs w:val="24"/>
              </w:rPr>
              <w:t>，</w:t>
            </w:r>
            <w:r>
              <w:rPr>
                <w:rFonts w:hint="eastAsia"/>
                <w:color w:val="auto"/>
                <w:sz w:val="24"/>
                <w:szCs w:val="24"/>
              </w:rPr>
              <w:t>沉淀池</w:t>
            </w:r>
            <w:r>
              <w:rPr>
                <w:color w:val="auto"/>
                <w:sz w:val="24"/>
                <w:szCs w:val="24"/>
              </w:rPr>
              <w:t>池体采用水泥建筑，内刷防腐蚀涂料，池壁刷防水防渗材料，池底铺设防渗膜，单位面积防渗能力达到等效黏土防渗层Mb≥6.0m，渗透系数≤1×10</w:t>
            </w:r>
            <w:r>
              <w:rPr>
                <w:color w:val="auto"/>
                <w:sz w:val="24"/>
                <w:szCs w:val="24"/>
                <w:vertAlign w:val="superscript"/>
              </w:rPr>
              <w:t>-7</w:t>
            </w:r>
            <w:r>
              <w:rPr>
                <w:color w:val="auto"/>
                <w:sz w:val="24"/>
                <w:szCs w:val="24"/>
              </w:rPr>
              <w:t>cm/s</w:t>
            </w:r>
            <w:r>
              <w:rPr>
                <w:rFonts w:hint="eastAsia"/>
                <w:color w:val="auto"/>
                <w:sz w:val="24"/>
                <w:szCs w:val="24"/>
              </w:rPr>
              <w:t>。旱厕采用</w:t>
            </w:r>
            <w:r>
              <w:rPr>
                <w:color w:val="auto"/>
                <w:sz w:val="24"/>
                <w:szCs w:val="24"/>
              </w:rPr>
              <w:t>铺设双层土工膜上敷混凝土，渗透系数≤1×10</w:t>
            </w:r>
            <w:r>
              <w:rPr>
                <w:color w:val="auto"/>
                <w:sz w:val="24"/>
                <w:szCs w:val="24"/>
                <w:vertAlign w:val="superscript"/>
              </w:rPr>
              <w:t>-7</w:t>
            </w:r>
            <w:r>
              <w:rPr>
                <w:color w:val="auto"/>
                <w:sz w:val="24"/>
                <w:szCs w:val="24"/>
              </w:rPr>
              <w:t>cm/s</w:t>
            </w:r>
            <w:r>
              <w:rPr>
                <w:rFonts w:hint="eastAsia"/>
                <w:color w:val="auto"/>
                <w:sz w:val="24"/>
                <w:szCs w:val="24"/>
              </w:rPr>
              <w:t>。采取以上防渗措施后项目不会对土壤、地下水产生影响</w:t>
            </w:r>
            <w:bookmarkEnd w:id="21"/>
            <w:r>
              <w:rPr>
                <w:color w:val="auto"/>
                <w:sz w:val="24"/>
                <w:szCs w:val="24"/>
              </w:rPr>
              <w:t>。</w:t>
            </w:r>
          </w:p>
        </w:tc>
      </w:tr>
    </w:tbl>
    <w:p>
      <w:pPr>
        <w:rPr>
          <w:color w:val="000000" w:themeColor="text1"/>
          <w14:textFill>
            <w14:solidFill>
              <w14:schemeClr w14:val="tx1"/>
            </w14:solidFill>
          </w14:textFill>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ind w:firstLine="600"/>
        <w:jc w:val="center"/>
        <w:outlineLvl w:val="0"/>
        <w:rPr>
          <w:rFonts w:eastAsia="黑体"/>
          <w:color w:val="000000" w:themeColor="text1"/>
          <w:sz w:val="30"/>
          <w:szCs w:val="30"/>
          <w14:textFill>
            <w14:solidFill>
              <w14:schemeClr w14:val="tx1"/>
            </w14:solidFill>
          </w14:textFill>
        </w:rPr>
      </w:pPr>
      <w:bookmarkStart w:id="22" w:name="_Toc4954"/>
      <w:r>
        <w:rPr>
          <w:rFonts w:eastAsia="黑体"/>
          <w:color w:val="000000" w:themeColor="text1"/>
          <w:sz w:val="30"/>
          <w:szCs w:val="30"/>
          <w14:textFill>
            <w14:solidFill>
              <w14:schemeClr w14:val="tx1"/>
            </w14:solidFill>
          </w14:textFill>
        </w:rPr>
        <w:t>五</w:t>
      </w:r>
      <w:r>
        <w:rPr>
          <w:rFonts w:eastAsia="黑体"/>
          <w:color w:val="000000" w:themeColor="text1"/>
          <w:sz w:val="30"/>
          <w:szCs w:val="30"/>
          <w:highlight w:val="none"/>
          <w14:textFill>
            <w14:solidFill>
              <w14:schemeClr w14:val="tx1"/>
            </w14:solidFill>
          </w14:textFill>
        </w:rPr>
        <w:t>、环境保护措施监督检查清单</w:t>
      </w:r>
      <w:bookmarkEnd w:id="22"/>
    </w:p>
    <w:tbl>
      <w:tblPr>
        <w:tblStyle w:val="33"/>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700"/>
        <w:gridCol w:w="1175"/>
        <w:gridCol w:w="3361"/>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tcBorders>
              <w:tl2br w:val="nil"/>
              <w:tr2bl w:val="nil"/>
            </w:tcBorders>
            <w:vAlign w:val="center"/>
          </w:tcPr>
          <w:p>
            <w:pPr>
              <w:spacing w:line="240" w:lineRule="auto"/>
              <w:jc w:val="right"/>
              <w:rPr>
                <w:color w:val="000000" w:themeColor="text1"/>
                <w14:textFill>
                  <w14:solidFill>
                    <w14:schemeClr w14:val="tx1"/>
                  </w14:solidFill>
                </w14:textFill>
              </w:rPr>
            </w:pPr>
            <w:r>
              <w:rPr>
                <w:color w:val="000000" w:themeColor="text1"/>
                <w14:textFill>
                  <w14:solidFill>
                    <w14:schemeClr w14:val="tx1"/>
                  </w14:solidFill>
                </w14:textFill>
              </w:rPr>
              <w:t>内容</w:t>
            </w:r>
          </w:p>
          <w:p>
            <w:p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要素</w:t>
            </w:r>
          </w:p>
        </w:tc>
        <w:tc>
          <w:tcPr>
            <w:tcW w:w="1700"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排放口（编号、名称）/污染源</w:t>
            </w:r>
          </w:p>
        </w:tc>
        <w:tc>
          <w:tcPr>
            <w:tcW w:w="1175"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336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环境保护措施</w:t>
            </w:r>
          </w:p>
        </w:tc>
        <w:tc>
          <w:tcPr>
            <w:tcW w:w="21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vMerge w:val="restart"/>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1700" w:type="dxa"/>
            <w:tcBorders>
              <w:tl2br w:val="nil"/>
              <w:tr2bl w:val="nil"/>
            </w:tcBorders>
            <w:vAlign w:val="center"/>
          </w:tcPr>
          <w:p>
            <w:pPr>
              <w:adjustRightInd w:val="0"/>
              <w:snapToGrid w:val="0"/>
              <w:spacing w:line="240" w:lineRule="auto"/>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料仓</w:t>
            </w:r>
            <w:r>
              <w:rPr>
                <w:bCs/>
                <w:color w:val="000000" w:themeColor="text1"/>
                <w14:textFill>
                  <w14:solidFill>
                    <w14:schemeClr w14:val="tx1"/>
                  </w14:solidFill>
                </w14:textFill>
              </w:rPr>
              <w:t>、装卸产生的粉尘</w:t>
            </w:r>
          </w:p>
        </w:tc>
        <w:tc>
          <w:tcPr>
            <w:tcW w:w="1175" w:type="dxa"/>
            <w:tcBorders>
              <w:tl2br w:val="nil"/>
              <w:tr2bl w:val="nil"/>
            </w:tcBorders>
            <w:vAlign w:val="center"/>
          </w:tcPr>
          <w:p>
            <w:pPr>
              <w:adjustRightInd w:val="0"/>
              <w:snapToGrid w:val="0"/>
              <w:spacing w:line="24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t>颗粒物</w:t>
            </w:r>
          </w:p>
        </w:tc>
        <w:tc>
          <w:tcPr>
            <w:tcW w:w="3361" w:type="dxa"/>
            <w:tcBorders>
              <w:tl2br w:val="nil"/>
              <w:tr2bl w:val="nil"/>
            </w:tcBorders>
            <w:vAlign w:val="center"/>
          </w:tcPr>
          <w:p>
            <w:pPr>
              <w:adjustRightInd w:val="0"/>
              <w:snapToGrid w:val="0"/>
              <w:spacing w:line="24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t>水泥采用封闭式罐车运入厂区，</w:t>
            </w:r>
            <w:r>
              <w:rPr>
                <w:rFonts w:hint="eastAsia"/>
                <w:bCs/>
                <w:color w:val="000000" w:themeColor="text1"/>
                <w14:textFill>
                  <w14:solidFill>
                    <w14:schemeClr w14:val="tx1"/>
                  </w14:solidFill>
                </w14:textFill>
              </w:rPr>
              <w:t>直接进入水泥筒仓。</w:t>
            </w:r>
            <w:r>
              <w:rPr>
                <w:bCs/>
                <w:color w:val="000000" w:themeColor="text1"/>
                <w14:textFill>
                  <w14:solidFill>
                    <w14:schemeClr w14:val="tx1"/>
                  </w14:solidFill>
                </w14:textFill>
              </w:rPr>
              <w:t>砂石料运输车辆采用苫布覆盖；</w:t>
            </w:r>
            <w:r>
              <w:rPr>
                <w:rFonts w:hint="default" w:ascii="Times New Roman" w:hAnsi="Times New Roman" w:eastAsia="宋体" w:cs="Times New Roman"/>
                <w:color w:val="auto"/>
                <w:sz w:val="24"/>
                <w:szCs w:val="24"/>
                <w:highlight w:val="none"/>
                <w:u w:val="none"/>
              </w:rPr>
              <w:t>对输送皮带要进行全封闭三面遮挡，并且加强转载点封闭强度，砂、石进料口处定期洒水</w:t>
            </w:r>
            <w:r>
              <w:rPr>
                <w:rFonts w:hint="eastAsia" w:ascii="Times New Roman" w:hAnsi="Times New Roman" w:eastAsia="宋体" w:cs="Times New Roman"/>
                <w:color w:val="auto"/>
                <w:sz w:val="24"/>
                <w:szCs w:val="24"/>
                <w:highlight w:val="none"/>
                <w:u w:val="none"/>
                <w:lang w:eastAsia="zh-CN"/>
              </w:rPr>
              <w:t>，</w:t>
            </w:r>
            <w:r>
              <w:rPr>
                <w:bCs/>
                <w:color w:val="000000" w:themeColor="text1"/>
                <w14:textFill>
                  <w14:solidFill>
                    <w14:schemeClr w14:val="tx1"/>
                  </w14:solidFill>
                </w14:textFill>
              </w:rPr>
              <w:t>厂区地面硬化</w:t>
            </w:r>
          </w:p>
        </w:tc>
        <w:tc>
          <w:tcPr>
            <w:tcW w:w="2151" w:type="dxa"/>
            <w:tcBorders>
              <w:tl2br w:val="nil"/>
              <w:tr2bl w:val="nil"/>
            </w:tcBorders>
            <w:vAlign w:val="center"/>
          </w:tcPr>
          <w:p>
            <w:pPr>
              <w:adjustRightInd w:val="0"/>
              <w:snapToGrid w:val="0"/>
              <w:spacing w:line="240" w:lineRule="auto"/>
              <w:jc w:val="center"/>
              <w:rPr>
                <w:bCs/>
                <w:color w:val="000000" w:themeColor="text1"/>
                <w14:textFill>
                  <w14:solidFill>
                    <w14:schemeClr w14:val="tx1"/>
                  </w14:solidFill>
                </w14:textFill>
              </w:rPr>
            </w:pPr>
            <w:r>
              <w:rPr>
                <w:bCs/>
                <w:color w:val="000000" w:themeColor="text1"/>
                <w14:textFill>
                  <w14:solidFill>
                    <w14:schemeClr w14:val="tx1"/>
                  </w14:solidFill>
                </w14:textFill>
              </w:rPr>
              <w:t>《水泥工业大气污染物排放标准》（GB4915-2013）表3中排放浓度限值（上下风向颗粒物小时浓度差值0.5mg/m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251" w:type="dxa"/>
            <w:vMerge w:val="continue"/>
            <w:tcBorders>
              <w:tl2br w:val="nil"/>
              <w:tr2bl w:val="nil"/>
            </w:tcBorders>
            <w:vAlign w:val="center"/>
          </w:tcPr>
          <w:p>
            <w:pPr>
              <w:spacing w:line="240" w:lineRule="auto"/>
              <w:jc w:val="center"/>
              <w:rPr>
                <w:color w:val="000000" w:themeColor="text1"/>
                <w14:textFill>
                  <w14:solidFill>
                    <w14:schemeClr w14:val="tx1"/>
                  </w14:solidFill>
                </w14:textFill>
              </w:rPr>
            </w:pPr>
          </w:p>
        </w:tc>
        <w:tc>
          <w:tcPr>
            <w:tcW w:w="1700" w:type="dxa"/>
            <w:tcBorders>
              <w:tl2br w:val="nil"/>
              <w:tr2bl w:val="nil"/>
            </w:tcBorders>
            <w:shd w:val="clear" w:color="auto" w:fill="auto"/>
            <w:vAlign w:val="center"/>
          </w:tcPr>
          <w:p>
            <w:pPr>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bCs/>
                <w:color w:val="000000" w:themeColor="text1"/>
                <w:lang w:val="en-US" w:eastAsia="zh-CN"/>
                <w14:textFill>
                  <w14:solidFill>
                    <w14:schemeClr w14:val="tx1"/>
                  </w14:solidFill>
                </w14:textFill>
              </w:rPr>
              <w:t>商品混凝土</w:t>
            </w:r>
            <w:r>
              <w:rPr>
                <w:bCs/>
                <w:color w:val="000000" w:themeColor="text1"/>
                <w14:textFill>
                  <w14:solidFill>
                    <w14:schemeClr w14:val="tx1"/>
                  </w14:solidFill>
                </w14:textFill>
              </w:rPr>
              <w:t>搅拌</w:t>
            </w:r>
          </w:p>
        </w:tc>
        <w:tc>
          <w:tcPr>
            <w:tcW w:w="1175" w:type="dxa"/>
            <w:tcBorders>
              <w:tl2br w:val="nil"/>
              <w:tr2bl w:val="nil"/>
            </w:tcBorders>
            <w:shd w:val="clear" w:color="auto" w:fill="auto"/>
            <w:vAlign w:val="center"/>
          </w:tcPr>
          <w:p>
            <w:pPr>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bCs/>
                <w:color w:val="000000" w:themeColor="text1"/>
                <w14:textFill>
                  <w14:solidFill>
                    <w14:schemeClr w14:val="tx1"/>
                  </w14:solidFill>
                </w14:textFill>
              </w:rPr>
              <w:t>颗粒物</w:t>
            </w:r>
          </w:p>
        </w:tc>
        <w:tc>
          <w:tcPr>
            <w:tcW w:w="3361" w:type="dxa"/>
            <w:tcBorders>
              <w:tl2br w:val="nil"/>
              <w:tr2bl w:val="nil"/>
            </w:tcBorders>
            <w:vAlign w:val="center"/>
          </w:tcPr>
          <w:p>
            <w:pPr>
              <w:adjustRightInd w:val="0"/>
              <w:snapToGrid w:val="0"/>
              <w:spacing w:line="240" w:lineRule="auto"/>
              <w:jc w:val="center"/>
              <w:rPr>
                <w:rFonts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搅拌工序粉尘由搅拌机产生，搅拌机位于密闭搅拌楼内，搅拌楼内的投料粉尘和搅拌粉尘通过负压收集的方式通过管道引入布袋除尘器处理后经</w:t>
            </w:r>
            <w:r>
              <w:rPr>
                <w:rFonts w:hint="eastAsia" w:ascii="Times New Roman" w:hAnsi="Times New Roman" w:eastAsia="宋体" w:cs="Times New Roman"/>
                <w:bCs/>
                <w:color w:val="000000" w:themeColor="text1"/>
                <w:lang w:val="en-US" w:eastAsia="zh-CN"/>
                <w14:textFill>
                  <w14:solidFill>
                    <w14:schemeClr w14:val="tx1"/>
                  </w14:solidFill>
                </w14:textFill>
              </w:rPr>
              <w:t>15</w:t>
            </w:r>
            <w:r>
              <w:rPr>
                <w:rFonts w:hint="default" w:ascii="Times New Roman" w:hAnsi="Times New Roman" w:eastAsia="宋体" w:cs="Times New Roman"/>
                <w:bCs/>
                <w:color w:val="000000" w:themeColor="text1"/>
                <w:lang w:val="en-US" w:eastAsia="zh-CN"/>
                <w14:textFill>
                  <w14:solidFill>
                    <w14:schemeClr w14:val="tx1"/>
                  </w14:solidFill>
                </w14:textFill>
              </w:rPr>
              <w:t>m排气筒DA00</w:t>
            </w:r>
            <w:r>
              <w:rPr>
                <w:rFonts w:hint="eastAsia" w:ascii="Times New Roman" w:hAnsi="Times New Roman" w:eastAsia="宋体" w:cs="Times New Roman"/>
                <w:bCs/>
                <w:color w:val="000000" w:themeColor="text1"/>
                <w:lang w:val="en-US" w:eastAsia="zh-CN"/>
                <w14:textFill>
                  <w14:solidFill>
                    <w14:schemeClr w14:val="tx1"/>
                  </w14:solidFill>
                </w14:textFill>
              </w:rPr>
              <w:t>4</w:t>
            </w:r>
            <w:r>
              <w:rPr>
                <w:rFonts w:hint="default" w:ascii="Times New Roman" w:hAnsi="Times New Roman" w:eastAsia="宋体" w:cs="Times New Roman"/>
                <w:bCs/>
                <w:color w:val="000000" w:themeColor="text1"/>
                <w:lang w:val="en-US" w:eastAsia="zh-CN"/>
                <w14:textFill>
                  <w14:solidFill>
                    <w14:schemeClr w14:val="tx1"/>
                  </w14:solidFill>
                </w14:textFill>
              </w:rPr>
              <w:t>排放</w:t>
            </w:r>
          </w:p>
        </w:tc>
        <w:tc>
          <w:tcPr>
            <w:tcW w:w="215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《水泥工业大气污染物排放标准》</w:t>
            </w:r>
          </w:p>
          <w:p>
            <w:pPr>
              <w:adjustRightInd w:val="0"/>
              <w:snapToGrid w:val="0"/>
              <w:spacing w:line="240" w:lineRule="auto"/>
              <w:jc w:val="center"/>
              <w:rPr>
                <w:rFonts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（GB4915-2013）表2大气污染物特别排放限值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1" w:hRule="atLeast"/>
          <w:jc w:val="center"/>
        </w:trPr>
        <w:tc>
          <w:tcPr>
            <w:tcW w:w="1251" w:type="dxa"/>
            <w:vMerge w:val="continue"/>
            <w:tcBorders>
              <w:tl2br w:val="nil"/>
              <w:tr2bl w:val="nil"/>
            </w:tcBorders>
            <w:vAlign w:val="center"/>
          </w:tcPr>
          <w:p>
            <w:pPr>
              <w:spacing w:line="240" w:lineRule="auto"/>
              <w:jc w:val="center"/>
              <w:rPr>
                <w:color w:val="000000" w:themeColor="text1"/>
                <w14:textFill>
                  <w14:solidFill>
                    <w14:schemeClr w14:val="tx1"/>
                  </w14:solidFill>
                </w14:textFill>
              </w:rPr>
            </w:pPr>
          </w:p>
        </w:tc>
        <w:tc>
          <w:tcPr>
            <w:tcW w:w="1700" w:type="dxa"/>
            <w:tcBorders>
              <w:tl2br w:val="nil"/>
              <w:tr2bl w:val="nil"/>
            </w:tcBorders>
            <w:shd w:val="clear" w:color="auto" w:fill="auto"/>
            <w:vAlign w:val="center"/>
          </w:tcPr>
          <w:p>
            <w:pPr>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bCs/>
                <w:color w:val="000000" w:themeColor="text1"/>
                <w14:textFill>
                  <w14:solidFill>
                    <w14:schemeClr w14:val="tx1"/>
                  </w14:solidFill>
                </w14:textFill>
              </w:rPr>
              <w:t>水泥稳定碎石搅拌</w:t>
            </w:r>
          </w:p>
        </w:tc>
        <w:tc>
          <w:tcPr>
            <w:tcW w:w="1175" w:type="dxa"/>
            <w:tcBorders>
              <w:tl2br w:val="nil"/>
              <w:tr2bl w:val="nil"/>
            </w:tcBorders>
            <w:shd w:val="clear" w:color="auto" w:fill="auto"/>
            <w:vAlign w:val="center"/>
          </w:tcPr>
          <w:p>
            <w:pPr>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bCs/>
                <w:color w:val="000000" w:themeColor="text1"/>
                <w14:textFill>
                  <w14:solidFill>
                    <w14:schemeClr w14:val="tx1"/>
                  </w14:solidFill>
                </w14:textFill>
              </w:rPr>
              <w:t>颗粒物</w:t>
            </w:r>
          </w:p>
        </w:tc>
        <w:tc>
          <w:tcPr>
            <w:tcW w:w="3361"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搅拌工序粉尘由搅拌机产生，搅拌机位于密闭搅拌楼内，搅拌楼内的投料粉尘和搅拌粉尘通过负压收集的方式通过管道引入布袋除尘器处理后经</w:t>
            </w:r>
            <w:r>
              <w:rPr>
                <w:rFonts w:hint="eastAsia" w:ascii="Times New Roman" w:hAnsi="Times New Roman" w:eastAsia="宋体" w:cs="Times New Roman"/>
                <w:bCs/>
                <w:color w:val="000000" w:themeColor="text1"/>
                <w:lang w:val="en-US" w:eastAsia="zh-CN"/>
                <w14:textFill>
                  <w14:solidFill>
                    <w14:schemeClr w14:val="tx1"/>
                  </w14:solidFill>
                </w14:textFill>
              </w:rPr>
              <w:t>15</w:t>
            </w:r>
            <w:r>
              <w:rPr>
                <w:rFonts w:hint="default" w:ascii="Times New Roman" w:hAnsi="Times New Roman" w:eastAsia="宋体" w:cs="Times New Roman"/>
                <w:bCs/>
                <w:color w:val="000000" w:themeColor="text1"/>
                <w:lang w:val="en-US" w:eastAsia="zh-CN"/>
                <w14:textFill>
                  <w14:solidFill>
                    <w14:schemeClr w14:val="tx1"/>
                  </w14:solidFill>
                </w14:textFill>
              </w:rPr>
              <w:t>m排气筒DA00</w:t>
            </w:r>
            <w:r>
              <w:rPr>
                <w:rFonts w:hint="eastAsia" w:ascii="Times New Roman" w:hAnsi="Times New Roman" w:eastAsia="宋体" w:cs="Times New Roman"/>
                <w:bCs/>
                <w:color w:val="000000" w:themeColor="text1"/>
                <w:lang w:val="en-US" w:eastAsia="zh-CN"/>
                <w14:textFill>
                  <w14:solidFill>
                    <w14:schemeClr w14:val="tx1"/>
                  </w14:solidFill>
                </w14:textFill>
              </w:rPr>
              <w:t>5</w:t>
            </w:r>
            <w:r>
              <w:rPr>
                <w:rFonts w:hint="default" w:ascii="Times New Roman" w:hAnsi="Times New Roman" w:eastAsia="宋体" w:cs="Times New Roman"/>
                <w:bCs/>
                <w:color w:val="000000" w:themeColor="text1"/>
                <w:lang w:val="en-US" w:eastAsia="zh-CN"/>
                <w14:textFill>
                  <w14:solidFill>
                    <w14:schemeClr w14:val="tx1"/>
                  </w14:solidFill>
                </w14:textFill>
              </w:rPr>
              <w:t>排放</w:t>
            </w:r>
          </w:p>
        </w:tc>
        <w:tc>
          <w:tcPr>
            <w:tcW w:w="215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jc w:val="center"/>
        </w:trPr>
        <w:tc>
          <w:tcPr>
            <w:tcW w:w="1251" w:type="dxa"/>
            <w:vMerge w:val="continue"/>
            <w:tcBorders>
              <w:tl2br w:val="nil"/>
              <w:tr2bl w:val="nil"/>
            </w:tcBorders>
            <w:vAlign w:val="center"/>
          </w:tcPr>
          <w:p>
            <w:pPr>
              <w:spacing w:line="240" w:lineRule="auto"/>
              <w:jc w:val="center"/>
              <w:rPr>
                <w:color w:val="000000" w:themeColor="text1"/>
                <w14:textFill>
                  <w14:solidFill>
                    <w14:schemeClr w14:val="tx1"/>
                  </w14:solidFill>
                </w14:textFill>
              </w:rPr>
            </w:pPr>
          </w:p>
        </w:tc>
        <w:tc>
          <w:tcPr>
            <w:tcW w:w="1700" w:type="dxa"/>
            <w:tcBorders>
              <w:tl2br w:val="nil"/>
              <w:tr2bl w:val="nil"/>
            </w:tcBorders>
            <w:shd w:val="clear" w:color="auto" w:fill="auto"/>
            <w:vAlign w:val="center"/>
          </w:tcPr>
          <w:p>
            <w:pPr>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bCs/>
                <w:color w:val="000000" w:themeColor="text1"/>
                <w14:textFill>
                  <w14:solidFill>
                    <w14:schemeClr w14:val="tx1"/>
                  </w14:solidFill>
                </w14:textFill>
              </w:rPr>
              <w:t>水泥</w:t>
            </w:r>
            <w:r>
              <w:rPr>
                <w:rFonts w:hint="eastAsia"/>
                <w:bCs/>
                <w:color w:val="000000" w:themeColor="text1"/>
                <w:lang w:val="en-US" w:eastAsia="zh-CN"/>
                <w14:textFill>
                  <w14:solidFill>
                    <w14:schemeClr w14:val="tx1"/>
                  </w14:solidFill>
                </w14:textFill>
              </w:rPr>
              <w:t>卧</w:t>
            </w:r>
            <w:r>
              <w:rPr>
                <w:bCs/>
                <w:color w:val="000000" w:themeColor="text1"/>
                <w14:textFill>
                  <w14:solidFill>
                    <w14:schemeClr w14:val="tx1"/>
                  </w14:solidFill>
                </w14:textFill>
              </w:rPr>
              <w:t>仓</w:t>
            </w:r>
          </w:p>
        </w:tc>
        <w:tc>
          <w:tcPr>
            <w:tcW w:w="1175"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颗粒物</w:t>
            </w:r>
          </w:p>
        </w:tc>
        <w:tc>
          <w:tcPr>
            <w:tcW w:w="3361"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每个水泥</w:t>
            </w:r>
            <w:r>
              <w:rPr>
                <w:rFonts w:hint="eastAsia"/>
                <w:bCs/>
                <w:color w:val="000000" w:themeColor="text1"/>
                <w:lang w:val="en-US" w:eastAsia="zh-CN"/>
                <w14:textFill>
                  <w14:solidFill>
                    <w14:schemeClr w14:val="tx1"/>
                  </w14:solidFill>
                </w14:textFill>
              </w:rPr>
              <w:t>卧</w:t>
            </w:r>
            <w:r>
              <w:rPr>
                <w:bCs/>
                <w:color w:val="000000" w:themeColor="text1"/>
                <w14:textFill>
                  <w14:solidFill>
                    <w14:schemeClr w14:val="tx1"/>
                  </w14:solidFill>
                </w14:textFill>
              </w:rPr>
              <w:t>仓</w:t>
            </w:r>
            <w:r>
              <w:rPr>
                <w:rFonts w:hint="eastAsia"/>
                <w:bCs/>
                <w:color w:val="000000" w:themeColor="text1"/>
                <w:lang w:val="en-US" w:eastAsia="zh-CN"/>
                <w14:textFill>
                  <w14:solidFill>
                    <w14:schemeClr w14:val="tx1"/>
                  </w14:solidFill>
                </w14:textFill>
              </w:rPr>
              <w:t>分别</w:t>
            </w:r>
            <w:r>
              <w:rPr>
                <w:rFonts w:hint="eastAsia" w:ascii="Times New Roman" w:hAnsi="Times New Roman" w:eastAsia="宋体" w:cs="Times New Roman"/>
                <w:bCs/>
                <w:color w:val="000000" w:themeColor="text1"/>
                <w:lang w:val="en-US" w:eastAsia="zh-CN"/>
                <w14:textFill>
                  <w14:solidFill>
                    <w14:schemeClr w14:val="tx1"/>
                  </w14:solidFill>
                </w14:textFill>
              </w:rPr>
              <w:t>配备1台袋式除尘器处理后由</w:t>
            </w:r>
            <w:r>
              <w:rPr>
                <w:rFonts w:hint="default" w:ascii="Times New Roman" w:hAnsi="Times New Roman" w:eastAsia="宋体" w:cs="Times New Roman"/>
                <w:bCs/>
                <w:color w:val="000000" w:themeColor="text1"/>
                <w:lang w:val="en-US" w:eastAsia="zh-CN"/>
                <w14:textFill>
                  <w14:solidFill>
                    <w14:schemeClr w14:val="tx1"/>
                  </w14:solidFill>
                </w14:textFill>
              </w:rPr>
              <w:t>负压收集后筒仓呼吸粉尘经除尘器处理后分别经</w:t>
            </w:r>
            <w:r>
              <w:rPr>
                <w:rFonts w:hint="eastAsia" w:ascii="Times New Roman" w:hAnsi="Times New Roman" w:eastAsia="宋体" w:cs="Times New Roman"/>
                <w:bCs/>
                <w:color w:val="000000" w:themeColor="text1"/>
                <w:lang w:val="en-US" w:eastAsia="zh-CN"/>
                <w14:textFill>
                  <w14:solidFill>
                    <w14:schemeClr w14:val="tx1"/>
                  </w14:solidFill>
                </w14:textFill>
              </w:rPr>
              <w:t>15</w:t>
            </w:r>
            <w:r>
              <w:rPr>
                <w:rFonts w:hint="default" w:ascii="Times New Roman" w:hAnsi="Times New Roman" w:eastAsia="宋体" w:cs="Times New Roman"/>
                <w:bCs/>
                <w:color w:val="000000" w:themeColor="text1"/>
                <w:lang w:val="en-US" w:eastAsia="zh-CN"/>
                <w14:textFill>
                  <w14:solidFill>
                    <w14:schemeClr w14:val="tx1"/>
                  </w14:solidFill>
                </w14:textFill>
              </w:rPr>
              <w:t>m高排气筒DA00</w:t>
            </w:r>
            <w:r>
              <w:rPr>
                <w:rFonts w:hint="eastAsia" w:cs="Times New Roman"/>
                <w:bCs/>
                <w:color w:val="000000" w:themeColor="text1"/>
                <w:lang w:val="en-US" w:eastAsia="zh-CN"/>
                <w14:textFill>
                  <w14:solidFill>
                    <w14:schemeClr w14:val="tx1"/>
                  </w14:solidFill>
                </w14:textFill>
              </w:rPr>
              <w:t>1</w:t>
            </w:r>
            <w:r>
              <w:rPr>
                <w:rFonts w:hint="default" w:ascii="Times New Roman" w:hAnsi="Times New Roman" w:eastAsia="宋体" w:cs="Times New Roman"/>
                <w:bCs/>
                <w:color w:val="000000" w:themeColor="text1"/>
                <w:lang w:val="en-US" w:eastAsia="zh-CN"/>
                <w14:textFill>
                  <w14:solidFill>
                    <w14:schemeClr w14:val="tx1"/>
                  </w14:solidFill>
                </w14:textFill>
              </w:rPr>
              <w:t>、DA00</w:t>
            </w:r>
            <w:r>
              <w:rPr>
                <w:rFonts w:hint="eastAsia" w:cs="Times New Roman"/>
                <w:bCs/>
                <w:color w:val="000000" w:themeColor="text1"/>
                <w:lang w:val="en-US" w:eastAsia="zh-CN"/>
                <w14:textFill>
                  <w14:solidFill>
                    <w14:schemeClr w14:val="tx1"/>
                  </w14:solidFill>
                </w14:textFill>
              </w:rPr>
              <w:t>2</w:t>
            </w:r>
            <w:r>
              <w:rPr>
                <w:rFonts w:hint="default" w:ascii="Times New Roman" w:hAnsi="Times New Roman" w:eastAsia="宋体" w:cs="Times New Roman"/>
                <w:bCs/>
                <w:color w:val="000000" w:themeColor="text1"/>
                <w:lang w:val="en-US" w:eastAsia="zh-CN"/>
                <w14:textFill>
                  <w14:solidFill>
                    <w14:schemeClr w14:val="tx1"/>
                  </w14:solidFill>
                </w14:textFill>
              </w:rPr>
              <w:t>排放。</w:t>
            </w:r>
          </w:p>
        </w:tc>
        <w:tc>
          <w:tcPr>
            <w:tcW w:w="215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251" w:type="dxa"/>
            <w:vMerge w:val="continue"/>
            <w:tcBorders>
              <w:tl2br w:val="nil"/>
              <w:tr2bl w:val="nil"/>
            </w:tcBorders>
            <w:vAlign w:val="center"/>
          </w:tcPr>
          <w:p>
            <w:pPr>
              <w:spacing w:line="240" w:lineRule="auto"/>
              <w:jc w:val="center"/>
              <w:rPr>
                <w:color w:val="000000" w:themeColor="text1"/>
                <w14:textFill>
                  <w14:solidFill>
                    <w14:schemeClr w14:val="tx1"/>
                  </w14:solidFill>
                </w14:textFill>
              </w:rPr>
            </w:pPr>
          </w:p>
        </w:tc>
        <w:tc>
          <w:tcPr>
            <w:tcW w:w="1700" w:type="dxa"/>
            <w:tcBorders>
              <w:tl2br w:val="nil"/>
              <w:tr2bl w:val="nil"/>
            </w:tcBorders>
            <w:shd w:val="clear" w:color="auto" w:fill="auto"/>
            <w:vAlign w:val="center"/>
          </w:tcPr>
          <w:p>
            <w:pPr>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bCs/>
                <w:color w:val="000000" w:themeColor="text1"/>
                <w14:textFill>
                  <w14:solidFill>
                    <w14:schemeClr w14:val="tx1"/>
                  </w14:solidFill>
                </w14:textFill>
              </w:rPr>
              <w:t>水泥</w:t>
            </w:r>
            <w:r>
              <w:rPr>
                <w:rFonts w:hint="eastAsia"/>
                <w:bCs/>
                <w:color w:val="000000" w:themeColor="text1"/>
                <w:lang w:val="en-US" w:eastAsia="zh-CN"/>
                <w14:textFill>
                  <w14:solidFill>
                    <w14:schemeClr w14:val="tx1"/>
                  </w14:solidFill>
                </w14:textFill>
              </w:rPr>
              <w:t>筒仓</w:t>
            </w:r>
          </w:p>
        </w:tc>
        <w:tc>
          <w:tcPr>
            <w:tcW w:w="1175"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颗粒物</w:t>
            </w:r>
          </w:p>
        </w:tc>
        <w:tc>
          <w:tcPr>
            <w:tcW w:w="336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水泥</w:t>
            </w:r>
            <w:r>
              <w:rPr>
                <w:rFonts w:hint="eastAsia"/>
                <w:bCs/>
                <w:color w:val="000000" w:themeColor="text1"/>
                <w:lang w:val="en-US" w:eastAsia="zh-CN"/>
                <w14:textFill>
                  <w14:solidFill>
                    <w14:schemeClr w14:val="tx1"/>
                  </w14:solidFill>
                </w14:textFill>
              </w:rPr>
              <w:t>筒仓</w:t>
            </w:r>
            <w:r>
              <w:rPr>
                <w:rFonts w:hint="eastAsia" w:ascii="Times New Roman" w:hAnsi="Times New Roman" w:eastAsia="宋体" w:cs="Times New Roman"/>
                <w:bCs/>
                <w:color w:val="000000" w:themeColor="text1"/>
                <w:lang w:val="en-US" w:eastAsia="zh-CN"/>
                <w14:textFill>
                  <w14:solidFill>
                    <w14:schemeClr w14:val="tx1"/>
                  </w14:solidFill>
                </w14:textFill>
              </w:rPr>
              <w:t>配备1台袋式除尘器处理后由</w:t>
            </w:r>
            <w:r>
              <w:rPr>
                <w:rFonts w:hint="default" w:ascii="Times New Roman" w:hAnsi="Times New Roman" w:eastAsia="宋体" w:cs="Times New Roman"/>
                <w:bCs/>
                <w:color w:val="000000" w:themeColor="text1"/>
                <w:lang w:val="en-US" w:eastAsia="zh-CN"/>
                <w14:textFill>
                  <w14:solidFill>
                    <w14:schemeClr w14:val="tx1"/>
                  </w14:solidFill>
                </w14:textFill>
              </w:rPr>
              <w:t>负压收集后筒仓呼吸粉尘经除尘器处理后分别经</w:t>
            </w:r>
            <w:r>
              <w:rPr>
                <w:rFonts w:hint="eastAsia" w:ascii="Times New Roman" w:hAnsi="Times New Roman" w:eastAsia="宋体" w:cs="Times New Roman"/>
                <w:bCs/>
                <w:color w:val="000000" w:themeColor="text1"/>
                <w:lang w:val="en-US" w:eastAsia="zh-CN"/>
                <w14:textFill>
                  <w14:solidFill>
                    <w14:schemeClr w14:val="tx1"/>
                  </w14:solidFill>
                </w14:textFill>
              </w:rPr>
              <w:t>15</w:t>
            </w:r>
            <w:r>
              <w:rPr>
                <w:rFonts w:hint="default" w:ascii="Times New Roman" w:hAnsi="Times New Roman" w:eastAsia="宋体" w:cs="Times New Roman"/>
                <w:bCs/>
                <w:color w:val="000000" w:themeColor="text1"/>
                <w:lang w:val="en-US" w:eastAsia="zh-CN"/>
                <w14:textFill>
                  <w14:solidFill>
                    <w14:schemeClr w14:val="tx1"/>
                  </w14:solidFill>
                </w14:textFill>
              </w:rPr>
              <w:t>m高排气筒DA00</w:t>
            </w:r>
            <w:r>
              <w:rPr>
                <w:rFonts w:hint="eastAsia" w:cs="Times New Roman"/>
                <w:bCs/>
                <w:color w:val="000000" w:themeColor="text1"/>
                <w:lang w:val="en-US" w:eastAsia="zh-CN"/>
                <w14:textFill>
                  <w14:solidFill>
                    <w14:schemeClr w14:val="tx1"/>
                  </w14:solidFill>
                </w14:textFill>
              </w:rPr>
              <w:t>3</w:t>
            </w:r>
            <w:r>
              <w:rPr>
                <w:rFonts w:hint="default" w:ascii="Times New Roman" w:hAnsi="Times New Roman" w:eastAsia="宋体" w:cs="Times New Roman"/>
                <w:bCs/>
                <w:color w:val="000000" w:themeColor="text1"/>
                <w:lang w:val="en-US" w:eastAsia="zh-CN"/>
                <w14:textFill>
                  <w14:solidFill>
                    <w14:schemeClr w14:val="tx1"/>
                  </w14:solidFill>
                </w14:textFill>
              </w:rPr>
              <w:t>排放。</w:t>
            </w:r>
          </w:p>
        </w:tc>
        <w:tc>
          <w:tcPr>
            <w:tcW w:w="215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1251" w:type="dxa"/>
            <w:vMerge w:val="continue"/>
            <w:tcBorders>
              <w:tl2br w:val="nil"/>
              <w:tr2bl w:val="nil"/>
            </w:tcBorders>
            <w:vAlign w:val="center"/>
          </w:tcPr>
          <w:p>
            <w:pPr>
              <w:spacing w:line="240" w:lineRule="auto"/>
              <w:jc w:val="center"/>
              <w:rPr>
                <w:color w:val="000000" w:themeColor="text1"/>
                <w14:textFill>
                  <w14:solidFill>
                    <w14:schemeClr w14:val="tx1"/>
                  </w14:solidFill>
                </w14:textFill>
              </w:rPr>
            </w:pPr>
          </w:p>
        </w:tc>
        <w:tc>
          <w:tcPr>
            <w:tcW w:w="1700" w:type="dxa"/>
            <w:tcBorders>
              <w:tl2br w:val="nil"/>
              <w:tr2bl w:val="nil"/>
            </w:tcBorders>
            <w:vAlign w:val="center"/>
          </w:tcPr>
          <w:p>
            <w:pPr>
              <w:adjustRightInd w:val="0"/>
              <w:snapToGrid w:val="0"/>
              <w:spacing w:line="240" w:lineRule="auto"/>
              <w:jc w:val="center"/>
              <w:rPr>
                <w:bCs/>
                <w:color w:val="000000" w:themeColor="text1"/>
                <w14:textFill>
                  <w14:solidFill>
                    <w14:schemeClr w14:val="tx1"/>
                  </w14:solidFill>
                </w14:textFill>
              </w:rPr>
            </w:pPr>
            <w:r>
              <w:rPr>
                <w:rFonts w:hint="default" w:ascii="Times New Roman" w:hAnsi="Times New Roman" w:eastAsia="宋体" w:cs="Times New Roman"/>
                <w:i w:val="0"/>
                <w:iCs w:val="0"/>
                <w:color w:val="auto"/>
                <w:highlight w:val="none"/>
                <w:u w:val="none"/>
                <w:lang w:val="en-US" w:eastAsia="zh-CN"/>
              </w:rPr>
              <w:t>粉料仓</w:t>
            </w:r>
          </w:p>
        </w:tc>
        <w:tc>
          <w:tcPr>
            <w:tcW w:w="1175"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颗粒物</w:t>
            </w:r>
          </w:p>
        </w:tc>
        <w:tc>
          <w:tcPr>
            <w:tcW w:w="3361"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配备1台袋式除尘器处理后由</w:t>
            </w:r>
            <w:r>
              <w:rPr>
                <w:rFonts w:hint="default" w:ascii="Times New Roman" w:hAnsi="Times New Roman" w:eastAsia="宋体" w:cs="Times New Roman"/>
                <w:bCs/>
                <w:color w:val="000000" w:themeColor="text1"/>
                <w:lang w:val="en-US" w:eastAsia="zh-CN"/>
                <w14:textFill>
                  <w14:solidFill>
                    <w14:schemeClr w14:val="tx1"/>
                  </w14:solidFill>
                </w14:textFill>
              </w:rPr>
              <w:t>负压收集后筒仓呼吸粉尘经除尘器处理后分别经</w:t>
            </w:r>
            <w:r>
              <w:rPr>
                <w:rFonts w:hint="eastAsia" w:ascii="Times New Roman" w:hAnsi="Times New Roman" w:eastAsia="宋体" w:cs="Times New Roman"/>
                <w:bCs/>
                <w:color w:val="000000" w:themeColor="text1"/>
                <w:lang w:val="en-US" w:eastAsia="zh-CN"/>
                <w14:textFill>
                  <w14:solidFill>
                    <w14:schemeClr w14:val="tx1"/>
                  </w14:solidFill>
                </w14:textFill>
              </w:rPr>
              <w:t>15</w:t>
            </w:r>
            <w:r>
              <w:rPr>
                <w:rFonts w:hint="default" w:ascii="Times New Roman" w:hAnsi="Times New Roman" w:eastAsia="宋体" w:cs="Times New Roman"/>
                <w:bCs/>
                <w:color w:val="000000" w:themeColor="text1"/>
                <w:lang w:val="en-US" w:eastAsia="zh-CN"/>
                <w14:textFill>
                  <w14:solidFill>
                    <w14:schemeClr w14:val="tx1"/>
                  </w14:solidFill>
                </w14:textFill>
              </w:rPr>
              <w:t>m高排气筒DA00</w:t>
            </w:r>
            <w:r>
              <w:rPr>
                <w:rFonts w:hint="eastAsia" w:ascii="Times New Roman" w:hAnsi="Times New Roman" w:eastAsia="宋体" w:cs="Times New Roman"/>
                <w:bCs/>
                <w:color w:val="000000" w:themeColor="text1"/>
                <w:lang w:val="en-US" w:eastAsia="zh-CN"/>
                <w14:textFill>
                  <w14:solidFill>
                    <w14:schemeClr w14:val="tx1"/>
                  </w14:solidFill>
                </w14:textFill>
              </w:rPr>
              <w:t>6</w:t>
            </w:r>
            <w:r>
              <w:rPr>
                <w:rFonts w:hint="default" w:ascii="Times New Roman" w:hAnsi="Times New Roman" w:eastAsia="宋体" w:cs="Times New Roman"/>
                <w:bCs/>
                <w:color w:val="000000" w:themeColor="text1"/>
                <w:lang w:val="en-US" w:eastAsia="zh-CN"/>
                <w14:textFill>
                  <w14:solidFill>
                    <w14:schemeClr w14:val="tx1"/>
                  </w14:solidFill>
                </w14:textFill>
              </w:rPr>
              <w:t>排放。</w:t>
            </w:r>
          </w:p>
        </w:tc>
        <w:tc>
          <w:tcPr>
            <w:tcW w:w="2151" w:type="dxa"/>
            <w:vMerge w:val="continue"/>
            <w:tcBorders>
              <w:tl2br w:val="nil"/>
              <w:tr2bl w:val="nil"/>
            </w:tcBorders>
            <w:vAlign w:val="center"/>
          </w:tcPr>
          <w:p>
            <w:pPr>
              <w:adjustRightInd w:val="0"/>
              <w:snapToGrid w:val="0"/>
              <w:spacing w:line="240" w:lineRule="auto"/>
              <w:jc w:val="center"/>
              <w:rPr>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1700" w:type="dxa"/>
            <w:tcBorders>
              <w:tl2br w:val="nil"/>
              <w:tr2bl w:val="nil"/>
            </w:tcBorders>
            <w:vAlign w:val="center"/>
          </w:tcPr>
          <w:p>
            <w:pPr>
              <w:spacing w:line="240" w:lineRule="auto"/>
              <w:jc w:val="center"/>
              <w:rPr>
                <w:color w:val="000000" w:themeColor="text1"/>
                <w:kern w:val="1"/>
                <w14:textFill>
                  <w14:solidFill>
                    <w14:schemeClr w14:val="tx1"/>
                  </w14:solidFill>
                </w14:textFill>
              </w:rPr>
            </w:pPr>
            <w:r>
              <w:rPr>
                <w:color w:val="000000" w:themeColor="text1"/>
                <w14:textFill>
                  <w14:solidFill>
                    <w14:schemeClr w14:val="tx1"/>
                  </w14:solidFill>
                </w14:textFill>
              </w:rPr>
              <w:t>生产废水</w:t>
            </w:r>
          </w:p>
        </w:tc>
        <w:tc>
          <w:tcPr>
            <w:tcW w:w="1175" w:type="dxa"/>
            <w:tcBorders>
              <w:tl2br w:val="nil"/>
              <w:tr2bl w:val="nil"/>
            </w:tcBorders>
            <w:vAlign w:val="center"/>
          </w:tcPr>
          <w:p>
            <w:pPr>
              <w:pStyle w:val="93"/>
              <w:spacing w:before="24" w:after="24" w:line="240" w:lineRule="auto"/>
              <w:rPr>
                <w:rFonts w:hint="default"/>
                <w:color w:val="000000" w:themeColor="text1"/>
                <w:kern w:val="1"/>
                <w:sz w:val="24"/>
                <w:szCs w:val="24"/>
                <w14:textFill>
                  <w14:solidFill>
                    <w14:schemeClr w14:val="tx1"/>
                  </w14:solidFill>
                </w14:textFill>
              </w:rPr>
            </w:pPr>
            <w:r>
              <w:rPr>
                <w:rFonts w:hint="default"/>
                <w:color w:val="000000" w:themeColor="text1"/>
                <w:sz w:val="24"/>
                <w:szCs w:val="24"/>
                <w14:textFill>
                  <w14:solidFill>
                    <w14:schemeClr w14:val="tx1"/>
                  </w14:solidFill>
                </w14:textFill>
              </w:rPr>
              <w:t>SS</w:t>
            </w:r>
          </w:p>
        </w:tc>
        <w:tc>
          <w:tcPr>
            <w:tcW w:w="3361" w:type="dxa"/>
            <w:tcBorders>
              <w:tl2br w:val="nil"/>
              <w:tr2bl w:val="nil"/>
            </w:tcBorders>
            <w:vAlign w:val="center"/>
          </w:tcPr>
          <w:p>
            <w:pPr>
              <w:pStyle w:val="93"/>
              <w:spacing w:before="24" w:after="24" w:line="240" w:lineRule="auto"/>
              <w:rPr>
                <w:rFonts w:hint="default"/>
                <w:color w:val="000000" w:themeColor="text1"/>
                <w:kern w:val="1"/>
                <w:sz w:val="24"/>
                <w:szCs w:val="24"/>
                <w14:textFill>
                  <w14:solidFill>
                    <w14:schemeClr w14:val="tx1"/>
                  </w14:solidFill>
                </w14:textFill>
              </w:rPr>
            </w:pPr>
            <w:r>
              <w:rPr>
                <w:rFonts w:hint="default"/>
                <w:color w:val="000000" w:themeColor="text1"/>
                <w:sz w:val="24"/>
                <w:szCs w:val="24"/>
                <w14:textFill>
                  <w14:solidFill>
                    <w14:schemeClr w14:val="tx1"/>
                  </w14:solidFill>
                </w14:textFill>
              </w:rPr>
              <w:t>经</w:t>
            </w:r>
            <w:r>
              <w:rPr>
                <w:rFonts w:hint="eastAsia"/>
                <w:color w:val="000000" w:themeColor="text1"/>
                <w:sz w:val="24"/>
                <w:szCs w:val="24"/>
                <w:lang w:val="en-US" w:eastAsia="zh-CN"/>
                <w14:textFill>
                  <w14:solidFill>
                    <w14:schemeClr w14:val="tx1"/>
                  </w14:solidFill>
                </w14:textFill>
              </w:rPr>
              <w:t>三级</w:t>
            </w:r>
            <w:r>
              <w:rPr>
                <w:rFonts w:hint="default"/>
                <w:color w:val="000000" w:themeColor="text1"/>
                <w:sz w:val="24"/>
                <w:szCs w:val="24"/>
                <w14:textFill>
                  <w14:solidFill>
                    <w14:schemeClr w14:val="tx1"/>
                  </w14:solidFill>
                </w14:textFill>
              </w:rPr>
              <w:t>沉淀池沉淀处理后回用于生产</w:t>
            </w:r>
          </w:p>
        </w:tc>
        <w:tc>
          <w:tcPr>
            <w:tcW w:w="2151"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1700"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生产设备</w:t>
            </w:r>
          </w:p>
        </w:tc>
        <w:tc>
          <w:tcPr>
            <w:tcW w:w="1175"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噪声</w:t>
            </w:r>
          </w:p>
        </w:tc>
        <w:tc>
          <w:tcPr>
            <w:tcW w:w="3361" w:type="dxa"/>
            <w:tcBorders>
              <w:tl2br w:val="nil"/>
              <w:tr2bl w:val="nil"/>
            </w:tcBorders>
            <w:vAlign w:val="center"/>
          </w:tcPr>
          <w:p>
            <w:pPr>
              <w:adjustRightInd w:val="0"/>
              <w:snapToGrid w:val="0"/>
              <w:spacing w:line="240" w:lineRule="auto"/>
              <w:jc w:val="center"/>
              <w:rPr>
                <w:color w:val="auto"/>
                <w:kern w:val="1"/>
                <w:szCs w:val="21"/>
              </w:rPr>
            </w:pPr>
            <w:r>
              <w:rPr>
                <w:color w:val="auto"/>
                <w:kern w:val="1"/>
                <w:szCs w:val="21"/>
              </w:rPr>
              <w:t>选用低设备，采取加装隔声罩、基础减振、隔声等措施</w:t>
            </w:r>
          </w:p>
        </w:tc>
        <w:tc>
          <w:tcPr>
            <w:tcW w:w="2151" w:type="dxa"/>
            <w:tcBorders>
              <w:tl2br w:val="nil"/>
              <w:tr2bl w:val="nil"/>
            </w:tcBorders>
            <w:vAlign w:val="center"/>
          </w:tcPr>
          <w:p>
            <w:pPr>
              <w:adjustRightInd w:val="0"/>
              <w:snapToGrid w:val="0"/>
              <w:spacing w:line="240" w:lineRule="auto"/>
              <w:jc w:val="center"/>
              <w:rPr>
                <w:color w:val="auto"/>
                <w:kern w:val="1"/>
                <w:szCs w:val="21"/>
              </w:rPr>
            </w:pPr>
            <w:r>
              <w:rPr>
                <w:rFonts w:hint="eastAsia" w:cs="Times New Roman"/>
                <w:color w:val="auto"/>
                <w:kern w:val="1"/>
                <w:szCs w:val="21"/>
                <w:lang w:val="en-US" w:eastAsia="zh-CN"/>
              </w:rPr>
              <w:t>南侧</w:t>
            </w:r>
            <w:r>
              <w:rPr>
                <w:rFonts w:hint="eastAsia" w:ascii="Times New Roman" w:hAnsi="Times New Roman" w:eastAsia="宋体" w:cs="Times New Roman"/>
                <w:color w:val="auto"/>
                <w:kern w:val="1"/>
                <w:szCs w:val="21"/>
              </w:rPr>
              <w:t>厂界</w:t>
            </w:r>
            <w:r>
              <w:rPr>
                <w:rFonts w:ascii="Times New Roman" w:hAnsi="Times New Roman" w:eastAsia="宋体" w:cs="Times New Roman"/>
                <w:color w:val="auto"/>
                <w:kern w:val="1"/>
                <w:szCs w:val="21"/>
              </w:rPr>
              <w:t>满足《工业企业厂界环境噪声排放标准》（</w:t>
            </w:r>
            <w:r>
              <w:rPr>
                <w:rFonts w:hint="default" w:ascii="Times New Roman" w:hAnsi="Times New Roman" w:eastAsia="宋体" w:cs="Times New Roman"/>
                <w:color w:val="auto"/>
                <w:kern w:val="1"/>
                <w:szCs w:val="21"/>
              </w:rPr>
              <w:t>GB12348</w:t>
            </w:r>
            <w:r>
              <w:rPr>
                <w:rFonts w:ascii="Times New Roman" w:hAnsi="Times New Roman" w:eastAsia="宋体" w:cs="Times New Roman"/>
                <w:color w:val="auto"/>
                <w:kern w:val="1"/>
                <w:szCs w:val="21"/>
              </w:rPr>
              <w:t>—</w:t>
            </w:r>
            <w:r>
              <w:rPr>
                <w:rFonts w:hint="default" w:ascii="Times New Roman" w:hAnsi="Times New Roman" w:eastAsia="宋体" w:cs="Times New Roman"/>
                <w:color w:val="auto"/>
                <w:kern w:val="1"/>
                <w:szCs w:val="21"/>
              </w:rPr>
              <w:t>2008</w:t>
            </w:r>
            <w:r>
              <w:rPr>
                <w:rFonts w:ascii="Times New Roman" w:hAnsi="Times New Roman" w:eastAsia="宋体" w:cs="Times New Roman"/>
                <w:color w:val="auto"/>
                <w:kern w:val="1"/>
                <w:szCs w:val="21"/>
              </w:rPr>
              <w:t>）中</w:t>
            </w:r>
            <w:r>
              <w:rPr>
                <w:rFonts w:hint="eastAsia" w:ascii="Times New Roman" w:hAnsi="Times New Roman" w:eastAsia="宋体" w:cs="Times New Roman"/>
                <w:color w:val="auto"/>
                <w:kern w:val="1"/>
                <w:szCs w:val="21"/>
                <w:lang w:val="en-US" w:eastAsia="zh-CN"/>
              </w:rPr>
              <w:t>4类</w:t>
            </w:r>
            <w:r>
              <w:rPr>
                <w:rFonts w:hint="eastAsia" w:ascii="Times New Roman" w:hAnsi="Times New Roman" w:eastAsia="宋体" w:cs="Times New Roman"/>
                <w:color w:val="auto"/>
                <w:kern w:val="1"/>
                <w:szCs w:val="21"/>
              </w:rPr>
              <w:t>标准</w:t>
            </w:r>
            <w:r>
              <w:rPr>
                <w:rFonts w:hint="eastAsia" w:ascii="Times New Roman" w:hAnsi="Times New Roman" w:eastAsia="宋体" w:cs="Times New Roman"/>
                <w:color w:val="auto"/>
                <w:kern w:val="1"/>
                <w:szCs w:val="21"/>
                <w:lang w:eastAsia="zh-CN"/>
              </w:rPr>
              <w:t>、</w:t>
            </w:r>
            <w:r>
              <w:rPr>
                <w:rFonts w:hint="eastAsia" w:ascii="Times New Roman" w:hAnsi="Times New Roman" w:eastAsia="宋体" w:cs="Times New Roman"/>
                <w:color w:val="auto"/>
                <w:kern w:val="1"/>
                <w:szCs w:val="21"/>
                <w:lang w:val="en-US" w:eastAsia="zh-CN"/>
              </w:rPr>
              <w:t>其余3侧满足</w:t>
            </w:r>
            <w:r>
              <w:rPr>
                <w:rFonts w:ascii="Times New Roman" w:hAnsi="Times New Roman" w:eastAsia="宋体" w:cs="Times New Roman"/>
                <w:color w:val="auto"/>
                <w:kern w:val="1"/>
                <w:szCs w:val="21"/>
              </w:rPr>
              <w:t>《工业企业厂界环境噪声排放标准》（</w:t>
            </w:r>
            <w:r>
              <w:rPr>
                <w:rFonts w:hint="default" w:ascii="Times New Roman" w:hAnsi="Times New Roman" w:eastAsia="宋体" w:cs="Times New Roman"/>
                <w:color w:val="auto"/>
                <w:kern w:val="1"/>
                <w:szCs w:val="21"/>
              </w:rPr>
              <w:t>GB12348</w:t>
            </w:r>
            <w:r>
              <w:rPr>
                <w:rFonts w:ascii="Times New Roman" w:hAnsi="Times New Roman" w:eastAsia="宋体" w:cs="Times New Roman"/>
                <w:color w:val="auto"/>
                <w:kern w:val="1"/>
                <w:szCs w:val="21"/>
              </w:rPr>
              <w:t>—</w:t>
            </w:r>
            <w:r>
              <w:rPr>
                <w:rFonts w:hint="default" w:ascii="Times New Roman" w:hAnsi="Times New Roman" w:eastAsia="宋体" w:cs="Times New Roman"/>
                <w:color w:val="auto"/>
                <w:kern w:val="1"/>
                <w:szCs w:val="21"/>
              </w:rPr>
              <w:t>2008</w:t>
            </w:r>
            <w:r>
              <w:rPr>
                <w:rFonts w:ascii="Times New Roman" w:hAnsi="Times New Roman" w:eastAsia="宋体" w:cs="Times New Roman"/>
                <w:color w:val="auto"/>
                <w:kern w:val="1"/>
                <w:szCs w:val="21"/>
              </w:rPr>
              <w:t>）中</w:t>
            </w:r>
            <w:r>
              <w:rPr>
                <w:rFonts w:hint="eastAsia" w:ascii="Times New Roman" w:hAnsi="Times New Roman" w:eastAsia="宋体" w:cs="Times New Roman"/>
                <w:color w:val="auto"/>
                <w:kern w:val="1"/>
                <w:szCs w:val="21"/>
                <w:lang w:val="en-US" w:eastAsia="zh-CN"/>
              </w:rPr>
              <w:t>2类</w:t>
            </w:r>
            <w:r>
              <w:rPr>
                <w:rFonts w:hint="eastAsia" w:ascii="Times New Roman" w:hAnsi="Times New Roman" w:eastAsia="宋体" w:cs="Times New Roman"/>
                <w:color w:val="auto"/>
                <w:kern w:val="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电磁辐射</w:t>
            </w:r>
          </w:p>
        </w:tc>
        <w:tc>
          <w:tcPr>
            <w:tcW w:w="1700"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w:t>
            </w:r>
          </w:p>
        </w:tc>
        <w:tc>
          <w:tcPr>
            <w:tcW w:w="1175"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w:t>
            </w:r>
          </w:p>
        </w:tc>
        <w:tc>
          <w:tcPr>
            <w:tcW w:w="3361"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w:t>
            </w:r>
          </w:p>
        </w:tc>
        <w:tc>
          <w:tcPr>
            <w:tcW w:w="2151"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8387" w:type="dxa"/>
            <w:gridSpan w:val="4"/>
            <w:tcBorders>
              <w:tl2br w:val="nil"/>
              <w:tr2bl w:val="nil"/>
            </w:tcBorders>
            <w:vAlign w:val="center"/>
          </w:tcPr>
          <w:p>
            <w:pPr>
              <w:adjustRightInd w:val="0"/>
              <w:snapToGrid w:val="0"/>
              <w:spacing w:line="240" w:lineRule="auto"/>
              <w:ind w:firstLine="480" w:firstLineChars="200"/>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除尘器收尘集中收集后回用于生产；沉淀池沉渣回用于生产；砂和碎石混合物回用于生产；</w:t>
            </w:r>
            <w:r>
              <w:rPr>
                <w:rFonts w:hint="eastAsia"/>
                <w:color w:val="000000" w:themeColor="text1"/>
                <w:kern w:val="1"/>
                <w:szCs w:val="21"/>
                <w:lang w:val="en-US" w:eastAsia="zh-CN"/>
                <w14:textFill>
                  <w14:solidFill>
                    <w14:schemeClr w14:val="tx1"/>
                  </w14:solidFill>
                </w14:textFill>
              </w:rPr>
              <w:t>实验室废料</w:t>
            </w:r>
            <w:r>
              <w:rPr>
                <w:color w:val="000000" w:themeColor="text1"/>
                <w:kern w:val="1"/>
                <w:szCs w:val="21"/>
                <w14:textFill>
                  <w14:solidFill>
                    <w14:schemeClr w14:val="tx1"/>
                  </w14:solidFill>
                </w14:textFill>
              </w:rPr>
              <w:t>回用于生产</w:t>
            </w:r>
            <w:r>
              <w:rPr>
                <w:rFonts w:hint="eastAsia"/>
                <w:color w:val="000000" w:themeColor="text1"/>
                <w:kern w:val="1"/>
                <w:szCs w:val="21"/>
                <w:lang w:eastAsia="zh-CN"/>
                <w14:textFill>
                  <w14:solidFill>
                    <w14:schemeClr w14:val="tx1"/>
                  </w14:solidFill>
                </w14:textFill>
              </w:rPr>
              <w:t>；</w:t>
            </w:r>
            <w:r>
              <w:rPr>
                <w:rFonts w:hint="eastAsia"/>
                <w:color w:val="000000" w:themeColor="text1"/>
                <w:kern w:val="1"/>
                <w:szCs w:val="21"/>
                <w:lang w:val="en-US" w:eastAsia="zh-CN"/>
                <w14:textFill>
                  <w14:solidFill>
                    <w14:schemeClr w14:val="tx1"/>
                  </w14:solidFill>
                </w14:textFill>
              </w:rPr>
              <w:t>废布袋由厂家回收处置</w:t>
            </w:r>
            <w:r>
              <w:rPr>
                <w:color w:val="000000" w:themeColor="text1"/>
                <w:kern w:val="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土壤及地下水污染防治措施</w:t>
            </w:r>
          </w:p>
        </w:tc>
        <w:tc>
          <w:tcPr>
            <w:tcW w:w="8387" w:type="dxa"/>
            <w:gridSpan w:val="4"/>
            <w:tcBorders>
              <w:tl2br w:val="nil"/>
              <w:tr2bl w:val="nil"/>
            </w:tcBorders>
            <w:vAlign w:val="center"/>
          </w:tcPr>
          <w:p>
            <w:pPr>
              <w:pStyle w:val="30"/>
              <w:spacing w:line="240" w:lineRule="auto"/>
              <w:ind w:firstLine="480" w:firstLineChars="200"/>
              <w:rPr>
                <w:color w:val="000000" w:themeColor="text1"/>
                <w:kern w:val="1"/>
                <w:szCs w:val="21"/>
                <w14:textFill>
                  <w14:solidFill>
                    <w14:schemeClr w14:val="tx1"/>
                  </w14:solidFill>
                </w14:textFill>
              </w:rPr>
            </w:pPr>
            <w:r>
              <w:rPr>
                <w:color w:val="000000" w:themeColor="text1"/>
                <w:sz w:val="24"/>
                <w:szCs w:val="24"/>
                <w14:textFill>
                  <w14:solidFill>
                    <w14:schemeClr w14:val="tx1"/>
                  </w14:solidFill>
                </w14:textFill>
              </w:rPr>
              <w:t>本项目用地范围内均进行了</w:t>
            </w:r>
            <w:r>
              <w:rPr>
                <w:rFonts w:hint="eastAsia"/>
                <w:color w:val="000000" w:themeColor="text1"/>
                <w:sz w:val="24"/>
                <w:szCs w:val="24"/>
                <w14:textFill>
                  <w14:solidFill>
                    <w14:schemeClr w14:val="tx1"/>
                  </w14:solidFill>
                </w14:textFill>
              </w:rPr>
              <w:t>地面硬化</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沉淀池</w:t>
            </w:r>
            <w:r>
              <w:rPr>
                <w:color w:val="000000" w:themeColor="text1"/>
                <w:sz w:val="24"/>
                <w:szCs w:val="24"/>
                <w14:textFill>
                  <w14:solidFill>
                    <w14:schemeClr w14:val="tx1"/>
                  </w14:solidFill>
                </w14:textFill>
              </w:rPr>
              <w:t>池体采用水泥建筑，内刷防腐蚀涂料，池壁刷防水防渗材料，池底铺设防渗膜，单位面积防渗能力达到等效黏土防渗层Mb≥6.0m，渗透系数≤1×10</w:t>
            </w:r>
            <w:r>
              <w:rPr>
                <w:color w:val="000000" w:themeColor="text1"/>
                <w:sz w:val="24"/>
                <w:szCs w:val="24"/>
                <w:vertAlign w:val="superscript"/>
                <w14:textFill>
                  <w14:solidFill>
                    <w14:schemeClr w14:val="tx1"/>
                  </w14:solidFill>
                </w14:textFill>
              </w:rPr>
              <w:t>-7</w:t>
            </w:r>
            <w:r>
              <w:rPr>
                <w:color w:val="000000" w:themeColor="text1"/>
                <w:sz w:val="24"/>
                <w:szCs w:val="24"/>
                <w14:textFill>
                  <w14:solidFill>
                    <w14:schemeClr w14:val="tx1"/>
                  </w14:solidFill>
                </w14:textFill>
              </w:rPr>
              <w:t>cm/s</w:t>
            </w:r>
            <w:r>
              <w:rPr>
                <w:rFonts w:hint="eastAsia"/>
                <w:color w:val="000000" w:themeColor="text1"/>
                <w:sz w:val="24"/>
                <w:szCs w:val="24"/>
                <w14:textFill>
                  <w14:solidFill>
                    <w14:schemeClr w14:val="tx1"/>
                  </w14:solidFill>
                </w14:textFill>
              </w:rPr>
              <w:t>。旱厕采用</w:t>
            </w:r>
            <w:r>
              <w:rPr>
                <w:color w:val="000000" w:themeColor="text1"/>
                <w:sz w:val="24"/>
                <w:szCs w:val="24"/>
                <w14:textFill>
                  <w14:solidFill>
                    <w14:schemeClr w14:val="tx1"/>
                  </w14:solidFill>
                </w14:textFill>
              </w:rPr>
              <w:t>铺设双层土工膜上敷混凝土，渗透系数≤1×10</w:t>
            </w:r>
            <w:r>
              <w:rPr>
                <w:color w:val="000000" w:themeColor="text1"/>
                <w:sz w:val="24"/>
                <w:szCs w:val="24"/>
                <w:vertAlign w:val="superscript"/>
                <w14:textFill>
                  <w14:solidFill>
                    <w14:schemeClr w14:val="tx1"/>
                  </w14:solidFill>
                </w14:textFill>
              </w:rPr>
              <w:t>-7</w:t>
            </w:r>
            <w:r>
              <w:rPr>
                <w:color w:val="000000" w:themeColor="text1"/>
                <w:sz w:val="24"/>
                <w:szCs w:val="24"/>
                <w14:textFill>
                  <w14:solidFill>
                    <w14:schemeClr w14:val="tx1"/>
                  </w14:solidFill>
                </w14:textFill>
              </w:rPr>
              <w:t>cm/s</w:t>
            </w:r>
            <w:r>
              <w:rPr>
                <w:rFonts w:hint="eastAsia"/>
                <w:color w:val="000000" w:themeColor="text1"/>
                <w:sz w:val="24"/>
                <w:szCs w:val="24"/>
                <w14:textFill>
                  <w14:solidFill>
                    <w14:schemeClr w14:val="tx1"/>
                  </w14:solidFill>
                </w14:textFill>
              </w:rPr>
              <w:t>。采取以上防渗措施后项目不会对土壤、地下水产生影响</w:t>
            </w:r>
            <w:r>
              <w:rPr>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生态保护措施</w:t>
            </w:r>
          </w:p>
        </w:tc>
        <w:tc>
          <w:tcPr>
            <w:tcW w:w="8387" w:type="dxa"/>
            <w:gridSpan w:val="4"/>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1" w:type="dxa"/>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环境风险防范措施</w:t>
            </w:r>
          </w:p>
        </w:tc>
        <w:tc>
          <w:tcPr>
            <w:tcW w:w="8387" w:type="dxa"/>
            <w:gridSpan w:val="4"/>
            <w:tcBorders>
              <w:tl2br w:val="nil"/>
              <w:tr2bl w:val="nil"/>
            </w:tcBorders>
            <w:vAlign w:val="center"/>
          </w:tcPr>
          <w:p>
            <w:pPr>
              <w:adjustRightInd w:val="0"/>
              <w:snapToGrid w:val="0"/>
              <w:spacing w:line="240" w:lineRule="auto"/>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251" w:type="dxa"/>
            <w:tcBorders>
              <w:tl2br w:val="nil"/>
              <w:tr2bl w:val="nil"/>
            </w:tcBorders>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其他环境管理要求</w:t>
            </w:r>
          </w:p>
        </w:tc>
        <w:tc>
          <w:tcPr>
            <w:tcW w:w="8387" w:type="dxa"/>
            <w:gridSpan w:val="4"/>
            <w:tcBorders>
              <w:tl2br w:val="nil"/>
              <w:tr2bl w:val="nil"/>
            </w:tcBorders>
            <w:vAlign w:val="center"/>
          </w:tcPr>
          <w:p>
            <w:pPr>
              <w:pStyle w:val="26"/>
              <w:spacing w:after="0" w:line="240" w:lineRule="auto"/>
              <w:ind w:left="-48" w:firstLine="480" w:firstLineChars="200"/>
              <w:jc w:val="both"/>
              <w:rPr>
                <w:color w:val="000000" w:themeColor="text1"/>
                <w14:textFill>
                  <w14:solidFill>
                    <w14:schemeClr w14:val="tx1"/>
                  </w14:solidFill>
                </w14:textFill>
              </w:rPr>
            </w:pPr>
            <w:r>
              <w:rPr>
                <w:rFonts w:ascii="Times New Roman" w:hAnsi="Times New Roman"/>
                <w:color w:val="auto"/>
                <w:sz w:val="24"/>
                <w:szCs w:val="24"/>
              </w:rPr>
              <w:t>按照《排污许可管理办法（试行）》（环境保护部令48号）和《固定污染源排污许可分类管理名录（2019版）》相关要求，</w:t>
            </w:r>
            <w:r>
              <w:rPr>
                <w:rFonts w:hint="eastAsia" w:ascii="Times New Roman" w:hAnsi="Times New Roman"/>
                <w:color w:val="auto"/>
                <w:sz w:val="24"/>
                <w:szCs w:val="24"/>
              </w:rPr>
              <w:t>应</w:t>
            </w:r>
            <w:r>
              <w:rPr>
                <w:rFonts w:ascii="Times New Roman" w:hAnsi="Times New Roman"/>
                <w:color w:val="auto"/>
                <w:sz w:val="24"/>
                <w:szCs w:val="24"/>
              </w:rPr>
              <w:t>在规定时间内取得排污许可证，按证排污</w:t>
            </w:r>
            <w:r>
              <w:rPr>
                <w:rFonts w:hint="eastAsia" w:ascii="Times New Roman" w:hAnsi="Times New Roman"/>
                <w:color w:val="auto"/>
                <w:sz w:val="24"/>
                <w:szCs w:val="24"/>
              </w:rPr>
              <w:t>，本项目属于登记管理</w:t>
            </w:r>
            <w:r>
              <w:rPr>
                <w:rFonts w:ascii="Times New Roman" w:hAnsi="Times New Roman"/>
                <w:color w:val="auto"/>
                <w:sz w:val="24"/>
                <w:szCs w:val="24"/>
              </w:rPr>
              <w:t>。</w:t>
            </w:r>
          </w:p>
        </w:tc>
      </w:tr>
    </w:tbl>
    <w:p>
      <w:pPr>
        <w:rPr>
          <w:color w:val="000000" w:themeColor="text1"/>
          <w14:textFill>
            <w14:solidFill>
              <w14:schemeClr w14:val="tx1"/>
            </w14:solidFill>
          </w14:textFill>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ind w:firstLine="600"/>
        <w:jc w:val="center"/>
        <w:outlineLvl w:val="0"/>
        <w:rPr>
          <w:rFonts w:eastAsia="黑体"/>
          <w:color w:val="000000" w:themeColor="text1"/>
          <w:sz w:val="30"/>
          <w:szCs w:val="30"/>
          <w14:textFill>
            <w14:solidFill>
              <w14:schemeClr w14:val="tx1"/>
            </w14:solidFill>
          </w14:textFill>
        </w:rPr>
      </w:pPr>
      <w:bookmarkStart w:id="23" w:name="_Toc18137"/>
      <w:r>
        <w:rPr>
          <w:rFonts w:eastAsia="黑体"/>
          <w:color w:val="000000" w:themeColor="text1"/>
          <w:sz w:val="30"/>
          <w:szCs w:val="30"/>
          <w14:textFill>
            <w14:solidFill>
              <w14:schemeClr w14:val="tx1"/>
            </w14:solidFill>
          </w14:textFill>
        </w:rPr>
        <w:t>六、结论</w:t>
      </w:r>
      <w:bookmarkEnd w:id="23"/>
    </w:p>
    <w:tbl>
      <w:tblPr>
        <w:tblStyle w:val="33"/>
        <w:tblW w:w="9638" w:type="dxa"/>
        <w:jc w:val="center"/>
        <w:tblInd w:w="0" w:type="dxa"/>
        <w:tblBorders>
          <w:top w:val="single" w:color="auto" w:sz="4" w:space="0"/>
          <w:left w:val="single" w:color="auto" w:sz="4" w:space="0"/>
          <w:bottom w:val="single" w:color="auto" w:sz="4" w:space="0"/>
          <w:right w:val="single" w:color="auto" w:sz="4" w:space="0"/>
          <w:insideH w:val="single" w:color="auto" w:sz="12"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12" w:space="0"/>
            <w:insideV w:val="none" w:color="auto" w:sz="0" w:space="0"/>
          </w:tblBorders>
          <w:tblLayout w:type="fixed"/>
          <w:tblCellMar>
            <w:top w:w="0" w:type="dxa"/>
            <w:left w:w="108" w:type="dxa"/>
            <w:bottom w:w="0" w:type="dxa"/>
            <w:right w:w="108" w:type="dxa"/>
          </w:tblCellMar>
        </w:tblPrEx>
        <w:trPr>
          <w:jc w:val="center"/>
        </w:trPr>
        <w:tc>
          <w:tcPr>
            <w:tcW w:w="9638" w:type="dxa"/>
            <w:tcBorders>
              <w:tl2br w:val="nil"/>
              <w:tr2bl w:val="nil"/>
            </w:tcBorders>
            <w:vAlign w:val="top"/>
          </w:tcPr>
          <w:p>
            <w:pPr>
              <w:spacing w:before="240" w:beforeLines="10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本项目建设符合国家产业政策要求，项目在采用本次环境影响评价提出的各项污染防治措施后，对项目周围环境及各保护目标环境质量现状影响较小。因此，从环境保护角度而言，本项目建设是可行的。</w:t>
            </w: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p>
        </w:tc>
      </w:tr>
    </w:tbl>
    <w:p>
      <w:pPr>
        <w:rPr>
          <w:color w:val="000000" w:themeColor="text1"/>
          <w14:textFill>
            <w14:solidFill>
              <w14:schemeClr w14:val="tx1"/>
            </w14:solidFill>
          </w14:textFill>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spacing w:before="240" w:beforeLines="100" w:after="240" w:afterLines="100"/>
        <w:ind w:firstLine="600"/>
        <w:jc w:val="left"/>
        <w:outlineLvl w:val="0"/>
        <w:rPr>
          <w:rFonts w:eastAsia="黑体"/>
          <w:color w:val="000000" w:themeColor="text1"/>
          <w:sz w:val="30"/>
          <w:szCs w:val="30"/>
          <w14:textFill>
            <w14:solidFill>
              <w14:schemeClr w14:val="tx1"/>
            </w14:solidFill>
          </w14:textFill>
        </w:rPr>
      </w:pPr>
      <w:bookmarkStart w:id="24" w:name="_Toc23096"/>
      <w:r>
        <w:rPr>
          <w:rFonts w:eastAsia="黑体"/>
          <w:color w:val="000000" w:themeColor="text1"/>
          <w:sz w:val="30"/>
          <w:szCs w:val="30"/>
          <w14:textFill>
            <w14:solidFill>
              <w14:schemeClr w14:val="tx1"/>
            </w14:solidFill>
          </w14:textFill>
        </w:rPr>
        <w:t>附表</w:t>
      </w:r>
      <w:bookmarkEnd w:id="24"/>
    </w:p>
    <w:p>
      <w:pPr>
        <w:spacing w:before="240" w:beforeLines="100" w:after="240" w:afterLines="100"/>
        <w:ind w:firstLine="600"/>
        <w:jc w:val="center"/>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建</w:t>
      </w:r>
      <w:r>
        <w:rPr>
          <w:rFonts w:eastAsia="黑体"/>
          <w:color w:val="000000" w:themeColor="text1"/>
          <w:sz w:val="30"/>
          <w:szCs w:val="30"/>
          <w:highlight w:val="none"/>
          <w14:textFill>
            <w14:solidFill>
              <w14:schemeClr w14:val="tx1"/>
            </w14:solidFill>
          </w14:textFill>
        </w:rPr>
        <w:t>设项目污染物排放量汇总表</w:t>
      </w:r>
    </w:p>
    <w:tbl>
      <w:tblPr>
        <w:tblStyle w:val="32"/>
        <w:tblW w:w="1378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806"/>
        <w:gridCol w:w="1701"/>
        <w:gridCol w:w="1276"/>
        <w:gridCol w:w="1701"/>
        <w:gridCol w:w="1559"/>
        <w:gridCol w:w="1761"/>
        <w:gridCol w:w="1474"/>
        <w:gridCol w:w="13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1199" w:type="dxa"/>
            <w:tcBorders>
              <w:top w:val="single" w:color="auto" w:sz="8" w:space="0"/>
              <w:bottom w:val="single" w:color="auto" w:sz="4" w:space="0"/>
              <w:tl2br w:val="single" w:color="auto" w:sz="4" w:space="0"/>
            </w:tcBorders>
            <w:tcMar>
              <w:left w:w="28" w:type="dxa"/>
              <w:right w:w="28" w:type="dxa"/>
            </w:tcMar>
            <w:vAlign w:val="center"/>
          </w:tcPr>
          <w:p>
            <w:pPr>
              <w:pStyle w:val="49"/>
              <w:spacing w:beforeLines="0" w:afterLines="0" w:line="240" w:lineRule="auto"/>
              <w:jc w:val="right"/>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项目</w:t>
            </w:r>
          </w:p>
          <w:p>
            <w:pPr>
              <w:pStyle w:val="49"/>
              <w:spacing w:beforeLines="0" w:afterLines="0" w:line="240" w:lineRule="auto"/>
              <w:jc w:val="left"/>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分类</w:t>
            </w:r>
          </w:p>
        </w:tc>
        <w:tc>
          <w:tcPr>
            <w:tcW w:w="1806"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污染物名称</w:t>
            </w:r>
          </w:p>
        </w:tc>
        <w:tc>
          <w:tcPr>
            <w:tcW w:w="1701"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现有工程</w:t>
            </w:r>
          </w:p>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排放量（固体废物产生量）</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ascii="Times New Roman" w:hAnsi="Times New Roman" w:eastAsia="宋体" w:cs="Times New Roman"/>
                <w:color w:val="000000" w:themeColor="text1"/>
                <w:szCs w:val="24"/>
                <w14:textFill>
                  <w14:solidFill>
                    <w14:schemeClr w14:val="tx1"/>
                  </w14:solidFill>
                </w14:textFill>
              </w:rPr>
              <w:t>①</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tc>
        <w:tc>
          <w:tcPr>
            <w:tcW w:w="1276"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现有工程</w:t>
            </w:r>
          </w:p>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许可排放量</w:t>
            </w:r>
          </w:p>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2 \* GB3 \* MERGEFORMAT </w:instrTex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ascii="Times New Roman" w:hAnsi="Times New Roman" w:eastAsia="宋体" w:cs="Times New Roman"/>
                <w:snapToGrid w:val="0"/>
                <w:color w:val="000000" w:themeColor="text1"/>
                <w:spacing w:val="-6"/>
                <w:kern w:val="21"/>
                <w:szCs w:val="24"/>
                <w14:textFill>
                  <w14:solidFill>
                    <w14:schemeClr w14:val="tx1"/>
                  </w14:solidFill>
                </w14:textFill>
              </w:rPr>
              <w:t>②</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tc>
        <w:tc>
          <w:tcPr>
            <w:tcW w:w="1701"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在建工程</w:t>
            </w:r>
          </w:p>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排放量（固体废物产生量）</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ascii="Times New Roman" w:hAnsi="Times New Roman" w:eastAsia="宋体" w:cs="Times New Roman"/>
                <w:color w:val="000000" w:themeColor="text1"/>
                <w:szCs w:val="24"/>
                <w14:textFill>
                  <w14:solidFill>
                    <w14:schemeClr w14:val="tx1"/>
                  </w14:solidFill>
                </w14:textFill>
              </w:rPr>
              <w:t>③</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tc>
        <w:tc>
          <w:tcPr>
            <w:tcW w:w="1559"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本项目</w:t>
            </w:r>
          </w:p>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排放量（固体废物产生量）</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ascii="Times New Roman" w:hAnsi="Times New Roman" w:eastAsia="宋体" w:cs="Times New Roman"/>
                <w:color w:val="000000" w:themeColor="text1"/>
                <w:szCs w:val="24"/>
                <w14:textFill>
                  <w14:solidFill>
                    <w14:schemeClr w14:val="tx1"/>
                  </w14:solidFill>
                </w14:textFill>
              </w:rPr>
              <w:t>④</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tc>
        <w:tc>
          <w:tcPr>
            <w:tcW w:w="1761"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16"/>
                <w:kern w:val="21"/>
                <w:szCs w:val="24"/>
                <w14:textFill>
                  <w14:solidFill>
                    <w14:schemeClr w14:val="tx1"/>
                  </w14:solidFill>
                </w14:textFill>
              </w:rPr>
            </w:pPr>
            <w:r>
              <w:rPr>
                <w:rFonts w:ascii="Times New Roman" w:hAnsi="Times New Roman" w:eastAsia="宋体" w:cs="Times New Roman"/>
                <w:snapToGrid w:val="0"/>
                <w:color w:val="000000" w:themeColor="text1"/>
                <w:spacing w:val="-16"/>
                <w:kern w:val="21"/>
                <w:szCs w:val="24"/>
                <w14:textFill>
                  <w14:solidFill>
                    <w14:schemeClr w14:val="tx1"/>
                  </w14:solidFill>
                </w14:textFill>
              </w:rPr>
              <w:t>以新带老削减量</w:t>
            </w:r>
          </w:p>
          <w:p>
            <w:pPr>
              <w:pStyle w:val="49"/>
              <w:spacing w:beforeLines="0" w:afterLines="0" w:line="240" w:lineRule="auto"/>
              <w:rPr>
                <w:rFonts w:ascii="Times New Roman" w:hAnsi="Times New Roman" w:eastAsia="宋体" w:cs="Times New Roman"/>
                <w:snapToGrid w:val="0"/>
                <w:color w:val="000000" w:themeColor="text1"/>
                <w:spacing w:val="-16"/>
                <w:kern w:val="21"/>
                <w:szCs w:val="24"/>
                <w14:textFill>
                  <w14:solidFill>
                    <w14:schemeClr w14:val="tx1"/>
                  </w14:solidFill>
                </w14:textFill>
              </w:rPr>
            </w:pPr>
            <w:r>
              <w:rPr>
                <w:rFonts w:ascii="Times New Roman" w:hAnsi="Times New Roman" w:eastAsia="宋体" w:cs="Times New Roman"/>
                <w:snapToGrid w:val="0"/>
                <w:color w:val="000000" w:themeColor="text1"/>
                <w:spacing w:val="-16"/>
                <w:kern w:val="21"/>
                <w:szCs w:val="24"/>
                <w14:textFill>
                  <w14:solidFill>
                    <w14:schemeClr w14:val="tx1"/>
                  </w14:solidFill>
                </w14:textFill>
              </w:rPr>
              <w:t>（新建项目不填）</w:t>
            </w:r>
            <w:r>
              <w:rPr>
                <w:rFonts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ascii="Times New Roman" w:hAnsi="Times New Roman" w:eastAsia="宋体" w:cs="Times New Roman"/>
                <w:color w:val="000000" w:themeColor="text1"/>
                <w:szCs w:val="24"/>
                <w14:textFill>
                  <w14:solidFill>
                    <w14:schemeClr w14:val="tx1"/>
                  </w14:solidFill>
                </w14:textFill>
              </w:rPr>
              <w:t>⑤</w:t>
            </w:r>
            <w:r>
              <w:rPr>
                <w:rFonts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p>
        </w:tc>
        <w:tc>
          <w:tcPr>
            <w:tcW w:w="1474"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16"/>
                <w:kern w:val="21"/>
                <w:szCs w:val="24"/>
                <w14:textFill>
                  <w14:solidFill>
                    <w14:schemeClr w14:val="tx1"/>
                  </w14:solidFill>
                </w14:textFill>
              </w:rPr>
            </w:pPr>
            <w:r>
              <w:rPr>
                <w:rFonts w:ascii="Times New Roman" w:hAnsi="Times New Roman" w:eastAsia="宋体" w:cs="Times New Roman"/>
                <w:snapToGrid w:val="0"/>
                <w:color w:val="000000" w:themeColor="text1"/>
                <w:spacing w:val="-16"/>
                <w:kern w:val="21"/>
                <w:szCs w:val="24"/>
                <w14:textFill>
                  <w14:solidFill>
                    <w14:schemeClr w14:val="tx1"/>
                  </w14:solidFill>
                </w14:textFill>
              </w:rPr>
              <w:t>本项目建成后</w:t>
            </w:r>
          </w:p>
          <w:p>
            <w:pPr>
              <w:pStyle w:val="49"/>
              <w:spacing w:beforeLines="0" w:afterLines="0" w:line="240" w:lineRule="auto"/>
              <w:rPr>
                <w:rFonts w:ascii="Times New Roman" w:hAnsi="Times New Roman" w:eastAsia="宋体" w:cs="Times New Roman"/>
                <w:snapToGrid w:val="0"/>
                <w:color w:val="000000" w:themeColor="text1"/>
                <w:spacing w:val="-16"/>
                <w:kern w:val="21"/>
                <w:szCs w:val="24"/>
                <w14:textFill>
                  <w14:solidFill>
                    <w14:schemeClr w14:val="tx1"/>
                  </w14:solidFill>
                </w14:textFill>
              </w:rPr>
            </w:pPr>
            <w:r>
              <w:rPr>
                <w:rFonts w:ascii="Times New Roman" w:hAnsi="Times New Roman" w:eastAsia="宋体" w:cs="Times New Roman"/>
                <w:snapToGrid w:val="0"/>
                <w:color w:val="000000" w:themeColor="text1"/>
                <w:spacing w:val="-16"/>
                <w:kern w:val="21"/>
                <w:szCs w:val="24"/>
                <w14:textFill>
                  <w14:solidFill>
                    <w14:schemeClr w14:val="tx1"/>
                  </w14:solidFill>
                </w14:textFill>
              </w:rPr>
              <w:t>全厂排放量（固体废物产生量）</w:t>
            </w:r>
            <w:r>
              <w:rPr>
                <w:rFonts w:ascii="Times New Roman" w:hAnsi="Times New Roman" w:eastAsia="宋体" w:cs="Times New Roman"/>
                <w:snapToGrid w:val="0"/>
                <w:color w:val="000000" w:themeColor="text1"/>
                <w:spacing w:val="-1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16"/>
                <w:kern w:val="21"/>
                <w:szCs w:val="24"/>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spacing w:val="-16"/>
                <w:kern w:val="21"/>
                <w:szCs w:val="24"/>
                <w14:textFill>
                  <w14:solidFill>
                    <w14:schemeClr w14:val="tx1"/>
                  </w14:solidFill>
                </w14:textFill>
              </w:rPr>
              <w:fldChar w:fldCharType="separate"/>
            </w:r>
            <w:r>
              <w:rPr>
                <w:rFonts w:ascii="Times New Roman" w:hAnsi="Times New Roman" w:eastAsia="宋体" w:cs="Times New Roman"/>
                <w:color w:val="000000" w:themeColor="text1"/>
                <w:szCs w:val="24"/>
                <w14:textFill>
                  <w14:solidFill>
                    <w14:schemeClr w14:val="tx1"/>
                  </w14:solidFill>
                </w14:textFill>
              </w:rPr>
              <w:t>⑥</w:t>
            </w:r>
            <w:r>
              <w:rPr>
                <w:rFonts w:ascii="Times New Roman" w:hAnsi="Times New Roman" w:eastAsia="宋体" w:cs="Times New Roman"/>
                <w:snapToGrid w:val="0"/>
                <w:color w:val="000000" w:themeColor="text1"/>
                <w:spacing w:val="-16"/>
                <w:kern w:val="21"/>
                <w:szCs w:val="24"/>
                <w14:textFill>
                  <w14:solidFill>
                    <w14:schemeClr w14:val="tx1"/>
                  </w14:solidFill>
                </w14:textFill>
              </w:rPr>
              <w:fldChar w:fldCharType="end"/>
            </w:r>
          </w:p>
        </w:tc>
        <w:tc>
          <w:tcPr>
            <w:tcW w:w="1311" w:type="dxa"/>
            <w:tcBorders>
              <w:top w:val="single" w:color="auto" w:sz="8" w:space="0"/>
              <w:bottom w:val="single" w:color="auto" w:sz="4" w:space="0"/>
            </w:tcBorders>
            <w:tcMar>
              <w:left w:w="28" w:type="dxa"/>
              <w:right w:w="28" w:type="dxa"/>
            </w:tcMar>
            <w:vAlign w:val="center"/>
          </w:tcPr>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t>变化量</w:t>
            </w:r>
          </w:p>
          <w:p>
            <w:pPr>
              <w:pStyle w:val="49"/>
              <w:spacing w:beforeLines="0" w:afterLines="0" w:line="240" w:lineRule="auto"/>
              <w:rPr>
                <w:rFonts w:ascii="Times New Roman" w:hAnsi="Times New Roman" w:eastAsia="宋体" w:cs="Times New Roman"/>
                <w:snapToGrid w:val="0"/>
                <w:color w:val="000000" w:themeColor="text1"/>
                <w:spacing w:val="-6"/>
                <w:kern w:val="21"/>
                <w:szCs w:val="24"/>
                <w14:textFill>
                  <w14:solidFill>
                    <w14:schemeClr w14:val="tx1"/>
                  </w14:solidFill>
                </w14:textFill>
              </w:rPr>
            </w:pP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begin"/>
            </w:r>
            <w:r>
              <w:rPr>
                <w:rFonts w:ascii="Times New Roman" w:hAnsi="Times New Roman" w:eastAsia="宋体" w:cs="Times New Roman"/>
                <w:snapToGrid w:val="0"/>
                <w:color w:val="000000" w:themeColor="text1"/>
                <w:spacing w:val="-6"/>
                <w:kern w:val="21"/>
                <w:szCs w:val="24"/>
                <w14:textFill>
                  <w14:solidFill>
                    <w14:schemeClr w14:val="tx1"/>
                  </w14:solidFill>
                </w14:textFill>
              </w:rPr>
              <w:instrText xml:space="preserve"> = 7 \* GB3 \* MERGEFORMAT </w:instrTex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separate"/>
            </w:r>
            <w:r>
              <w:rPr>
                <w:rFonts w:ascii="Times New Roman" w:hAnsi="Times New Roman" w:eastAsia="宋体" w:cs="Times New Roman"/>
                <w:color w:val="000000" w:themeColor="text1"/>
                <w:szCs w:val="24"/>
                <w14:textFill>
                  <w14:solidFill>
                    <w14:schemeClr w14:val="tx1"/>
                  </w14:solidFill>
                </w14:textFill>
              </w:rPr>
              <w:t>⑦</w:t>
            </w:r>
            <w:r>
              <w:rPr>
                <w:rFonts w:ascii="Times New Roman" w:hAnsi="Times New Roman" w:eastAsia="宋体" w:cs="Times New Roman"/>
                <w:snapToGrid w:val="0"/>
                <w:color w:val="000000" w:themeColor="text1"/>
                <w:spacing w:val="-6"/>
                <w:kern w:val="21"/>
                <w:szCs w:val="24"/>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9" w:type="dxa"/>
            <w:tcBorders>
              <w:top w:val="single" w:color="auto" w:sz="4" w:space="0"/>
              <w:bottom w:val="single" w:color="auto" w:sz="4" w:space="0"/>
            </w:tcBorders>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r>
              <w:rPr>
                <w:rFonts w:ascii="Times New Roman" w:hAnsi="Times New Roman" w:eastAsia="宋体" w:cs="Times New Roman"/>
                <w:snapToGrid w:val="0"/>
                <w:color w:val="000000" w:themeColor="text1"/>
                <w:kern w:val="21"/>
                <w:szCs w:val="24"/>
                <w14:textFill>
                  <w14:solidFill>
                    <w14:schemeClr w14:val="tx1"/>
                  </w14:solidFill>
                </w14:textFill>
              </w:rPr>
              <w:t>废气</w:t>
            </w:r>
          </w:p>
        </w:tc>
        <w:tc>
          <w:tcPr>
            <w:tcW w:w="1806"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snapToGrid w:val="0"/>
                <w:color w:val="000000" w:themeColor="text1"/>
                <w:kern w:val="21"/>
                <w14:textFill>
                  <w14:solidFill>
                    <w14:schemeClr w14:val="tx1"/>
                  </w14:solidFill>
                </w14:textFill>
              </w:rPr>
              <w:t>颗粒物</w:t>
            </w:r>
          </w:p>
        </w:tc>
        <w:tc>
          <w:tcPr>
            <w:tcW w:w="1701" w:type="dxa"/>
            <w:tcBorders>
              <w:top w:val="single" w:color="auto" w:sz="4" w:space="0"/>
              <w:bottom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0.071</w:t>
            </w:r>
            <w:r>
              <w:rPr>
                <w:rFonts w:hint="eastAsia"/>
                <w:color w:val="000000" w:themeColor="text1"/>
                <w:highlight w:val="none"/>
                <w14:textFill>
                  <w14:solidFill>
                    <w14:schemeClr w14:val="tx1"/>
                  </w14:solidFill>
                </w14:textFill>
              </w:rPr>
              <w:t>t/a</w:t>
            </w:r>
          </w:p>
        </w:tc>
        <w:tc>
          <w:tcPr>
            <w:tcW w:w="1276" w:type="dxa"/>
            <w:tcBorders>
              <w:top w:val="single" w:color="auto" w:sz="4" w:space="0"/>
              <w:bottom w:val="single" w:color="auto" w:sz="4" w:space="0"/>
            </w:tcBorders>
            <w:shd w:val="clear" w:color="auto" w:fill="auto"/>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0.072</w:t>
            </w:r>
            <w:r>
              <w:rPr>
                <w:rFonts w:hint="eastAsia"/>
                <w:color w:val="000000" w:themeColor="text1"/>
                <w:highlight w:val="none"/>
                <w14:textFill>
                  <w14:solidFill>
                    <w14:schemeClr w14:val="tx1"/>
                  </w14:solidFill>
                </w14:textFill>
              </w:rPr>
              <w:t>t/a</w:t>
            </w:r>
          </w:p>
        </w:tc>
        <w:tc>
          <w:tcPr>
            <w:tcW w:w="170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0.101</w:t>
            </w:r>
            <w:r>
              <w:rPr>
                <w:rFonts w:hint="eastAsia"/>
                <w:color w:val="000000" w:themeColor="text1"/>
                <w:highlight w:val="none"/>
                <w14:textFill>
                  <w14:solidFill>
                    <w14:schemeClr w14:val="tx1"/>
                  </w14:solidFill>
                </w14:textFill>
              </w:rPr>
              <w:t>t/a</w:t>
            </w:r>
          </w:p>
        </w:tc>
        <w:tc>
          <w:tcPr>
            <w:tcW w:w="1761" w:type="dxa"/>
            <w:tcBorders>
              <w:top w:val="single" w:color="auto" w:sz="4" w:space="0"/>
              <w:bottom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0.172</w:t>
            </w:r>
            <w:r>
              <w:rPr>
                <w:rFonts w:hint="eastAsia"/>
                <w:color w:val="000000" w:themeColor="text1"/>
                <w:highlight w:val="none"/>
                <w14:textFill>
                  <w14:solidFill>
                    <w14:schemeClr w14:val="tx1"/>
                  </w14:solidFill>
                </w14:textFill>
              </w:rPr>
              <w:t>t/a</w:t>
            </w:r>
          </w:p>
        </w:tc>
        <w:tc>
          <w:tcPr>
            <w:tcW w:w="131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0.101</w:t>
            </w:r>
            <w:r>
              <w:rPr>
                <w:rFonts w:hint="eastAsia"/>
                <w:color w:val="000000" w:themeColor="text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9" w:type="dxa"/>
            <w:vMerge w:val="restart"/>
            <w:tcBorders>
              <w:top w:val="single" w:color="auto" w:sz="4" w:space="0"/>
            </w:tcBorders>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r>
              <w:rPr>
                <w:rFonts w:ascii="Times New Roman" w:hAnsi="Times New Roman" w:eastAsia="宋体" w:cs="Times New Roman"/>
                <w:snapToGrid w:val="0"/>
                <w:color w:val="000000" w:themeColor="text1"/>
                <w:kern w:val="21"/>
                <w:szCs w:val="24"/>
                <w14:textFill>
                  <w14:solidFill>
                    <w14:schemeClr w14:val="tx1"/>
                  </w14:solidFill>
                </w14:textFill>
              </w:rPr>
              <w:t>一般工业</w:t>
            </w:r>
          </w:p>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r>
              <w:rPr>
                <w:rFonts w:ascii="Times New Roman" w:hAnsi="Times New Roman" w:eastAsia="宋体" w:cs="Times New Roman"/>
                <w:snapToGrid w:val="0"/>
                <w:color w:val="000000" w:themeColor="text1"/>
                <w:kern w:val="21"/>
                <w:szCs w:val="24"/>
                <w14:textFill>
                  <w14:solidFill>
                    <w14:schemeClr w14:val="tx1"/>
                  </w14:solidFill>
                </w14:textFill>
              </w:rPr>
              <w:t>固体废物</w:t>
            </w:r>
          </w:p>
        </w:tc>
        <w:tc>
          <w:tcPr>
            <w:tcW w:w="1806" w:type="dxa"/>
            <w:tcBorders>
              <w:top w:val="single" w:color="auto" w:sz="4" w:space="0"/>
              <w:bottom w:val="single" w:color="auto" w:sz="4" w:space="0"/>
            </w:tcBorders>
            <w:shd w:val="clear" w:color="auto" w:fill="auto"/>
            <w:vAlign w:val="center"/>
          </w:tcPr>
          <w:p>
            <w:pPr>
              <w:pStyle w:val="93"/>
              <w:adjustRightInd w:val="0"/>
              <w:snapToGrid w:val="0"/>
              <w:spacing w:before="24" w:after="24" w:line="240" w:lineRule="auto"/>
              <w:rPr>
                <w:rFonts w:hint="default"/>
                <w:snapToGrid w:val="0"/>
                <w:color w:val="000000" w:themeColor="text1"/>
                <w:kern w:val="21"/>
                <w:sz w:val="24"/>
                <w:szCs w:val="24"/>
                <w14:textFill>
                  <w14:solidFill>
                    <w14:schemeClr w14:val="tx1"/>
                  </w14:solidFill>
                </w14:textFill>
              </w:rPr>
            </w:pPr>
            <w:r>
              <w:rPr>
                <w:rFonts w:hint="default"/>
                <w:color w:val="000000" w:themeColor="text1"/>
                <w:sz w:val="24"/>
                <w:szCs w:val="24"/>
                <w14:textFill>
                  <w14:solidFill>
                    <w14:schemeClr w14:val="tx1"/>
                  </w14:solidFill>
                </w14:textFill>
              </w:rPr>
              <w:t>除尘器收尘</w:t>
            </w:r>
          </w:p>
        </w:tc>
        <w:tc>
          <w:tcPr>
            <w:tcW w:w="1701" w:type="dxa"/>
            <w:tcBorders>
              <w:top w:val="single" w:color="auto" w:sz="4" w:space="0"/>
              <w:bottom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w:t>
            </w:r>
          </w:p>
        </w:tc>
        <w:tc>
          <w:tcPr>
            <w:tcW w:w="1276" w:type="dxa"/>
            <w:tcBorders>
              <w:top w:val="single" w:color="auto" w:sz="4" w:space="0"/>
              <w:bottom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55.884</w:t>
            </w:r>
          </w:p>
        </w:tc>
        <w:tc>
          <w:tcPr>
            <w:tcW w:w="170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14.24</w:t>
            </w:r>
            <w:r>
              <w:rPr>
                <w:color w:val="000000" w:themeColor="text1"/>
                <w14:textFill>
                  <w14:solidFill>
                    <w14:schemeClr w14:val="tx1"/>
                  </w14:solidFill>
                </w14:textFill>
              </w:rPr>
              <w:t>t/a</w:t>
            </w:r>
          </w:p>
        </w:tc>
        <w:tc>
          <w:tcPr>
            <w:tcW w:w="176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66.24</w:t>
            </w:r>
            <w:r>
              <w:rPr>
                <w:color w:val="000000" w:themeColor="text1"/>
                <w14:textFill>
                  <w14:solidFill>
                    <w14:schemeClr w14:val="tx1"/>
                  </w14:solidFill>
                </w14:textFill>
              </w:rPr>
              <w:t>t/a</w:t>
            </w:r>
          </w:p>
        </w:tc>
        <w:tc>
          <w:tcPr>
            <w:tcW w:w="131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14.24</w:t>
            </w:r>
            <w:r>
              <w:rPr>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9" w:type="dxa"/>
            <w:vMerge w:val="continue"/>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p>
        </w:tc>
        <w:tc>
          <w:tcPr>
            <w:tcW w:w="1806" w:type="dxa"/>
            <w:tcBorders>
              <w:top w:val="single" w:color="auto" w:sz="4" w:space="0"/>
              <w:bottom w:val="single" w:color="auto" w:sz="4" w:space="0"/>
            </w:tcBorders>
            <w:shd w:val="clear" w:color="auto" w:fill="auto"/>
            <w:vAlign w:val="center"/>
          </w:tcPr>
          <w:p>
            <w:pPr>
              <w:adjustRightInd w:val="0"/>
              <w:snapToGrid w:val="0"/>
              <w:jc w:val="center"/>
              <w:rPr>
                <w:snapToGrid w:val="0"/>
                <w:color w:val="000000" w:themeColor="text1"/>
                <w:kern w:val="21"/>
                <w14:textFill>
                  <w14:solidFill>
                    <w14:schemeClr w14:val="tx1"/>
                  </w14:solidFill>
                </w14:textFill>
              </w:rPr>
            </w:pPr>
            <w:r>
              <w:rPr>
                <w:color w:val="000000" w:themeColor="text1"/>
                <w14:textFill>
                  <w14:solidFill>
                    <w14:schemeClr w14:val="tx1"/>
                  </w14:solidFill>
                </w14:textFill>
              </w:rPr>
              <w:t>沉淀池沉渣</w:t>
            </w:r>
          </w:p>
        </w:tc>
        <w:tc>
          <w:tcPr>
            <w:tcW w:w="1701" w:type="dxa"/>
            <w:tcBorders>
              <w:top w:val="single" w:color="auto" w:sz="4" w:space="0"/>
              <w:bottom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1276" w:type="dxa"/>
            <w:tcBorders>
              <w:top w:val="single" w:color="auto" w:sz="4" w:space="0"/>
              <w:bottom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70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t/a</w:t>
            </w:r>
          </w:p>
        </w:tc>
        <w:tc>
          <w:tcPr>
            <w:tcW w:w="176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17</w:t>
            </w:r>
            <w:r>
              <w:rPr>
                <w:color w:val="000000" w:themeColor="text1"/>
                <w14:textFill>
                  <w14:solidFill>
                    <w14:schemeClr w14:val="tx1"/>
                  </w14:solidFill>
                </w14:textFill>
              </w:rPr>
              <w:t>t/a</w:t>
            </w:r>
          </w:p>
        </w:tc>
        <w:tc>
          <w:tcPr>
            <w:tcW w:w="131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9" w:type="dxa"/>
            <w:vMerge w:val="continue"/>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p>
        </w:tc>
        <w:tc>
          <w:tcPr>
            <w:tcW w:w="1806" w:type="dxa"/>
            <w:tcBorders>
              <w:top w:val="single" w:color="auto" w:sz="4" w:space="0"/>
              <w:bottom w:val="single" w:color="auto" w:sz="4" w:space="0"/>
            </w:tcBorders>
            <w:shd w:val="clear" w:color="auto" w:fill="auto"/>
            <w:vAlign w:val="center"/>
          </w:tcPr>
          <w:p>
            <w:pPr>
              <w:adjustRightInd w:val="0"/>
              <w:snapToGrid w:val="0"/>
              <w:jc w:val="center"/>
              <w:rPr>
                <w:rFonts w:hint="default" w:eastAsia="宋体"/>
                <w:snapToGrid w:val="0"/>
                <w:color w:val="000000" w:themeColor="text1"/>
                <w:kern w:val="21"/>
                <w:lang w:val="en-US" w:eastAsia="zh-CN"/>
                <w14:textFill>
                  <w14:solidFill>
                    <w14:schemeClr w14:val="tx1"/>
                  </w14:solidFill>
                </w14:textFill>
              </w:rPr>
            </w:pPr>
            <w:r>
              <w:rPr>
                <w:color w:val="auto"/>
                <w:sz w:val="21"/>
                <w:szCs w:val="21"/>
              </w:rPr>
              <w:t>砂和碎石混合物</w:t>
            </w:r>
          </w:p>
        </w:tc>
        <w:tc>
          <w:tcPr>
            <w:tcW w:w="1701" w:type="dxa"/>
            <w:tcBorders>
              <w:top w:val="single" w:color="auto" w:sz="4" w:space="0"/>
              <w:bottom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w:t>
            </w:r>
          </w:p>
        </w:tc>
        <w:tc>
          <w:tcPr>
            <w:tcW w:w="1276" w:type="dxa"/>
            <w:tcBorders>
              <w:top w:val="single" w:color="auto" w:sz="4" w:space="0"/>
              <w:bottom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200</w:t>
            </w:r>
          </w:p>
        </w:tc>
        <w:tc>
          <w:tcPr>
            <w:tcW w:w="170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w:t>
            </w:r>
            <w:r>
              <w:rPr>
                <w:color w:val="000000" w:themeColor="text1"/>
                <w14:textFill>
                  <w14:solidFill>
                    <w14:schemeClr w14:val="tx1"/>
                  </w14:solidFill>
                </w14:textFill>
              </w:rPr>
              <w:t>t/a</w:t>
            </w:r>
          </w:p>
        </w:tc>
        <w:tc>
          <w:tcPr>
            <w:tcW w:w="176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260</w:t>
            </w:r>
            <w:r>
              <w:rPr>
                <w:color w:val="000000" w:themeColor="text1"/>
                <w14:textFill>
                  <w14:solidFill>
                    <w14:schemeClr w14:val="tx1"/>
                  </w14:solidFill>
                </w14:textFill>
              </w:rPr>
              <w:t>t/a</w:t>
            </w:r>
          </w:p>
        </w:tc>
        <w:tc>
          <w:tcPr>
            <w:tcW w:w="131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w:t>
            </w:r>
            <w:r>
              <w:rPr>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1199" w:type="dxa"/>
            <w:vMerge w:val="continue"/>
            <w:tcBorders>
              <w:bottom w:val="single" w:color="auto" w:sz="4" w:space="0"/>
            </w:tcBorders>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p>
        </w:tc>
        <w:tc>
          <w:tcPr>
            <w:tcW w:w="1806" w:type="dxa"/>
            <w:tcBorders>
              <w:top w:val="single" w:color="auto" w:sz="4" w:space="0"/>
              <w:bottom w:val="single" w:color="auto" w:sz="4" w:space="0"/>
            </w:tcBorders>
            <w:shd w:val="clear" w:color="auto" w:fill="auto"/>
            <w:vAlign w:val="center"/>
          </w:tcPr>
          <w:p>
            <w:pPr>
              <w:jc w:val="center"/>
              <w:rPr>
                <w:rFonts w:hint="default" w:eastAsia="宋体"/>
                <w:snapToGrid w:val="0"/>
                <w:color w:val="000000" w:themeColor="text1"/>
                <w:kern w:val="21"/>
                <w:lang w:val="en-US" w:eastAsia="zh-CN"/>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实验室废料</w:t>
            </w:r>
          </w:p>
        </w:tc>
        <w:tc>
          <w:tcPr>
            <w:tcW w:w="1701" w:type="dxa"/>
            <w:tcBorders>
              <w:top w:val="single" w:color="auto" w:sz="4" w:space="0"/>
              <w:bottom w:val="single" w:color="auto" w:sz="4" w:space="0"/>
            </w:tcBorders>
            <w:shd w:val="clear" w:color="auto" w:fill="auto"/>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276" w:type="dxa"/>
            <w:tcBorders>
              <w:top w:val="single" w:color="auto" w:sz="4" w:space="0"/>
              <w:bottom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10</w:t>
            </w:r>
          </w:p>
        </w:tc>
        <w:tc>
          <w:tcPr>
            <w:tcW w:w="170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shd w:val="clear" w:color="auto" w:fill="auto"/>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t/a</w:t>
            </w:r>
          </w:p>
        </w:tc>
        <w:tc>
          <w:tcPr>
            <w:tcW w:w="176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r>
              <w:rPr>
                <w:color w:val="000000" w:themeColor="text1"/>
                <w14:textFill>
                  <w14:solidFill>
                    <w14:schemeClr w14:val="tx1"/>
                  </w14:solidFill>
                </w14:textFill>
              </w:rPr>
              <w:t>t/a</w:t>
            </w:r>
          </w:p>
        </w:tc>
        <w:tc>
          <w:tcPr>
            <w:tcW w:w="1311" w:type="dxa"/>
            <w:tcBorders>
              <w:top w:val="single" w:color="auto" w:sz="4" w:space="0"/>
              <w:bottom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1199" w:type="dxa"/>
            <w:vMerge w:val="continue"/>
            <w:tcBorders>
              <w:bottom w:val="single" w:color="auto" w:sz="4" w:space="0"/>
            </w:tcBorders>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p>
        </w:tc>
        <w:tc>
          <w:tcPr>
            <w:tcW w:w="1806" w:type="dxa"/>
            <w:tcBorders>
              <w:top w:val="single" w:color="auto" w:sz="4" w:space="0"/>
              <w:bottom w:val="single" w:color="auto" w:sz="4" w:space="0"/>
            </w:tcBorders>
            <w:shd w:val="clear" w:color="auto" w:fill="auto"/>
            <w:vAlign w:val="center"/>
          </w:tcPr>
          <w:p>
            <w:pPr>
              <w:jc w:val="center"/>
              <w:rPr>
                <w:rFonts w:hint="default"/>
                <w:snapToGrid w:val="0"/>
                <w:color w:val="000000" w:themeColor="text1"/>
                <w:kern w:val="21"/>
                <w:lang w:val="en-US" w:eastAsia="zh-CN"/>
                <w14:textFill>
                  <w14:solidFill>
                    <w14:schemeClr w14:val="tx1"/>
                  </w14:solidFill>
                </w14:textFill>
              </w:rPr>
            </w:pPr>
            <w:r>
              <w:rPr>
                <w:rFonts w:hint="eastAsia"/>
                <w:snapToGrid w:val="0"/>
                <w:color w:val="000000" w:themeColor="text1"/>
                <w:kern w:val="21"/>
                <w:lang w:val="en-US" w:eastAsia="zh-CN"/>
                <w14:textFill>
                  <w14:solidFill>
                    <w14:schemeClr w14:val="tx1"/>
                  </w14:solidFill>
                </w14:textFill>
              </w:rPr>
              <w:t>废布袋</w:t>
            </w:r>
          </w:p>
        </w:tc>
        <w:tc>
          <w:tcPr>
            <w:tcW w:w="1701" w:type="dxa"/>
            <w:tcBorders>
              <w:top w:val="single" w:color="auto" w:sz="4" w:space="0"/>
              <w:bottom w:val="single" w:color="auto" w:sz="4" w:space="0"/>
            </w:tcBorders>
            <w:shd w:val="clear" w:color="auto" w:fill="auto"/>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c>
          <w:tcPr>
            <w:tcW w:w="1276" w:type="dxa"/>
            <w:tcBorders>
              <w:top w:val="single" w:color="auto" w:sz="4" w:space="0"/>
              <w:bottom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0.01</w:t>
            </w:r>
          </w:p>
        </w:tc>
        <w:tc>
          <w:tcPr>
            <w:tcW w:w="170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shd w:val="clear" w:color="auto" w:fill="auto"/>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0.04</w:t>
            </w:r>
            <w:r>
              <w:rPr>
                <w:color w:val="000000" w:themeColor="text1"/>
                <w14:textFill>
                  <w14:solidFill>
                    <w14:schemeClr w14:val="tx1"/>
                  </w14:solidFill>
                </w14:textFill>
              </w:rPr>
              <w:t>t/a</w:t>
            </w:r>
          </w:p>
        </w:tc>
        <w:tc>
          <w:tcPr>
            <w:tcW w:w="1761" w:type="dxa"/>
            <w:tcBorders>
              <w:top w:val="single" w:color="auto" w:sz="4" w:space="0"/>
              <w:bottom w:val="single" w:color="auto" w:sz="4" w:space="0"/>
            </w:tcBorders>
            <w:shd w:val="clear" w:color="auto" w:fill="auto"/>
            <w:vAlign w:val="center"/>
          </w:tcPr>
          <w:p>
            <w:pPr>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r>
              <w:rPr>
                <w:color w:val="000000" w:themeColor="text1"/>
                <w14:textFill>
                  <w14:solidFill>
                    <w14:schemeClr w14:val="tx1"/>
                  </w14:solidFill>
                </w14:textFill>
              </w:rPr>
              <w:t>t/a</w:t>
            </w:r>
          </w:p>
        </w:tc>
        <w:tc>
          <w:tcPr>
            <w:tcW w:w="1311" w:type="dxa"/>
            <w:tcBorders>
              <w:top w:val="single" w:color="auto" w:sz="4" w:space="0"/>
              <w:bottom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0.04</w:t>
            </w:r>
            <w:r>
              <w:rPr>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9" w:type="dxa"/>
            <w:tcBorders>
              <w:top w:val="single" w:color="auto" w:sz="4" w:space="0"/>
            </w:tcBorders>
            <w:vAlign w:val="center"/>
          </w:tcPr>
          <w:p>
            <w:pPr>
              <w:pStyle w:val="49"/>
              <w:spacing w:beforeLines="0" w:afterLines="0" w:line="240" w:lineRule="auto"/>
              <w:rPr>
                <w:rFonts w:ascii="Times New Roman" w:hAnsi="Times New Roman" w:eastAsia="宋体" w:cs="Times New Roman"/>
                <w:snapToGrid w:val="0"/>
                <w:color w:val="000000" w:themeColor="text1"/>
                <w:kern w:val="21"/>
                <w:szCs w:val="24"/>
                <w14:textFill>
                  <w14:solidFill>
                    <w14:schemeClr w14:val="tx1"/>
                  </w14:solidFill>
                </w14:textFill>
              </w:rPr>
            </w:pPr>
            <w:r>
              <w:rPr>
                <w:rFonts w:ascii="Times New Roman" w:hAnsi="Times New Roman" w:eastAsia="宋体" w:cs="Times New Roman"/>
                <w:snapToGrid w:val="0"/>
                <w:color w:val="000000" w:themeColor="text1"/>
                <w:kern w:val="21"/>
                <w:szCs w:val="24"/>
                <w14:textFill>
                  <w14:solidFill>
                    <w14:schemeClr w14:val="tx1"/>
                  </w14:solidFill>
                </w14:textFill>
              </w:rPr>
              <w:t>危险废物</w:t>
            </w:r>
          </w:p>
        </w:tc>
        <w:tc>
          <w:tcPr>
            <w:tcW w:w="1806" w:type="dxa"/>
            <w:tcBorders>
              <w:top w:val="single" w:color="auto" w:sz="4" w:space="0"/>
              <w:bottom w:val="single" w:color="auto" w:sz="4" w:space="0"/>
            </w:tcBorders>
            <w:shd w:val="clear" w:color="auto" w:fill="auto"/>
            <w:vAlign w:val="center"/>
          </w:tcPr>
          <w:p>
            <w:pPr>
              <w:jc w:val="center"/>
              <w:rPr>
                <w:snapToGrid w:val="0"/>
                <w:color w:val="000000" w:themeColor="text1"/>
                <w:kern w:val="21"/>
                <w14:textFill>
                  <w14:solidFill>
                    <w14:schemeClr w14:val="tx1"/>
                  </w14:solidFill>
                </w14:textFill>
              </w:rPr>
            </w:pPr>
            <w:r>
              <w:rPr>
                <w:snapToGrid w:val="0"/>
                <w:color w:val="000000" w:themeColor="text1"/>
                <w:kern w:val="21"/>
                <w14:textFill>
                  <w14:solidFill>
                    <w14:schemeClr w14:val="tx1"/>
                  </w14:solidFill>
                </w14:textFill>
              </w:rPr>
              <w:t>/</w:t>
            </w:r>
          </w:p>
        </w:tc>
        <w:tc>
          <w:tcPr>
            <w:tcW w:w="170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6"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0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559"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61" w:type="dxa"/>
            <w:tcBorders>
              <w:top w:val="single" w:color="auto" w:sz="4" w:space="0"/>
              <w:bottom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474"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311" w:type="dxa"/>
            <w:tcBorders>
              <w:top w:val="single" w:color="auto" w:sz="4" w:space="0"/>
              <w:bottom w:val="single" w:color="auto" w:sz="4" w:space="0"/>
            </w:tcBorders>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注：⑥=①+③+④-⑤；⑦=⑥-①</w:t>
      </w:r>
    </w:p>
    <w:p>
      <w:pPr>
        <w:rPr>
          <w:color w:val="000000" w:themeColor="text1"/>
          <w14:textFill>
            <w14:solidFill>
              <w14:schemeClr w14:val="tx1"/>
            </w14:solidFill>
          </w14:textFill>
        </w:rPr>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linePitch="312" w:charSpace="0"/>
        </w:sectPr>
      </w:pPr>
    </w:p>
    <w:p>
      <w:pPr>
        <w:pStyle w:val="2"/>
        <w:ind w:firstLine="602"/>
        <w:jc w:val="left"/>
        <w:rPr>
          <w:color w:val="000000" w:themeColor="text1"/>
          <w14:textFill>
            <w14:solidFill>
              <w14:schemeClr w14:val="tx1"/>
            </w14:solidFill>
          </w14:textFill>
        </w:rPr>
      </w:pPr>
      <w:bookmarkStart w:id="25" w:name="_Toc30453"/>
      <w:r>
        <w:rPr>
          <w:color w:val="000000" w:themeColor="text1"/>
          <w14:textFill>
            <w14:solidFill>
              <w14:schemeClr w14:val="tx1"/>
            </w14:solidFill>
          </w14:textFill>
        </w:rPr>
        <w:t>附图</w:t>
      </w:r>
      <w:r>
        <w:rPr>
          <w:rFonts w:hint="eastAsia"/>
          <w:color w:val="000000" w:themeColor="text1"/>
          <w14:textFill>
            <w14:solidFill>
              <w14:schemeClr w14:val="tx1"/>
            </w14:solidFill>
          </w14:textFill>
        </w:rPr>
        <w:t xml:space="preserve">1 </w:t>
      </w:r>
      <w:r>
        <w:rPr>
          <w:color w:val="000000" w:themeColor="text1"/>
          <w14:textFill>
            <w14:solidFill>
              <w14:schemeClr w14:val="tx1"/>
            </w14:solidFill>
          </w14:textFill>
        </w:rPr>
        <w:t>地理位置图</w:t>
      </w:r>
      <w:r>
        <w:rPr>
          <w:color w:val="000000" w:themeColor="text1"/>
          <w14:textFill>
            <w14:solidFill>
              <w14:schemeClr w14:val="tx1"/>
            </w14:solidFill>
          </w14:textFill>
        </w:rPr>
        <w:drawing>
          <wp:inline distT="0" distB="0" distL="114300" distR="114300">
            <wp:extent cx="0" cy="0"/>
            <wp:effectExtent l="0" t="0" r="0" b="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bookmarkEnd w:id="25"/>
    </w:p>
    <w:p>
      <w:pPr>
        <w:jc w:val="center"/>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linePitch="312" w:charSpace="0"/>
        </w:sectPr>
      </w:pPr>
      <w:r>
        <w:rPr>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7441565</wp:posOffset>
            </wp:positionH>
            <wp:positionV relativeFrom="paragraph">
              <wp:posOffset>12065</wp:posOffset>
            </wp:positionV>
            <wp:extent cx="855345" cy="829945"/>
            <wp:effectExtent l="0" t="0" r="8255" b="8255"/>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2"/>
                    <a:stretch>
                      <a:fillRect/>
                    </a:stretch>
                  </pic:blipFill>
                  <pic:spPr>
                    <a:xfrm>
                      <a:off x="0" y="0"/>
                      <a:ext cx="855345" cy="829945"/>
                    </a:xfrm>
                    <a:prstGeom prst="rect">
                      <a:avLst/>
                    </a:prstGeom>
                    <a:noFill/>
                    <a:ln>
                      <a:noFill/>
                    </a:ln>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3422650</wp:posOffset>
                </wp:positionH>
                <wp:positionV relativeFrom="paragraph">
                  <wp:posOffset>1684655</wp:posOffset>
                </wp:positionV>
                <wp:extent cx="222250" cy="247650"/>
                <wp:effectExtent l="12700" t="12700" r="19050" b="19050"/>
                <wp:wrapNone/>
                <wp:docPr id="39" name="五角星 39"/>
                <wp:cNvGraphicFramePr/>
                <a:graphic xmlns:a="http://schemas.openxmlformats.org/drawingml/2006/main">
                  <a:graphicData uri="http://schemas.microsoft.com/office/word/2010/wordprocessingShape">
                    <wps:wsp>
                      <wps:cNvSpPr/>
                      <wps:spPr>
                        <a:xfrm>
                          <a:off x="4244975" y="4086225"/>
                          <a:ext cx="222250" cy="247650"/>
                        </a:xfrm>
                        <a:prstGeom prst="star5">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9.5pt;margin-top:132.65pt;height:19.5pt;width:17.5pt;z-index:251664384;v-text-anchor:middle;mso-width-relative:page;mso-height-relative:page;" fillcolor="#FF0000" filled="t" stroked="t" coordsize="222250,247650" o:gfxdata="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KhZNvcAAAACwEAAA8AAAAAAAAAAQAgAAAAIgAAAGRycy9kb3du&#10;cmV2LnhtbFBLAQIUABQAAAAIAIdO4kAfSd9gbQIAAMIEAAAOAAAAAAAAAAEAIAAAACsBAABkcnMv&#10;ZTJvRG9jLnhtbFBLBQYAAAAABgAGAFkBAAAKBgAAAAA=&#10;" path="m0,94593l84892,94594,111125,0,137357,94594,222249,94593,153570,153055,179803,247649,111125,189186,42446,247649,68679,153055xe">
                <v:path o:connectlocs="111125,0;0,94593;42446,247649;179803,247649;222249,94593" o:connectangles="247,164,82,82,0"/>
                <v:fill on="t" focussize="0,0"/>
                <v:stroke weight="2pt" color="#376092 [2404]" joinstyle="round"/>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3032760</wp:posOffset>
                </wp:positionH>
                <wp:positionV relativeFrom="paragraph">
                  <wp:posOffset>1489075</wp:posOffset>
                </wp:positionV>
                <wp:extent cx="1348105" cy="3441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4810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本项目所在位置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8pt;margin-top:117.25pt;height:27.1pt;width:106.15pt;z-index:251662336;mso-width-relative:page;mso-height-relative:page;" filled="f" stroked="f" coordsize="21600,21600" o:gfxdata="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leqt90AAAALAQAADwAAAAAAAAABACAAAAAiAAAAZHJzL2Rvd25yZXYueG1sUEsBAhQAFAAAAAgA&#10;h07iQK+mXokgAgAAGAQAAA4AAAAAAAAAAQAgAAAALAEAAGRycy9lMm9Eb2MueG1sUEsFBgAAAAAG&#10;AAYAWQEAAL4FAAAAAA==&#10;">
                <v:fill on="f" focussize="0,0"/>
                <v:stroke on="f" weight="0.5pt"/>
                <v:imagedata o:title=""/>
                <o:lock v:ext="edit" aspectratio="f"/>
                <v:textbox>
                  <w:txbxContent>
                    <w:p>
                      <w:r>
                        <w:rPr>
                          <w:rFonts w:hint="eastAsia"/>
                        </w:rPr>
                        <w:t>本项目所在位置</w:t>
                      </w:r>
                    </w:p>
                  </w:txbxContent>
                </v:textbox>
              </v:shape>
            </w:pict>
          </mc:Fallback>
        </mc:AlternateContent>
      </w:r>
      <w:r>
        <w:drawing>
          <wp:inline distT="0" distB="0" distL="114300" distR="114300">
            <wp:extent cx="8098790" cy="5154930"/>
            <wp:effectExtent l="0" t="0" r="3810" b="127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3"/>
                    <a:stretch>
                      <a:fillRect/>
                    </a:stretch>
                  </pic:blipFill>
                  <pic:spPr>
                    <a:xfrm>
                      <a:off x="0" y="0"/>
                      <a:ext cx="8098790" cy="5154930"/>
                    </a:xfrm>
                    <a:prstGeom prst="rect">
                      <a:avLst/>
                    </a:prstGeom>
                    <a:noFill/>
                    <a:ln>
                      <a:noFill/>
                    </a:ln>
                  </pic:spPr>
                </pic:pic>
              </a:graphicData>
            </a:graphic>
          </wp:inline>
        </w:drawing>
      </w:r>
    </w:p>
    <w:p>
      <w:pPr>
        <w:pStyle w:val="2"/>
        <w:ind w:firstLine="422"/>
        <w:jc w:val="left"/>
        <w:rPr>
          <w:color w:val="000000" w:themeColor="text1"/>
          <w:sz w:val="24"/>
          <w:highlight w:val="none"/>
          <w14:textFill>
            <w14:solidFill>
              <w14:schemeClr w14:val="tx1"/>
            </w14:solidFill>
          </w14:textFill>
        </w:rPr>
      </w:pPr>
      <w:bookmarkStart w:id="26" w:name="_Toc15077"/>
      <w:r>
        <w:rPr>
          <w:color w:val="000000" w:themeColor="text1"/>
          <w:sz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2624455</wp:posOffset>
                </wp:positionH>
                <wp:positionV relativeFrom="paragraph">
                  <wp:posOffset>-2535555</wp:posOffset>
                </wp:positionV>
                <wp:extent cx="1183640" cy="363855"/>
                <wp:effectExtent l="30480" t="83185" r="195580" b="600710"/>
                <wp:wrapNone/>
                <wp:docPr id="17" name="矩形标注 17"/>
                <wp:cNvGraphicFramePr/>
                <a:graphic xmlns:a="http://schemas.openxmlformats.org/drawingml/2006/main">
                  <a:graphicData uri="http://schemas.microsoft.com/office/word/2010/wordprocessingShape">
                    <wps:wsp>
                      <wps:cNvSpPr/>
                      <wps:spPr>
                        <a:xfrm rot="21180000">
                          <a:off x="0" y="0"/>
                          <a:ext cx="1183640" cy="363855"/>
                        </a:xfrm>
                        <a:prstGeom prst="wedgeRectCallout">
                          <a:avLst>
                            <a:gd name="adj1" fmla="val 56934"/>
                            <a:gd name="adj2" fmla="val 23435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color w:val="000000" w:themeColor="text1"/>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65pt;margin-top:-199.65pt;height:28.65pt;width:93.2pt;rotation:-458752f;z-index:251661312;v-text-anchor:middle;mso-width-relative:page;mso-height-relative:page;" filled="f" stroked="t" coordsize="21600,21600" o:gfxdata="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Y3KrG3AAAAA0B&#10;AAAPAAAAAAAAAAEAIAAAACIAAABkcnMvZG93bnJldi54bWxQSwECFAAUAAAACACHTuJAPaNktYkC&#10;AADmBAAADgAAAAAAAAABACAAAAArAQAAZHJzL2Uyb0RvYy54bWxQSwUGAAAAAAYABgBZAQAAJgYA&#10;AAAA&#10;" adj="23098,61420">
                <v:fill on="f" focussize="0,0"/>
                <v:stroke weight="2pt" color="#000000 [3213]" joinstyle="round"/>
                <v:imagedata o:title=""/>
                <o:lock v:ext="edit" aspectratio="f"/>
                <v:textbox>
                  <w:txbxContent>
                    <w:p>
                      <w:pPr>
                        <w:jc w:val="center"/>
                      </w:pPr>
                      <w:r>
                        <w:rPr>
                          <w:rFonts w:hint="eastAsia"/>
                          <w:color w:val="000000" w:themeColor="text1"/>
                          <w14:textFill>
                            <w14:solidFill>
                              <w14:schemeClr w14:val="tx1"/>
                            </w14:solidFill>
                          </w14:textFill>
                        </w:rPr>
                        <w:t>本项目位置</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3956685</wp:posOffset>
                </wp:positionH>
                <wp:positionV relativeFrom="paragraph">
                  <wp:posOffset>-1609725</wp:posOffset>
                </wp:positionV>
                <wp:extent cx="124460" cy="110490"/>
                <wp:effectExtent l="12700" t="12700" r="15240" b="29210"/>
                <wp:wrapNone/>
                <wp:docPr id="5" name="五角星 5"/>
                <wp:cNvGraphicFramePr/>
                <a:graphic xmlns:a="http://schemas.openxmlformats.org/drawingml/2006/main">
                  <a:graphicData uri="http://schemas.microsoft.com/office/word/2010/wordprocessingShape">
                    <wps:wsp>
                      <wps:cNvSpPr/>
                      <wps:spPr>
                        <a:xfrm>
                          <a:off x="4940300" y="3767455"/>
                          <a:ext cx="124460" cy="11049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55pt;margin-top:-126.75pt;height:8.7pt;width:9.8pt;z-index:251659264;v-text-anchor:middle;mso-width-relative:page;mso-height-relative:page;" fillcolor="#FF0000" filled="t" stroked="t" coordsize="124460,110490" o:gfxdata="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15&#10;X9LZAAAADQEAAA8AAAAAAAAAAQAgAAAAIgAAAGRycy9kb3ducmV2LnhtbFBLAQIUABQAAAAIAIdO&#10;4kDX7Ut8WwIAAJ4EAAAOAAAAAAAAAAEAIAAAACgBAABkcnMvZTJvRG9jLnhtbFBLBQYAAAAABgAG&#10;AFkBAAD1BQAAAAA=&#10;" path="m0,42203l47539,42203,62230,0,76920,42203,124459,42203,85999,68286,100690,110489,62230,84406,23769,110489,38460,68286xe">
                <v:path o:connectlocs="62230,0;0,42203;23769,110489;100690,110489;124459,42203" o:connectangles="247,164,82,82,0"/>
                <v:fill on="t" focussize="0,0"/>
                <v:stroke weight="2pt" color="#FF0000 [2404]" joinstyle="round"/>
                <v:imagedata o:title=""/>
                <o:lock v:ext="edit" aspectratio="f"/>
              </v:shape>
            </w:pict>
          </mc:Fallback>
        </mc:AlternateContent>
      </w:r>
      <w:r>
        <w:rPr>
          <w:color w:val="000000" w:themeColor="text1"/>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7049770</wp:posOffset>
            </wp:positionH>
            <wp:positionV relativeFrom="paragraph">
              <wp:posOffset>-5109845</wp:posOffset>
            </wp:positionV>
            <wp:extent cx="786765" cy="1012190"/>
            <wp:effectExtent l="0" t="0" r="13335" b="16510"/>
            <wp:wrapNone/>
            <wp:docPr id="57" name="图片 2" descr="00abca16565fc47c02d8d801cc1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00abca16565fc47c02d8d801cc1b692"/>
                    <pic:cNvPicPr>
                      <a:picLocks noChangeAspect="1"/>
                    </pic:cNvPicPr>
                  </pic:nvPicPr>
                  <pic:blipFill>
                    <a:blip r:embed="rId24"/>
                    <a:stretch>
                      <a:fillRect/>
                    </a:stretch>
                  </pic:blipFill>
                  <pic:spPr>
                    <a:xfrm>
                      <a:off x="0" y="0"/>
                      <a:ext cx="786765" cy="1012190"/>
                    </a:xfrm>
                    <a:prstGeom prst="rect">
                      <a:avLst/>
                    </a:prstGeom>
                    <a:noFill/>
                    <a:ln>
                      <a:noFill/>
                    </a:ln>
                  </pic:spPr>
                </pic:pic>
              </a:graphicData>
            </a:graphic>
          </wp:anchor>
        </w:drawing>
      </w:r>
      <w:r>
        <w:rPr>
          <w:color w:val="000000" w:themeColor="text1"/>
          <w:highlight w:val="none"/>
          <w14:textFill>
            <w14:solidFill>
              <w14:schemeClr w14:val="tx1"/>
            </w14:solidFill>
          </w14:textFill>
        </w:rPr>
        <w:t>附图</w:t>
      </w:r>
      <w:r>
        <w:rPr>
          <w:rFonts w:hint="eastAsia"/>
          <w:color w:val="000000" w:themeColor="text1"/>
          <w:highlight w:val="none"/>
          <w14:textFill>
            <w14:solidFill>
              <w14:schemeClr w14:val="tx1"/>
            </w14:solidFill>
          </w14:textFill>
        </w:rPr>
        <w:t xml:space="preserve">2 </w:t>
      </w:r>
      <w:r>
        <w:rPr>
          <w:color w:val="000000" w:themeColor="text1"/>
          <w:highlight w:val="none"/>
          <w14:textFill>
            <w14:solidFill>
              <w14:schemeClr w14:val="tx1"/>
            </w14:solidFill>
          </w14:textFill>
        </w:rPr>
        <w:t>平面布置图</w:t>
      </w:r>
      <w:bookmarkEnd w:id="26"/>
    </w:p>
    <w:p>
      <w:pPr>
        <w:pStyle w:val="30"/>
        <w:ind w:firstLine="0" w:firstLineChars="0"/>
        <w:jc w:val="center"/>
        <w:rPr>
          <w:color w:val="000000" w:themeColor="text1"/>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7843520</wp:posOffset>
            </wp:positionH>
            <wp:positionV relativeFrom="paragraph">
              <wp:posOffset>-11430</wp:posOffset>
            </wp:positionV>
            <wp:extent cx="951230" cy="673735"/>
            <wp:effectExtent l="0" t="0" r="8890" b="12065"/>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5"/>
                    <a:stretch>
                      <a:fillRect/>
                    </a:stretch>
                  </pic:blipFill>
                  <pic:spPr>
                    <a:xfrm>
                      <a:off x="0" y="0"/>
                      <a:ext cx="951230" cy="673735"/>
                    </a:xfrm>
                    <a:prstGeom prst="rect">
                      <a:avLst/>
                    </a:prstGeom>
                    <a:noFill/>
                    <a:ln>
                      <a:noFill/>
                    </a:ln>
                  </pic:spPr>
                </pic:pic>
              </a:graphicData>
            </a:graphic>
          </wp:anchor>
        </w:drawing>
      </w:r>
      <w:r>
        <w:rPr>
          <w:color w:val="000000" w:themeColor="text1"/>
          <w14:textFill>
            <w14:solidFill>
              <w14:schemeClr w14:val="tx1"/>
            </w14:solidFill>
          </w14:textFill>
        </w:rPr>
        <w:t xml:space="preserve"> </w:t>
      </w:r>
    </w:p>
    <w:p>
      <w:pPr>
        <w:ind w:firstLine="422"/>
        <w:jc w:val="left"/>
        <w:outlineLvl w:val="9"/>
      </w:pPr>
      <w:r>
        <w:rPr>
          <w:sz w:val="24"/>
        </w:rPr>
        <mc:AlternateContent>
          <mc:Choice Requires="wps">
            <w:drawing>
              <wp:anchor distT="0" distB="0" distL="114300" distR="114300" simplePos="0" relativeHeight="251673600" behindDoc="0" locked="0" layoutInCell="1" allowOverlap="1">
                <wp:simplePos x="0" y="0"/>
                <wp:positionH relativeFrom="column">
                  <wp:posOffset>2676525</wp:posOffset>
                </wp:positionH>
                <wp:positionV relativeFrom="paragraph">
                  <wp:posOffset>2516505</wp:posOffset>
                </wp:positionV>
                <wp:extent cx="751205" cy="359410"/>
                <wp:effectExtent l="0" t="0" r="0" b="0"/>
                <wp:wrapNone/>
                <wp:docPr id="40" name="矩形 40"/>
                <wp:cNvGraphicFramePr/>
                <a:graphic xmlns:a="http://schemas.openxmlformats.org/drawingml/2006/main">
                  <a:graphicData uri="http://schemas.microsoft.com/office/word/2010/wordprocessingShape">
                    <wps:wsp>
                      <wps:cNvSpPr/>
                      <wps:spPr>
                        <a:xfrm>
                          <a:off x="0" y="0"/>
                          <a:ext cx="751205" cy="3594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FF"/>
                                <w:lang w:val="en-US" w:eastAsia="zh-CN"/>
                              </w:rPr>
                            </w:pPr>
                            <w:r>
                              <w:rPr>
                                <w:rFonts w:hint="eastAsia"/>
                                <w:b/>
                                <w:bCs/>
                                <w:color w:val="0000FF"/>
                                <w:lang w:val="en-US" w:eastAsia="zh-CN"/>
                              </w:rPr>
                              <w:t>水稳站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75pt;margin-top:198.15pt;height:28.3pt;width:59.15pt;z-index:251673600;v-text-anchor:middle;mso-width-relative:page;mso-height-relative:page;" filled="f" stroked="f" coordsize="21600,21600" o:gfxdata="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Qrt+toAAAALAQAADwAAAAAAAAABACAAAAAiAAAAZHJzL2Rv&#10;d25yZXYueG1sUEsBAhQAFAAAAAgAh07iQAsSN+I4AgAASQQAAA4AAAAAAAAAAQAgAAAAKQEAAGRy&#10;cy9lMm9Eb2MueG1sUEsFBgAAAAAGAAYAWQEAANMFAAAAAA==&#10;">
                <v:fill on="f" focussize="0,0"/>
                <v:stroke on="f" weight="2pt"/>
                <v:imagedata o:title=""/>
                <o:lock v:ext="edit" aspectratio="f"/>
                <v:textbox>
                  <w:txbxContent>
                    <w:p>
                      <w:pPr>
                        <w:jc w:val="center"/>
                        <w:rPr>
                          <w:rFonts w:hint="eastAsia" w:eastAsia="宋体"/>
                          <w:b/>
                          <w:bCs/>
                          <w:color w:val="0000FF"/>
                          <w:lang w:val="en-US" w:eastAsia="zh-CN"/>
                        </w:rPr>
                      </w:pPr>
                      <w:r>
                        <w:rPr>
                          <w:rFonts w:hint="eastAsia"/>
                          <w:b/>
                          <w:bCs/>
                          <w:color w:val="0000FF"/>
                          <w:lang w:val="en-US" w:eastAsia="zh-CN"/>
                        </w:rPr>
                        <w:t>水稳站</w:t>
                      </w:r>
                    </w:p>
                  </w:txbxContent>
                </v:textbox>
              </v:rect>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1444625</wp:posOffset>
                </wp:positionH>
                <wp:positionV relativeFrom="paragraph">
                  <wp:posOffset>2374265</wp:posOffset>
                </wp:positionV>
                <wp:extent cx="751205" cy="359410"/>
                <wp:effectExtent l="0" t="0" r="10795" b="8890"/>
                <wp:wrapNone/>
                <wp:docPr id="18" name="矩形 18"/>
                <wp:cNvGraphicFramePr/>
                <a:graphic xmlns:a="http://schemas.openxmlformats.org/drawingml/2006/main">
                  <a:graphicData uri="http://schemas.microsoft.com/office/word/2010/wordprocessingShape">
                    <wps:wsp>
                      <wps:cNvSpPr/>
                      <wps:spPr>
                        <a:xfrm>
                          <a:off x="2407285" y="3526790"/>
                          <a:ext cx="751205" cy="3594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FF"/>
                                <w:lang w:val="en-US" w:eastAsia="zh-CN"/>
                              </w:rPr>
                            </w:pPr>
                            <w:r>
                              <w:rPr>
                                <w:rFonts w:hint="eastAsia"/>
                                <w:b/>
                                <w:bCs/>
                                <w:color w:val="0000FF"/>
                                <w:lang w:val="en-US" w:eastAsia="zh-CN"/>
                              </w:rPr>
                              <w:t>商混站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5pt;margin-top:186.95pt;height:28.3pt;width:59.15pt;z-index:251672576;v-text-anchor:middle;mso-width-relative:page;mso-height-relative:page;" filled="f" stroked="f" coordsize="21600,21600" o:gfxdata="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K9HA2gAAAAsBAAAPAAAAAAAAAAEAIAAA&#10;ACIAAABkcnMvZG93bnJldi54bWxQSwECFAAUAAAACACHTuJAbwO9lEMCAABVBAAADgAAAAAAAAAB&#10;ACAAAAApAQAAZHJzL2Uyb0RvYy54bWxQSwUGAAAAAAYABgBZAQAA3gUAAAAA&#10;">
                <v:fill on="f" focussize="0,0"/>
                <v:stroke on="f" weight="2pt"/>
                <v:imagedata o:title=""/>
                <o:lock v:ext="edit" aspectratio="f"/>
                <v:textbox>
                  <w:txbxContent>
                    <w:p>
                      <w:pPr>
                        <w:jc w:val="center"/>
                        <w:rPr>
                          <w:rFonts w:hint="eastAsia" w:eastAsia="宋体"/>
                          <w:b/>
                          <w:bCs/>
                          <w:color w:val="0000FF"/>
                          <w:lang w:val="en-US" w:eastAsia="zh-CN"/>
                        </w:rPr>
                      </w:pPr>
                      <w:r>
                        <w:rPr>
                          <w:rFonts w:hint="eastAsia"/>
                          <w:b/>
                          <w:bCs/>
                          <w:color w:val="0000FF"/>
                          <w:lang w:val="en-US" w:eastAsia="zh-CN"/>
                        </w:rPr>
                        <w:t>商混站</w:t>
                      </w:r>
                    </w:p>
                  </w:txbxContent>
                </v:textbox>
              </v:rect>
            </w:pict>
          </mc:Fallback>
        </mc:AlternateContent>
      </w:r>
      <w:r>
        <w:drawing>
          <wp:inline distT="0" distB="0" distL="114300" distR="114300">
            <wp:extent cx="5609590" cy="3856990"/>
            <wp:effectExtent l="0" t="0" r="381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6"/>
                    <a:stretch>
                      <a:fillRect/>
                    </a:stretch>
                  </pic:blipFill>
                  <pic:spPr>
                    <a:xfrm>
                      <a:off x="0" y="0"/>
                      <a:ext cx="5609590" cy="3856990"/>
                    </a:xfrm>
                    <a:prstGeom prst="rect">
                      <a:avLst/>
                    </a:prstGeom>
                    <a:noFill/>
                    <a:ln>
                      <a:noFill/>
                    </a:ln>
                  </pic:spPr>
                </pic:pic>
              </a:graphicData>
            </a:graphic>
          </wp:inline>
        </w:drawing>
      </w:r>
    </w:p>
    <w:p>
      <w:pPr>
        <w:ind w:firstLine="422"/>
        <w:jc w:val="left"/>
        <w:outlineLvl w:val="9"/>
      </w:pPr>
    </w:p>
    <w:p>
      <w:pPr>
        <w:ind w:firstLine="422"/>
        <w:jc w:val="left"/>
        <w:outlineLvl w:val="9"/>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7049770</wp:posOffset>
            </wp:positionH>
            <wp:positionV relativeFrom="paragraph">
              <wp:posOffset>-5109845</wp:posOffset>
            </wp:positionV>
            <wp:extent cx="786765" cy="1012190"/>
            <wp:effectExtent l="0" t="0" r="13335" b="16510"/>
            <wp:wrapNone/>
            <wp:docPr id="74" name="图片 2" descr="00abca16565fc47c02d8d801cc1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descr="00abca16565fc47c02d8d801cc1b692"/>
                    <pic:cNvPicPr>
                      <a:picLocks noChangeAspect="1"/>
                    </pic:cNvPicPr>
                  </pic:nvPicPr>
                  <pic:blipFill>
                    <a:blip r:embed="rId24"/>
                    <a:stretch>
                      <a:fillRect/>
                    </a:stretch>
                  </pic:blipFill>
                  <pic:spPr>
                    <a:xfrm>
                      <a:off x="0" y="0"/>
                      <a:ext cx="786765" cy="1012190"/>
                    </a:xfrm>
                    <a:prstGeom prst="rect">
                      <a:avLst/>
                    </a:prstGeom>
                    <a:noFill/>
                    <a:ln>
                      <a:noFill/>
                    </a:ln>
                  </pic:spPr>
                </pic:pic>
              </a:graphicData>
            </a:graphic>
          </wp:anchor>
        </w:drawing>
      </w:r>
    </w:p>
    <w:p>
      <w:pPr>
        <w:pStyle w:val="42"/>
        <w:rPr>
          <w:rFonts w:hint="eastAsia"/>
          <w:lang w:val="en-US" w:eastAsia="zh-CN"/>
        </w:rPr>
      </w:pPr>
    </w:p>
    <w:p>
      <w:pPr>
        <w:pStyle w:val="42"/>
        <w:rPr>
          <w:rFonts w:hint="eastAsia"/>
          <w:lang w:val="en-US" w:eastAsia="zh-CN"/>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pStyle w:val="2"/>
        <w:jc w:val="left"/>
      </w:pPr>
      <w:bookmarkStart w:id="27" w:name="_Toc1165"/>
      <w:r>
        <w:rPr>
          <w:sz w:val="24"/>
        </w:rPr>
        <mc:AlternateContent>
          <mc:Choice Requires="wps">
            <w:drawing>
              <wp:anchor distT="0" distB="0" distL="114300" distR="114300" simplePos="0" relativeHeight="251684864" behindDoc="0" locked="0" layoutInCell="1" allowOverlap="1">
                <wp:simplePos x="0" y="0"/>
                <wp:positionH relativeFrom="column">
                  <wp:posOffset>3355340</wp:posOffset>
                </wp:positionH>
                <wp:positionV relativeFrom="paragraph">
                  <wp:posOffset>4116705</wp:posOffset>
                </wp:positionV>
                <wp:extent cx="723265" cy="274955"/>
                <wp:effectExtent l="0" t="0" r="0" b="0"/>
                <wp:wrapNone/>
                <wp:docPr id="68" name="矩形 68"/>
                <wp:cNvGraphicFramePr/>
                <a:graphic xmlns:a="http://schemas.openxmlformats.org/drawingml/2006/main">
                  <a:graphicData uri="http://schemas.microsoft.com/office/word/2010/wordprocessingShape">
                    <wps:wsp>
                      <wps:cNvSpPr/>
                      <wps:spPr>
                        <a:xfrm>
                          <a:off x="0" y="0"/>
                          <a:ext cx="723265" cy="2749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2pt;margin-top:324.15pt;height:21.65pt;width:56.95pt;z-index:251684864;v-text-anchor:middle;mso-width-relative:page;mso-height-relative:page;" filled="f" stroked="f" coordsize="21600,21600" o:gfxdata="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ic54s2QAAAAsBAAAPAAAAAAAAAAEAIAAAACIAAABkcnMvZG93&#10;bnJldi54bWxQSwECFAAUAAAACACHTuJA51SxeDgCAABJBAAADgAAAAAAAAABACAAAAAoAQAAZHJz&#10;L2Uyb0RvYy54bWxQSwUGAAAAAAYABgBZAQAA0gUAAAAA&#10;">
                <v:fill on="f" focussize="0,0"/>
                <v:stroke on="f" weight="2pt"/>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DA006</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4636135</wp:posOffset>
                </wp:positionH>
                <wp:positionV relativeFrom="paragraph">
                  <wp:posOffset>3423285</wp:posOffset>
                </wp:positionV>
                <wp:extent cx="723265" cy="274955"/>
                <wp:effectExtent l="0" t="0" r="0" b="0"/>
                <wp:wrapNone/>
                <wp:docPr id="65" name="矩形 65"/>
                <wp:cNvGraphicFramePr/>
                <a:graphic xmlns:a="http://schemas.openxmlformats.org/drawingml/2006/main">
                  <a:graphicData uri="http://schemas.microsoft.com/office/word/2010/wordprocessingShape">
                    <wps:wsp>
                      <wps:cNvSpPr/>
                      <wps:spPr>
                        <a:xfrm>
                          <a:off x="0" y="0"/>
                          <a:ext cx="723265" cy="2749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05pt;margin-top:269.55pt;height:21.65pt;width:56.95pt;z-index:251683840;v-text-anchor:middle;mso-width-relative:page;mso-height-relative:page;" filled="f" stroked="f" coordsize="21600,21600" o:gfxdata="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0XoLZAAAACwEAAA8AAAAAAAAAAQAgAAAAIgAAAGRycy9kb3du&#10;cmV2LnhtbFBLAQIUABQAAAAIAIdO4kDrveGzNwIAAEkEAAAOAAAAAAAAAAEAIAAAACgBAABkcnMv&#10;ZTJvRG9jLnhtbFBLBQYAAAAABgAGAFkBAADRBQAAAAA=&#10;">
                <v:fill on="f" focussize="0,0"/>
                <v:stroke on="f" weight="2pt"/>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DA004</w:t>
                      </w:r>
                    </w:p>
                  </w:txbxContent>
                </v:textbox>
              </v:rect>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4874260</wp:posOffset>
                </wp:positionH>
                <wp:positionV relativeFrom="paragraph">
                  <wp:posOffset>1021080</wp:posOffset>
                </wp:positionV>
                <wp:extent cx="723265" cy="274955"/>
                <wp:effectExtent l="0" t="0" r="0" b="0"/>
                <wp:wrapNone/>
                <wp:docPr id="63" name="矩形 63"/>
                <wp:cNvGraphicFramePr/>
                <a:graphic xmlns:a="http://schemas.openxmlformats.org/drawingml/2006/main">
                  <a:graphicData uri="http://schemas.microsoft.com/office/word/2010/wordprocessingShape">
                    <wps:wsp>
                      <wps:cNvSpPr/>
                      <wps:spPr>
                        <a:xfrm>
                          <a:off x="0" y="0"/>
                          <a:ext cx="723265" cy="2749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8pt;margin-top:80.4pt;height:21.65pt;width:56.95pt;z-index:251682816;v-text-anchor:middle;mso-width-relative:page;mso-height-relative:page;" filled="f" stroked="f" coordsize="21600,21600" o:gfxdata="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w6Ux2QAAAAsBAAAPAAAAAAAAAAEAIAAAACIAAABkcnMvZG93&#10;bnJldi54bWxQSwECFAAUAAAACACHTuJAo2RS3zgCAABJBAAADgAAAAAAAAABACAAAAAoAQAAZHJz&#10;L2Uyb0RvYy54bWxQSwUGAAAAAAYABgBZAQAA0gUAAAAA&#10;">
                <v:fill on="f" focussize="0,0"/>
                <v:stroke on="f" weight="2pt"/>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DA002</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3695065</wp:posOffset>
                </wp:positionH>
                <wp:positionV relativeFrom="paragraph">
                  <wp:posOffset>725805</wp:posOffset>
                </wp:positionV>
                <wp:extent cx="723265" cy="274955"/>
                <wp:effectExtent l="0" t="0" r="0" b="0"/>
                <wp:wrapNone/>
                <wp:docPr id="61" name="矩形 61"/>
                <wp:cNvGraphicFramePr/>
                <a:graphic xmlns:a="http://schemas.openxmlformats.org/drawingml/2006/main">
                  <a:graphicData uri="http://schemas.microsoft.com/office/word/2010/wordprocessingShape">
                    <wps:wsp>
                      <wps:cNvSpPr/>
                      <wps:spPr>
                        <a:xfrm>
                          <a:off x="4137660" y="1811020"/>
                          <a:ext cx="723265" cy="2749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95pt;margin-top:57.15pt;height:21.65pt;width:56.95pt;z-index:251681792;v-text-anchor:middle;mso-width-relative:page;mso-height-relative:page;" filled="f" stroked="f" coordsize="21600,21600" o:gfxdata="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VbI4HaAAAACwEAAA8AAAAAAAAAAQAg&#10;AAAAIgAAAGRycy9kb3ducmV2LnhtbFBLAQIUABQAAAAIAIdO4kCDdsppRQIAAFUEAAAOAAAAAAAA&#10;AAEAIAAAACkBAABkcnMvZTJvRG9jLnhtbFBLBQYAAAAABgAGAFkBAADgBQAAAAA=&#10;">
                <v:fill on="f" focussize="0,0"/>
                <v:stroke on="f" weight="2pt"/>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DA001</w:t>
                      </w:r>
                    </w:p>
                  </w:txbxContent>
                </v:textbox>
              </v:rect>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3933825</wp:posOffset>
                </wp:positionH>
                <wp:positionV relativeFrom="paragraph">
                  <wp:posOffset>4197350</wp:posOffset>
                </wp:positionV>
                <wp:extent cx="75565" cy="75565"/>
                <wp:effectExtent l="12700" t="12700" r="13335" b="13335"/>
                <wp:wrapNone/>
                <wp:docPr id="60" name="椭圆 60"/>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9.75pt;margin-top:330.5pt;height:5.95pt;width:5.95pt;z-index:251680768;v-text-anchor:middle;mso-width-relative:page;mso-height-relative:page;" filled="f" stroked="t" coordsize="21600,21600" o:gfxdata="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OTmS2QAAAAsBAAAPAAAAAAAAAAEAIAAAACIA&#10;AABkcnMvZG93bnJldi54bWxQSwECFAAUAAAACACHTuJACQj86UECAABoBAAADgAAAAAAAAABACAA&#10;AAAoAQAAZHJzL2Uyb0RvYy54bWxQSwUGAAAAAAYABgBZAQAA2wUAAAAA&#1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4384040</wp:posOffset>
                </wp:positionH>
                <wp:positionV relativeFrom="paragraph">
                  <wp:posOffset>3530600</wp:posOffset>
                </wp:positionV>
                <wp:extent cx="75565" cy="75565"/>
                <wp:effectExtent l="12700" t="12700" r="13335" b="13335"/>
                <wp:wrapNone/>
                <wp:docPr id="58" name="椭圆 58"/>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5.2pt;margin-top:278pt;height:5.95pt;width:5.95pt;z-index:251679744;v-text-anchor:middle;mso-width-relative:page;mso-height-relative:page;" filled="f" stroked="t" coordsize="21600,21600" o:gfxdata="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ZE3G2QAAAAsBAAAPAAAAAAAAAAEAIAAAACIA&#10;AABkcnMvZG93bnJldi54bWxQSwECFAAUAAAACACHTuJAX6YLLEECAABoBAAADgAAAAAAAAABACAA&#10;AAAoAQAAZHJzL2Uyb0RvYy54bWxQSwUGAAAAAAYABgBZAQAA2wUAAAAA&#1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4690745</wp:posOffset>
                </wp:positionH>
                <wp:positionV relativeFrom="paragraph">
                  <wp:posOffset>1106805</wp:posOffset>
                </wp:positionV>
                <wp:extent cx="75565" cy="75565"/>
                <wp:effectExtent l="12700" t="12700" r="13335" b="13335"/>
                <wp:wrapNone/>
                <wp:docPr id="56" name="椭圆 56"/>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9.35pt;margin-top:87.15pt;height:5.95pt;width:5.95pt;z-index:251678720;v-text-anchor:middle;mso-width-relative:page;mso-height-relative:page;" filled="f" stroked="t" coordsize="21600,21600" o:gfxdata="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t0GuLYAAAACwEAAA8AAAAAAAAAAQAgAAAAIgAA&#10;AGRycy9kb3ducmV2LnhtbFBLAQIUABQAAAAIAIdO4kCtpBzSQQIAAGgEAAAOAAAAAAAAAAEAIAAA&#10;ACcBAABkcnMvZTJvRG9jLnhtbFBLBQYAAAAABgAGAFkBAADaBQAAAAA=&#1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4125595</wp:posOffset>
                </wp:positionH>
                <wp:positionV relativeFrom="paragraph">
                  <wp:posOffset>1071245</wp:posOffset>
                </wp:positionV>
                <wp:extent cx="75565" cy="75565"/>
                <wp:effectExtent l="12700" t="12700" r="13335" b="13335"/>
                <wp:wrapNone/>
                <wp:docPr id="52" name="椭圆 52"/>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4.85pt;margin-top:84.35pt;height:5.95pt;width:5.95pt;z-index:251677696;v-text-anchor:middle;mso-width-relative:page;mso-height-relative:page;" filled="f" stroked="t" coordsize="21600,21600" o:gfxdata="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gILzzYAAAACwEAAA8AAAAAAAAAAQAgAAAAIgAA&#10;AGRycy9kb3ducmV2LnhtbFBLAQIUABQAAAAIAIdO4kDhyKWbQQIAAGgEAAAOAAAAAAAAAAEAIAAA&#10;ACcBAABkcnMvZTJvRG9jLnhtbFBLBQYAAAAABgAGAFkBAADaBQAAAAA=&#10;">
                <v:fill on="f" focussize="0,0"/>
                <v:stroke weight="2pt" color="#FF0000 [2404]" joinstyle="round"/>
                <v:imagedata o:title=""/>
                <o:lock v:ext="edit" aspectratio="f"/>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2624455</wp:posOffset>
                </wp:positionH>
                <wp:positionV relativeFrom="paragraph">
                  <wp:posOffset>-2535555</wp:posOffset>
                </wp:positionV>
                <wp:extent cx="1183640" cy="363855"/>
                <wp:effectExtent l="30480" t="83185" r="195580" b="607060"/>
                <wp:wrapNone/>
                <wp:docPr id="44" name="矩形标注 44"/>
                <wp:cNvGraphicFramePr/>
                <a:graphic xmlns:a="http://schemas.openxmlformats.org/drawingml/2006/main">
                  <a:graphicData uri="http://schemas.microsoft.com/office/word/2010/wordprocessingShape">
                    <wps:wsp>
                      <wps:cNvSpPr/>
                      <wps:spPr>
                        <a:xfrm rot="21180000">
                          <a:off x="0" y="0"/>
                          <a:ext cx="1183640" cy="363855"/>
                        </a:xfrm>
                        <a:prstGeom prst="wedgeRectCallout">
                          <a:avLst>
                            <a:gd name="adj1" fmla="val 56934"/>
                            <a:gd name="adj2" fmla="val 23435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r>
                              <w:rPr>
                                <w:rFonts w:hint="eastAsia"/>
                                <w:color w:val="000000" w:themeColor="text1"/>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65pt;margin-top:-199.65pt;height:28.65pt;width:93.2pt;rotation:-458752f;z-index:251676672;v-text-anchor:middle;mso-width-relative:page;mso-height-relative:page;" filled="f" stroked="t" coordsize="21600,21600" o:gfxdata="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mNyqxtwAAAAN&#10;AQAADwAAAAAAAAABACAAAAAiAAAAZHJzL2Rvd25yZXYueG1sUEsBAhQAFAAAAAgAh07iQKvKryWK&#10;AgAA5gQAAA4AAAAAAAAAAQAgAAAAKwEAAGRycy9lMm9Eb2MueG1sUEsFBgAAAAAGAAYAWQEAACcG&#10;AAAAAA==&#10;" adj="23098,61420">
                <v:fill on="f" focussize="0,0"/>
                <v:stroke weight="2pt" color="#000000 [3213]" joinstyle="round"/>
                <v:imagedata o:title=""/>
                <o:lock v:ext="edit" aspectratio="f"/>
                <v:textbox>
                  <w:txbxContent>
                    <w:p>
                      <w:pPr>
                        <w:jc w:val="center"/>
                      </w:pPr>
                      <w:r>
                        <w:rPr>
                          <w:rFonts w:hint="eastAsia"/>
                          <w:color w:val="000000" w:themeColor="text1"/>
                          <w14:textFill>
                            <w14:solidFill>
                              <w14:schemeClr w14:val="tx1"/>
                            </w14:solidFill>
                          </w14:textFill>
                        </w:rPr>
                        <w:t>本项目位置</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3956685</wp:posOffset>
                </wp:positionH>
                <wp:positionV relativeFrom="paragraph">
                  <wp:posOffset>-1609725</wp:posOffset>
                </wp:positionV>
                <wp:extent cx="124460" cy="110490"/>
                <wp:effectExtent l="12700" t="12700" r="15240" b="16510"/>
                <wp:wrapNone/>
                <wp:docPr id="46" name="五角星 46"/>
                <wp:cNvGraphicFramePr/>
                <a:graphic xmlns:a="http://schemas.openxmlformats.org/drawingml/2006/main">
                  <a:graphicData uri="http://schemas.microsoft.com/office/word/2010/wordprocessingShape">
                    <wps:wsp>
                      <wps:cNvSpPr/>
                      <wps:spPr>
                        <a:xfrm>
                          <a:off x="4940300" y="3767455"/>
                          <a:ext cx="124460" cy="11049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55pt;margin-top:-126.75pt;height:8.7pt;width:9.8pt;z-index:251674624;v-text-anchor:middle;mso-width-relative:page;mso-height-relative:page;" fillcolor="#FF0000" filled="t" stroked="t" coordsize="124460,110490" o:gfxdata="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15&#10;X9LZAAAADQEAAA8AAAAAAAAAAQAgAAAAIgAAAGRycy9kb3ducmV2LnhtbFBLAQIUABQAAAAIAIdO&#10;4kDCUsltWwIAAKAEAAAOAAAAAAAAAAEAIAAAACgBAABkcnMvZTJvRG9jLnhtbFBLBQYAAAAABgAG&#10;AFkBAAD1BQAAAAA=&#10;" path="m0,42203l47539,42203,62230,0,76920,42203,124459,42203,85999,68286,100690,110489,62230,84406,23769,110489,38460,68286xe">
                <v:path o:connectlocs="62230,0;0,42203;23769,110489;100690,110489;124459,42203" o:connectangles="247,164,82,82,0"/>
                <v:fill on="t" focussize="0,0"/>
                <v:stroke weight="2pt" color="#FF0000 [2404]" joinstyle="round"/>
                <v:imagedata o:title=""/>
                <o:lock v:ext="edit" aspectratio="f"/>
              </v:shape>
            </w:pict>
          </mc:Fallback>
        </mc:AlternateContent>
      </w:r>
      <w:r>
        <w:rPr>
          <w:color w:val="000000" w:themeColor="text1"/>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7049770</wp:posOffset>
            </wp:positionH>
            <wp:positionV relativeFrom="paragraph">
              <wp:posOffset>-5109845</wp:posOffset>
            </wp:positionV>
            <wp:extent cx="786765" cy="1012190"/>
            <wp:effectExtent l="0" t="0" r="635" b="3810"/>
            <wp:wrapNone/>
            <wp:docPr id="49" name="图片 2" descr="00abca16565fc47c02d8d801cc1b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00abca16565fc47c02d8d801cc1b692"/>
                    <pic:cNvPicPr>
                      <a:picLocks noChangeAspect="1"/>
                    </pic:cNvPicPr>
                  </pic:nvPicPr>
                  <pic:blipFill>
                    <a:blip r:embed="rId24"/>
                    <a:stretch>
                      <a:fillRect/>
                    </a:stretch>
                  </pic:blipFill>
                  <pic:spPr>
                    <a:xfrm>
                      <a:off x="0" y="0"/>
                      <a:ext cx="786765" cy="1012190"/>
                    </a:xfrm>
                    <a:prstGeom prst="rect">
                      <a:avLst/>
                    </a:prstGeom>
                    <a:noFill/>
                    <a:ln>
                      <a:noFill/>
                    </a:ln>
                  </pic:spPr>
                </pic:pic>
              </a:graphicData>
            </a:graphic>
          </wp:anchor>
        </w:drawing>
      </w:r>
      <w:r>
        <w:rPr>
          <w:color w:val="000000" w:themeColor="text1"/>
          <w:highlight w:val="none"/>
          <w14:textFill>
            <w14:solidFill>
              <w14:schemeClr w14:val="tx1"/>
            </w14:solidFill>
          </w14:textFill>
        </w:rPr>
        <w:t>附图</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w:t>
      </w:r>
      <w:r>
        <w:rPr>
          <w:rFonts w:hint="eastAsia"/>
          <w:lang w:val="en-US" w:eastAsia="zh-CN"/>
        </w:rPr>
        <w:t>商品混凝土搅拌站平面图</w:t>
      </w:r>
      <w:r>
        <w:drawing>
          <wp:inline distT="0" distB="0" distL="114300" distR="114300">
            <wp:extent cx="5610860" cy="4315460"/>
            <wp:effectExtent l="0" t="0" r="2540" b="254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7"/>
                    <a:stretch>
                      <a:fillRect/>
                    </a:stretch>
                  </pic:blipFill>
                  <pic:spPr>
                    <a:xfrm>
                      <a:off x="0" y="0"/>
                      <a:ext cx="5610860" cy="4315460"/>
                    </a:xfrm>
                    <a:prstGeom prst="rect">
                      <a:avLst/>
                    </a:prstGeom>
                    <a:noFill/>
                    <a:ln>
                      <a:noFill/>
                    </a:ln>
                  </pic:spPr>
                </pic:pic>
              </a:graphicData>
            </a:graphic>
          </wp:inline>
        </w:drawing>
      </w:r>
      <w:bookmarkEnd w:id="27"/>
    </w:p>
    <w:p>
      <w:pPr>
        <w:pStyle w:val="42"/>
        <w:ind w:left="0" w:leftChars="0" w:firstLine="0" w:firstLineChars="0"/>
      </w:pPr>
    </w:p>
    <w:p>
      <w:pPr>
        <w:pStyle w:val="42"/>
        <w:ind w:left="0" w:leftChars="0" w:firstLine="0" w:firstLineChars="0"/>
        <w:rPr>
          <w:rFonts w:hint="default" w:eastAsia="宋体"/>
          <w:lang w:val="en-US" w:eastAsia="zh-CN"/>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pStyle w:val="42"/>
        <w:ind w:left="0" w:leftChars="0" w:firstLine="0" w:firstLineChars="0"/>
        <w:jc w:val="left"/>
        <w:outlineLvl w:val="0"/>
        <w:rPr>
          <w:rFonts w:hint="eastAsia" w:ascii="Times New Roman" w:hAnsi="Times New Roman" w:eastAsia="宋体" w:cs="Times New Roman"/>
          <w:b/>
          <w:bCs/>
          <w:color w:val="auto"/>
          <w:kern w:val="44"/>
          <w:sz w:val="30"/>
          <w:szCs w:val="30"/>
          <w:lang w:val="en-US" w:eastAsia="zh-CN" w:bidi="ar-SA"/>
        </w:rPr>
      </w:pPr>
      <w:bookmarkStart w:id="28" w:name="_Toc31581"/>
      <w:r>
        <w:rPr>
          <w:rFonts w:hint="eastAsia" w:ascii="Times New Roman" w:hAnsi="Times New Roman" w:eastAsia="宋体" w:cs="Times New Roman"/>
          <w:b/>
          <w:bCs/>
          <w:color w:val="auto"/>
          <w:kern w:val="44"/>
          <w:sz w:val="30"/>
          <w:szCs w:val="30"/>
          <w:lang w:val="en-US" w:eastAsia="zh-CN" w:bidi="ar-SA"/>
        </w:rPr>
        <w:t>附图4 水泥稳定碎石搅拌站平面图</w:t>
      </w:r>
      <w:bookmarkEnd w:id="28"/>
    </w:p>
    <w:p>
      <w:pPr>
        <w:pStyle w:val="42"/>
        <w:ind w:left="0" w:leftChars="0" w:firstLine="0" w:firstLineChars="0"/>
        <w:jc w:val="left"/>
        <w:rPr>
          <w:rFonts w:hint="eastAsia" w:ascii="Times New Roman" w:hAnsi="Times New Roman" w:eastAsia="宋体" w:cs="Times New Roman"/>
          <w:b/>
          <w:bCs/>
          <w:color w:val="auto"/>
          <w:kern w:val="44"/>
          <w:sz w:val="30"/>
          <w:szCs w:val="30"/>
          <w:lang w:val="en-US" w:eastAsia="zh-CN" w:bidi="ar-SA"/>
        </w:rPr>
      </w:pPr>
    </w:p>
    <w:p>
      <w:pPr>
        <w:pStyle w:val="42"/>
        <w:ind w:left="0" w:leftChars="0" w:firstLine="0" w:firstLineChars="0"/>
        <w:jc w:val="left"/>
        <w:rPr>
          <w:rFonts w:hint="eastAsia" w:ascii="Times New Roman" w:hAnsi="Times New Roman" w:eastAsia="宋体" w:cs="Times New Roman"/>
          <w:b/>
          <w:bCs/>
          <w:color w:val="auto"/>
          <w:kern w:val="44"/>
          <w:sz w:val="30"/>
          <w:szCs w:val="30"/>
          <w:lang w:val="en-US" w:eastAsia="zh-CN" w:bidi="ar-SA"/>
        </w:rPr>
      </w:pPr>
    </w:p>
    <w:p>
      <w:pPr>
        <w:pStyle w:val="42"/>
        <w:ind w:left="0" w:leftChars="0" w:firstLine="0" w:firstLineChars="0"/>
        <w:jc w:val="left"/>
        <w:rPr>
          <w:rFonts w:hint="eastAsia" w:ascii="Times New Roman" w:hAnsi="Times New Roman" w:eastAsia="宋体" w:cs="Times New Roman"/>
          <w:b/>
          <w:bCs/>
          <w:color w:val="auto"/>
          <w:kern w:val="44"/>
          <w:sz w:val="30"/>
          <w:szCs w:val="30"/>
          <w:lang w:val="en-US" w:eastAsia="zh-CN" w:bidi="ar-SA"/>
        </w:rPr>
      </w:pPr>
    </w:p>
    <w:p>
      <w:pPr>
        <w:pStyle w:val="42"/>
        <w:ind w:left="0" w:leftChars="0" w:firstLine="0" w:firstLineChars="0"/>
        <w:jc w:val="left"/>
        <w:rPr>
          <w:rFonts w:hint="eastAsia" w:ascii="Times New Roman" w:hAnsi="Times New Roman" w:eastAsia="宋体" w:cs="Times New Roman"/>
          <w:b/>
          <w:bCs/>
          <w:color w:val="auto"/>
          <w:kern w:val="44"/>
          <w:sz w:val="30"/>
          <w:szCs w:val="30"/>
          <w:lang w:val="en-US" w:eastAsia="zh-CN" w:bidi="ar-SA"/>
        </w:rPr>
      </w:pPr>
    </w:p>
    <w:p>
      <w:pPr>
        <w:pStyle w:val="42"/>
        <w:ind w:left="0" w:leftChars="0" w:firstLine="0" w:firstLineChars="0"/>
        <w:jc w:val="center"/>
        <w:rPr>
          <w:rFonts w:hint="default" w:ascii="Times New Roman" w:hAnsi="Times New Roman" w:eastAsia="宋体" w:cs="Times New Roman"/>
          <w:b/>
          <w:bCs/>
          <w:color w:val="auto"/>
          <w:kern w:val="44"/>
          <w:sz w:val="30"/>
          <w:szCs w:val="30"/>
          <w:lang w:val="en-US" w:eastAsia="zh-CN" w:bidi="ar-SA"/>
        </w:rPr>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linePitch="312" w:charSpace="0"/>
        </w:sectPr>
      </w:pPr>
      <w:r>
        <w:rPr>
          <w:sz w:val="24"/>
        </w:rPr>
        <mc:AlternateContent>
          <mc:Choice Requires="wps">
            <w:drawing>
              <wp:anchor distT="0" distB="0" distL="114300" distR="114300" simplePos="0" relativeHeight="251688960" behindDoc="0" locked="0" layoutInCell="1" allowOverlap="1">
                <wp:simplePos x="0" y="0"/>
                <wp:positionH relativeFrom="column">
                  <wp:posOffset>3206115</wp:posOffset>
                </wp:positionH>
                <wp:positionV relativeFrom="paragraph">
                  <wp:posOffset>212725</wp:posOffset>
                </wp:positionV>
                <wp:extent cx="723265" cy="274955"/>
                <wp:effectExtent l="0" t="0" r="0" b="0"/>
                <wp:wrapNone/>
                <wp:docPr id="75" name="矩形 75"/>
                <wp:cNvGraphicFramePr/>
                <a:graphic xmlns:a="http://schemas.openxmlformats.org/drawingml/2006/main">
                  <a:graphicData uri="http://schemas.microsoft.com/office/word/2010/wordprocessingShape">
                    <wps:wsp>
                      <wps:cNvSpPr/>
                      <wps:spPr>
                        <a:xfrm>
                          <a:off x="0" y="0"/>
                          <a:ext cx="723265" cy="2749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DA0055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45pt;margin-top:16.75pt;height:21.65pt;width:56.95pt;z-index:251688960;v-text-anchor:middle;mso-width-relative:page;mso-height-relative:page;" filled="f" stroked="f" coordsize="21600,21600" o:gfxdata="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ji36XYAAAACQEAAA8AAAAAAAAAAQAgAAAAIgAAAGRycy9kb3du&#10;cmV2LnhtbFBLAQIUABQAAAAIAIdO4kDfVUpKOAIAAEkEAAAOAAAAAAAAAAEAIAAAACcBAABkcnMv&#10;ZTJvRG9jLnhtbFBLBQYAAAAABgAGAFkBAADRBQAAAAA=&#10;">
                <v:fill on="f" focussize="0,0"/>
                <v:stroke on="f" weight="2pt"/>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DA0055</w:t>
                      </w:r>
                    </w:p>
                  </w:txbxContent>
                </v:textbox>
              </v: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3534410</wp:posOffset>
                </wp:positionH>
                <wp:positionV relativeFrom="paragraph">
                  <wp:posOffset>1805305</wp:posOffset>
                </wp:positionV>
                <wp:extent cx="723265" cy="274955"/>
                <wp:effectExtent l="0" t="0" r="0" b="0"/>
                <wp:wrapNone/>
                <wp:docPr id="73" name="矩形 73"/>
                <wp:cNvGraphicFramePr/>
                <a:graphic xmlns:a="http://schemas.openxmlformats.org/drawingml/2006/main">
                  <a:graphicData uri="http://schemas.microsoft.com/office/word/2010/wordprocessingShape">
                    <wps:wsp>
                      <wps:cNvSpPr/>
                      <wps:spPr>
                        <a:xfrm>
                          <a:off x="0" y="0"/>
                          <a:ext cx="723265" cy="27495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3pt;margin-top:142.15pt;height:21.65pt;width:56.95pt;z-index:251687936;v-text-anchor:middle;mso-width-relative:page;mso-height-relative:page;" filled="f" stroked="f" coordsize="21600,21600" o:gfxdata="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fr3+DbAAAACwEAAA8AAAAAAAAAAQAgAAAAIgAAAGRycy9k&#10;b3ducmV2LnhtbFBLAQIUABQAAAAIAIdO4kCXjPkmOAIAAEkEAAAOAAAAAAAAAAEAIAAAACoBAABk&#10;cnMvZTJvRG9jLnhtbFBLBQYAAAAABgAGAFkBAADUBQAAAAA=&#10;">
                <v:fill on="f" focussize="0,0"/>
                <v:stroke on="f" weight="2pt"/>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DA003</w:t>
                      </w:r>
                    </w:p>
                  </w:txbxContent>
                </v:textbox>
              </v:rect>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3926840</wp:posOffset>
                </wp:positionH>
                <wp:positionV relativeFrom="paragraph">
                  <wp:posOffset>610235</wp:posOffset>
                </wp:positionV>
                <wp:extent cx="75565" cy="75565"/>
                <wp:effectExtent l="12700" t="12700" r="13335" b="13335"/>
                <wp:wrapNone/>
                <wp:docPr id="72" name="椭圆 72"/>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9.2pt;margin-top:48.05pt;height:5.95pt;width:5.95pt;z-index:251686912;v-text-anchor:middle;mso-width-relative:page;mso-height-relative:page;" filled="f" stroked="t" coordsize="21600,21600" o:gfxdata="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wZcY2AAAAAoBAAAPAAAAAAAAAAEAIAAAACIA&#10;AABkcnMvZG93bnJldi54bWxQSwECFAAUAAAACACHTuJAqpGMSUICAABoBAAADgAAAAAAAAABACAA&#10;AAAnAQAAZHJzL2Uyb0RvYy54bWxQSwUGAAAAAAYABgBZAQAA2wUAAAAA&#1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4101465</wp:posOffset>
                </wp:positionH>
                <wp:positionV relativeFrom="paragraph">
                  <wp:posOffset>1779270</wp:posOffset>
                </wp:positionV>
                <wp:extent cx="75565" cy="75565"/>
                <wp:effectExtent l="12700" t="12700" r="13335" b="13335"/>
                <wp:wrapNone/>
                <wp:docPr id="71" name="椭圆 71"/>
                <wp:cNvGraphicFramePr/>
                <a:graphic xmlns:a="http://schemas.openxmlformats.org/drawingml/2006/main">
                  <a:graphicData uri="http://schemas.microsoft.com/office/word/2010/wordprocessingShape">
                    <wps:wsp>
                      <wps:cNvSpPr/>
                      <wps:spPr>
                        <a:xfrm>
                          <a:off x="0" y="0"/>
                          <a:ext cx="75565" cy="755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2.95pt;margin-top:140.1pt;height:5.95pt;width:5.95pt;z-index:251685888;v-text-anchor:middle;mso-width-relative:page;mso-height-relative:page;" filled="f" stroked="t" coordsize="21600,21600" o:gfxdata="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pYmcHYAAAACwEAAA8AAAAAAAAAAQAgAAAAIgAA&#10;AGRycy9kb3ducmV2LnhtbFBLAQIUABQAAAAIAIdO4kCffD5/QQIAAGgEAAAOAAAAAAAAAAEAIAAA&#10;ACcBAABkcnMvZTJvRG9jLnhtbFBLBQYAAAAABgAGAFkBAADaBQAAAAA=&#10;">
                <v:fill on="f" focussize="0,0"/>
                <v:stroke weight="2pt" color="#FF0000 [2404]" joinstyle="round"/>
                <v:imagedata o:title=""/>
                <o:lock v:ext="edit" aspectratio="f"/>
              </v:shape>
            </w:pict>
          </mc:Fallback>
        </mc:AlternateContent>
      </w:r>
      <w:r>
        <w:drawing>
          <wp:inline distT="0" distB="0" distL="114300" distR="114300">
            <wp:extent cx="8006715" cy="2143125"/>
            <wp:effectExtent l="0" t="0" r="6985" b="317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28"/>
                    <a:stretch>
                      <a:fillRect/>
                    </a:stretch>
                  </pic:blipFill>
                  <pic:spPr>
                    <a:xfrm>
                      <a:off x="0" y="0"/>
                      <a:ext cx="8006715" cy="2143125"/>
                    </a:xfrm>
                    <a:prstGeom prst="rect">
                      <a:avLst/>
                    </a:prstGeom>
                    <a:noFill/>
                    <a:ln>
                      <a:noFill/>
                    </a:ln>
                  </pic:spPr>
                </pic:pic>
              </a:graphicData>
            </a:graphic>
          </wp:inline>
        </w:drawing>
      </w:r>
    </w:p>
    <w:p>
      <w:pPr>
        <w:pStyle w:val="2"/>
        <w:jc w:val="left"/>
        <w:rPr>
          <w:color w:val="000000" w:themeColor="text1"/>
          <w14:textFill>
            <w14:solidFill>
              <w14:schemeClr w14:val="tx1"/>
            </w14:solidFill>
          </w14:textFill>
        </w:rPr>
      </w:pPr>
      <w:bookmarkStart w:id="29" w:name="_Toc7936"/>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 xml:space="preserve">1 </w:t>
      </w:r>
      <w:r>
        <w:rPr>
          <w:color w:val="000000" w:themeColor="text1"/>
          <w14:textFill>
            <w14:solidFill>
              <w14:schemeClr w14:val="tx1"/>
            </w14:solidFill>
          </w14:textFill>
        </w:rPr>
        <w:t>营业执照</w:t>
      </w:r>
      <w:bookmarkEnd w:id="29"/>
    </w:p>
    <w:p>
      <w:pPr>
        <w:jc w:val="center"/>
        <w:outlineLvl w:val="9"/>
        <w:rPr>
          <w:rFonts w:hint="eastAsia" w:eastAsia="宋体"/>
          <w:color w:val="000000" w:themeColor="text1"/>
          <w:lang w:eastAsia="zh-CN"/>
          <w14:textFill>
            <w14:solidFill>
              <w14:schemeClr w14:val="tx1"/>
            </w14:solidFill>
          </w14:textFill>
        </w:rPr>
      </w:pPr>
    </w:p>
    <w:p>
      <w:pPr>
        <w:outlineLvl w:val="0"/>
        <w:rPr>
          <w:rFonts w:hint="eastAsia" w:ascii="Times New Roman" w:hAnsi="Times New Roman" w:eastAsia="宋体" w:cs="Times New Roman"/>
          <w:b/>
          <w:bCs/>
          <w:color w:val="000000" w:themeColor="text1"/>
          <w:kern w:val="44"/>
          <w:sz w:val="30"/>
          <w:szCs w:val="30"/>
          <w:lang w:val="en-US" w:eastAsia="zh-CN" w:bidi="ar-SA"/>
          <w14:textFill>
            <w14:solidFill>
              <w14:schemeClr w14:val="tx1"/>
            </w14:solidFill>
          </w14:textFill>
        </w:rPr>
      </w:pPr>
      <w:bookmarkStart w:id="30" w:name="_Toc20882"/>
      <w:r>
        <w:rPr>
          <w:rFonts w:hint="eastAsia" w:ascii="Times New Roman" w:hAnsi="Times New Roman" w:eastAsia="宋体" w:cs="Times New Roman"/>
          <w:b/>
          <w:bCs/>
          <w:color w:val="000000" w:themeColor="text1"/>
          <w:kern w:val="44"/>
          <w:sz w:val="30"/>
          <w:szCs w:val="30"/>
          <w:lang w:val="en-US" w:eastAsia="zh-CN" w:bidi="ar-SA"/>
          <w14:textFill>
            <w14:solidFill>
              <w14:schemeClr w14:val="tx1"/>
            </w14:solidFill>
          </w14:textFill>
        </w:rPr>
        <w:t>附件2 土地证</w:t>
      </w:r>
      <w:bookmarkEnd w:id="30"/>
    </w:p>
    <w:p>
      <w:pPr>
        <w:jc w:val="center"/>
        <w:rPr>
          <w:rFonts w:hint="eastAsia" w:eastAsia="宋体"/>
          <w:color w:val="000000" w:themeColor="text1"/>
          <w:lang w:eastAsia="zh-CN"/>
          <w14:textFill>
            <w14:solidFill>
              <w14:schemeClr w14:val="tx1"/>
            </w14:solidFill>
          </w14:textFill>
        </w:rPr>
      </w:pPr>
    </w:p>
    <w:p>
      <w:pPr>
        <w:jc w:val="center"/>
        <w:rPr>
          <w:rFonts w:hint="eastAsia" w:eastAsia="宋体"/>
          <w:color w:val="000000" w:themeColor="text1"/>
          <w:lang w:eastAsia="zh-CN"/>
          <w14:textFill>
            <w14:solidFill>
              <w14:schemeClr w14:val="tx1"/>
            </w14:solidFill>
          </w14:textFill>
        </w:rPr>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linePitch="326" w:charSpace="0"/>
        </w:sectPr>
      </w:pPr>
    </w:p>
    <w:p>
      <w:pPr>
        <w:pStyle w:val="2"/>
        <w:ind w:firstLine="602"/>
        <w:jc w:val="left"/>
        <w:rPr>
          <w:color w:val="000000" w:themeColor="text1"/>
          <w14:textFill>
            <w14:solidFill>
              <w14:schemeClr w14:val="tx1"/>
            </w14:solidFill>
          </w14:textFill>
        </w:rPr>
      </w:pPr>
      <w:bookmarkStart w:id="31" w:name="_Toc90"/>
      <w:r>
        <w:rPr>
          <w:color w:val="000000" w:themeColor="text1"/>
          <w14:textFill>
            <w14:solidFill>
              <w14:schemeClr w14:val="tx1"/>
            </w14:solidFill>
          </w14:textFill>
        </w:rPr>
        <w:t>附件</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生态环境分区管控分析报告</w:t>
      </w:r>
      <w:bookmarkEnd w:id="31"/>
    </w:p>
    <w:p>
      <w:pPr>
        <w:pStyle w:val="63"/>
        <w:ind w:firstLine="0" w:firstLineChars="0"/>
        <w:jc w:val="center"/>
        <w:rPr>
          <w:color w:val="000000" w:themeColor="text1"/>
          <w14:textFill>
            <w14:solidFill>
              <w14:schemeClr w14:val="tx1"/>
            </w14:solidFill>
          </w14:textFill>
        </w:rPr>
      </w:pPr>
      <w:r>
        <w:drawing>
          <wp:inline distT="0" distB="0" distL="114300" distR="114300">
            <wp:extent cx="7198995" cy="4537710"/>
            <wp:effectExtent l="0" t="0" r="1905"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9"/>
                    <a:stretch>
                      <a:fillRect/>
                    </a:stretch>
                  </pic:blipFill>
                  <pic:spPr>
                    <a:xfrm>
                      <a:off x="0" y="0"/>
                      <a:ext cx="7198995" cy="4537710"/>
                    </a:xfrm>
                    <a:prstGeom prst="rect">
                      <a:avLst/>
                    </a:prstGeom>
                    <a:noFill/>
                    <a:ln>
                      <a:noFill/>
                    </a:ln>
                  </pic:spPr>
                </pic:pic>
              </a:graphicData>
            </a:graphic>
          </wp:inline>
        </w:drawing>
      </w:r>
    </w:p>
    <w:p>
      <w:pPr>
        <w:pStyle w:val="63"/>
        <w:ind w:firstLine="0" w:firstLineChars="0"/>
        <w:jc w:val="center"/>
        <w:rPr>
          <w:color w:val="000000" w:themeColor="text1"/>
          <w14:textFill>
            <w14:solidFill>
              <w14:schemeClr w14:val="tx1"/>
            </w14:solidFill>
          </w14:textFill>
        </w:rPr>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linePitch="326" w:charSpace="0"/>
        </w:sectPr>
      </w:pPr>
      <w:r>
        <w:drawing>
          <wp:inline distT="0" distB="0" distL="114300" distR="114300">
            <wp:extent cx="7444740" cy="5250180"/>
            <wp:effectExtent l="0" t="0" r="10160" b="762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0"/>
                    <a:stretch>
                      <a:fillRect/>
                    </a:stretch>
                  </pic:blipFill>
                  <pic:spPr>
                    <a:xfrm>
                      <a:off x="0" y="0"/>
                      <a:ext cx="7444740" cy="5250180"/>
                    </a:xfrm>
                    <a:prstGeom prst="rect">
                      <a:avLst/>
                    </a:prstGeom>
                    <a:noFill/>
                    <a:ln>
                      <a:noFill/>
                    </a:ln>
                  </pic:spPr>
                </pic:pic>
              </a:graphicData>
            </a:graphic>
          </wp:inline>
        </w:drawing>
      </w:r>
      <w:r>
        <w:drawing>
          <wp:inline distT="0" distB="0" distL="114300" distR="114300">
            <wp:extent cx="8518525" cy="5601335"/>
            <wp:effectExtent l="0" t="0" r="3175" b="1206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1"/>
                    <a:stretch>
                      <a:fillRect/>
                    </a:stretch>
                  </pic:blipFill>
                  <pic:spPr>
                    <a:xfrm>
                      <a:off x="0" y="0"/>
                      <a:ext cx="8518525" cy="5601335"/>
                    </a:xfrm>
                    <a:prstGeom prst="rect">
                      <a:avLst/>
                    </a:prstGeom>
                    <a:noFill/>
                    <a:ln>
                      <a:noFill/>
                    </a:ln>
                  </pic:spPr>
                </pic:pic>
              </a:graphicData>
            </a:graphic>
          </wp:inline>
        </w:drawing>
      </w:r>
      <w:r>
        <w:drawing>
          <wp:inline distT="0" distB="0" distL="114300" distR="114300">
            <wp:extent cx="8530590" cy="5442585"/>
            <wp:effectExtent l="0" t="0" r="3810" b="571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2"/>
                    <a:stretch>
                      <a:fillRect/>
                    </a:stretch>
                  </pic:blipFill>
                  <pic:spPr>
                    <a:xfrm>
                      <a:off x="0" y="0"/>
                      <a:ext cx="8530590" cy="5442585"/>
                    </a:xfrm>
                    <a:prstGeom prst="rect">
                      <a:avLst/>
                    </a:prstGeom>
                    <a:noFill/>
                    <a:ln>
                      <a:noFill/>
                    </a:ln>
                  </pic:spPr>
                </pic:pic>
              </a:graphicData>
            </a:graphic>
          </wp:inline>
        </w:drawing>
      </w:r>
      <w:r>
        <w:drawing>
          <wp:inline distT="0" distB="0" distL="114300" distR="114300">
            <wp:extent cx="8528050" cy="5670550"/>
            <wp:effectExtent l="0" t="0" r="6350" b="635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3"/>
                    <a:stretch>
                      <a:fillRect/>
                    </a:stretch>
                  </pic:blipFill>
                  <pic:spPr>
                    <a:xfrm>
                      <a:off x="0" y="0"/>
                      <a:ext cx="8528050" cy="5670550"/>
                    </a:xfrm>
                    <a:prstGeom prst="rect">
                      <a:avLst/>
                    </a:prstGeom>
                    <a:noFill/>
                    <a:ln>
                      <a:noFill/>
                    </a:ln>
                  </pic:spPr>
                </pic:pic>
              </a:graphicData>
            </a:graphic>
          </wp:inline>
        </w:drawing>
      </w:r>
      <w:r>
        <w:drawing>
          <wp:inline distT="0" distB="0" distL="114300" distR="114300">
            <wp:extent cx="8522970" cy="5441950"/>
            <wp:effectExtent l="0" t="0" r="11430" b="635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4"/>
                    <a:stretch>
                      <a:fillRect/>
                    </a:stretch>
                  </pic:blipFill>
                  <pic:spPr>
                    <a:xfrm>
                      <a:off x="0" y="0"/>
                      <a:ext cx="8522970" cy="5441950"/>
                    </a:xfrm>
                    <a:prstGeom prst="rect">
                      <a:avLst/>
                    </a:prstGeom>
                    <a:noFill/>
                    <a:ln>
                      <a:noFill/>
                    </a:ln>
                  </pic:spPr>
                </pic:pic>
              </a:graphicData>
            </a:graphic>
          </wp:inline>
        </w:drawing>
      </w:r>
      <w:r>
        <w:drawing>
          <wp:inline distT="0" distB="0" distL="114300" distR="114300">
            <wp:extent cx="8524240" cy="5770880"/>
            <wp:effectExtent l="0" t="0" r="10160"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5"/>
                    <a:stretch>
                      <a:fillRect/>
                    </a:stretch>
                  </pic:blipFill>
                  <pic:spPr>
                    <a:xfrm>
                      <a:off x="0" y="0"/>
                      <a:ext cx="8524240" cy="5770880"/>
                    </a:xfrm>
                    <a:prstGeom prst="rect">
                      <a:avLst/>
                    </a:prstGeom>
                    <a:noFill/>
                    <a:ln>
                      <a:noFill/>
                    </a:ln>
                  </pic:spPr>
                </pic:pic>
              </a:graphicData>
            </a:graphic>
          </wp:inline>
        </w:drawing>
      </w:r>
      <w:r>
        <w:drawing>
          <wp:inline distT="0" distB="0" distL="114300" distR="114300">
            <wp:extent cx="8517255" cy="5939155"/>
            <wp:effectExtent l="0" t="0" r="4445"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6"/>
                    <a:stretch>
                      <a:fillRect/>
                    </a:stretch>
                  </pic:blipFill>
                  <pic:spPr>
                    <a:xfrm>
                      <a:off x="0" y="0"/>
                      <a:ext cx="8517255" cy="5939155"/>
                    </a:xfrm>
                    <a:prstGeom prst="rect">
                      <a:avLst/>
                    </a:prstGeom>
                    <a:noFill/>
                    <a:ln>
                      <a:noFill/>
                    </a:ln>
                  </pic:spPr>
                </pic:pic>
              </a:graphicData>
            </a:graphic>
          </wp:inline>
        </w:drawing>
      </w:r>
      <w:r>
        <w:drawing>
          <wp:inline distT="0" distB="0" distL="114300" distR="114300">
            <wp:extent cx="8526145" cy="5389880"/>
            <wp:effectExtent l="0" t="0" r="8255" b="762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7"/>
                    <a:stretch>
                      <a:fillRect/>
                    </a:stretch>
                  </pic:blipFill>
                  <pic:spPr>
                    <a:xfrm>
                      <a:off x="0" y="0"/>
                      <a:ext cx="8526145" cy="5389880"/>
                    </a:xfrm>
                    <a:prstGeom prst="rect">
                      <a:avLst/>
                    </a:prstGeom>
                    <a:noFill/>
                    <a:ln>
                      <a:noFill/>
                    </a:ln>
                  </pic:spPr>
                </pic:pic>
              </a:graphicData>
            </a:graphic>
          </wp:inline>
        </w:drawing>
      </w:r>
      <w:r>
        <w:drawing>
          <wp:inline distT="0" distB="0" distL="114300" distR="114300">
            <wp:extent cx="8522970" cy="5847080"/>
            <wp:effectExtent l="0" t="0" r="11430" b="762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8"/>
                    <a:stretch>
                      <a:fillRect/>
                    </a:stretch>
                  </pic:blipFill>
                  <pic:spPr>
                    <a:xfrm>
                      <a:off x="0" y="0"/>
                      <a:ext cx="8522970" cy="5847080"/>
                    </a:xfrm>
                    <a:prstGeom prst="rect">
                      <a:avLst/>
                    </a:prstGeom>
                    <a:noFill/>
                    <a:ln>
                      <a:noFill/>
                    </a:ln>
                  </pic:spPr>
                </pic:pic>
              </a:graphicData>
            </a:graphic>
          </wp:inline>
        </w:drawing>
      </w:r>
    </w:p>
    <w:p>
      <w:pPr>
        <w:pStyle w:val="2"/>
        <w:jc w:val="left"/>
        <w:rPr>
          <w:rFonts w:hint="default" w:eastAsia="宋体"/>
          <w:color w:val="000000" w:themeColor="text1"/>
          <w:lang w:val="en-US" w:eastAsia="zh-CN"/>
          <w14:textFill>
            <w14:solidFill>
              <w14:schemeClr w14:val="tx1"/>
            </w14:solidFill>
          </w14:textFill>
        </w:rPr>
      </w:pPr>
      <w:bookmarkStart w:id="32" w:name="_Toc951"/>
      <w:r>
        <w:rPr>
          <w:color w:val="000000" w:themeColor="text1"/>
          <w14:textFill>
            <w14:solidFill>
              <w14:schemeClr w14:val="tx1"/>
            </w14:solidFill>
          </w14:textFill>
        </w:rPr>
        <w:t>附件</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原有环评批复</w:t>
      </w:r>
      <w:bookmarkEnd w:id="32"/>
    </w:p>
    <w:p>
      <w:pPr>
        <w:pStyle w:val="63"/>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3"/>
        <w:ind w:firstLine="0" w:firstLineChars="0"/>
        <w:jc w:val="center"/>
        <w:rPr>
          <w:color w:val="000000" w:themeColor="text1"/>
          <w14:textFill>
            <w14:solidFill>
              <w14:schemeClr w14:val="tx1"/>
            </w14:solidFill>
          </w14:textFill>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p>
    <w:p>
      <w:pPr>
        <w:pStyle w:val="2"/>
        <w:jc w:val="left"/>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bookmarkStart w:id="33" w:name="_Toc24823"/>
      <w:r>
        <w:rPr>
          <w:color w:val="000000" w:themeColor="text1"/>
          <w14:textFill>
            <w14:solidFill>
              <w14:schemeClr w14:val="tx1"/>
            </w14:solidFill>
          </w14:textFill>
        </w:rPr>
        <w:t>附件</w:t>
      </w:r>
      <w:r>
        <w:rPr>
          <w:rFonts w:hint="eastAsia"/>
          <w:color w:val="000000" w:themeColor="text1"/>
          <w:lang w:val="en-US" w:eastAsia="zh-CN"/>
          <w14:textFill>
            <w14:solidFill>
              <w14:schemeClr w14:val="tx1"/>
            </w14:solidFill>
          </w14:textFill>
        </w:rPr>
        <w:t>5 原有验收专家意</w:t>
      </w:r>
      <w:bookmarkEnd w:id="33"/>
    </w:p>
    <w:p>
      <w:pPr>
        <w:pStyle w:val="2"/>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34" w:name="_Toc4065"/>
      <w:r>
        <w:rPr>
          <w:rFonts w:hint="eastAsia" w:ascii="Times New Roman" w:hAnsi="Times New Roman" w:eastAsia="宋体" w:cs="Times New Roman"/>
          <w:color w:val="000000" w:themeColor="text1"/>
          <w:lang w:val="en-US" w:eastAsia="zh-CN"/>
          <w14:textFill>
            <w14:solidFill>
              <w14:schemeClr w14:val="tx1"/>
            </w14:solidFill>
          </w14:textFill>
        </w:rPr>
        <w:t>附件 6 监测报告</w:t>
      </w:r>
      <w:bookmarkEnd w:id="34"/>
    </w:p>
    <w:p>
      <w:pPr>
        <w:pStyle w:val="63"/>
        <w:ind w:firstLine="0" w:firstLineChars="0"/>
        <w:jc w:val="both"/>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pPr>
      <w:r>
        <w:drawing>
          <wp:inline distT="0" distB="0" distL="114300" distR="114300">
            <wp:extent cx="5612765" cy="7931785"/>
            <wp:effectExtent l="0" t="0" r="63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9"/>
                    <a:stretch>
                      <a:fillRect/>
                    </a:stretch>
                  </pic:blipFill>
                  <pic:spPr>
                    <a:xfrm>
                      <a:off x="0" y="0"/>
                      <a:ext cx="5612765" cy="7931785"/>
                    </a:xfrm>
                    <a:prstGeom prst="rect">
                      <a:avLst/>
                    </a:prstGeom>
                    <a:noFill/>
                    <a:ln>
                      <a:noFill/>
                    </a:ln>
                  </pic:spPr>
                </pic:pic>
              </a:graphicData>
            </a:graphic>
          </wp:inline>
        </w:drawing>
      </w:r>
      <w:r>
        <w:drawing>
          <wp:inline distT="0" distB="0" distL="114300" distR="114300">
            <wp:extent cx="5615305" cy="7865745"/>
            <wp:effectExtent l="0" t="0" r="10795" b="825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40"/>
                    <a:stretch>
                      <a:fillRect/>
                    </a:stretch>
                  </pic:blipFill>
                  <pic:spPr>
                    <a:xfrm>
                      <a:off x="0" y="0"/>
                      <a:ext cx="5615305" cy="7865745"/>
                    </a:xfrm>
                    <a:prstGeom prst="rect">
                      <a:avLst/>
                    </a:prstGeom>
                    <a:noFill/>
                    <a:ln>
                      <a:noFill/>
                    </a:ln>
                  </pic:spPr>
                </pic:pic>
              </a:graphicData>
            </a:graphic>
          </wp:inline>
        </w:drawing>
      </w:r>
      <w:bookmarkStart w:id="36" w:name="_GoBack"/>
      <w:bookmarkEnd w:id="36"/>
    </w:p>
    <w:p>
      <w:pPr>
        <w:pStyle w:val="2"/>
        <w:jc w:val="left"/>
        <w:rPr>
          <w:rFonts w:hint="default" w:ascii="Times New Roman" w:hAnsi="Times New Roman" w:eastAsia="宋体" w:cs="Times New Roman"/>
          <w:color w:val="auto"/>
          <w:highlight w:val="none"/>
        </w:rPr>
      </w:pPr>
      <w:bookmarkStart w:id="35" w:name="_Toc30997"/>
      <w:r>
        <w:rPr>
          <w:rFonts w:hint="default" w:ascii="Times New Roman" w:hAnsi="Times New Roman" w:eastAsia="宋体" w:cs="Times New Roman"/>
          <w:color w:val="auto"/>
          <w:highlight w:val="none"/>
        </w:rPr>
        <w:t>附件</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 xml:space="preserve"> 总量核定说明</w:t>
      </w:r>
      <w:bookmarkEnd w:id="35"/>
    </w:p>
    <w:p>
      <w:pPr>
        <w:adjustRightInd w:val="0"/>
        <w:snapToGrid w:val="0"/>
        <w:spacing w:line="360" w:lineRule="auto"/>
        <w:ind w:firstLine="480" w:firstLineChars="200"/>
        <w:rPr>
          <w:rFonts w:ascii="Times New Roman" w:hAnsi="Times New Roman" w:cs="Times New Roman"/>
          <w:color w:val="000000"/>
          <w:sz w:val="24"/>
          <w:highlight w:val="none"/>
        </w:rPr>
      </w:pPr>
      <w:r>
        <w:rPr>
          <w:rFonts w:ascii="Times New Roman" w:hAnsi="Times New Roman" w:cs="Times New Roman"/>
          <w:color w:val="000000"/>
          <w:sz w:val="24"/>
          <w:highlight w:val="none"/>
        </w:rPr>
        <w:t>本项目排气筒执行标准为《水泥工业大气污染物排放标准》（GB4915-2013）</w:t>
      </w:r>
      <w:r>
        <w:rPr>
          <w:rFonts w:ascii="Times New Roman" w:hAnsi="Times New Roman" w:cs="Times New Roman"/>
          <w:color w:val="000000"/>
          <w:spacing w:val="4"/>
          <w:sz w:val="24"/>
          <w:highlight w:val="none"/>
        </w:rPr>
        <w:t>表</w:t>
      </w:r>
      <w:r>
        <w:rPr>
          <w:rFonts w:hint="eastAsia" w:cs="Times New Roman"/>
          <w:color w:val="000000"/>
          <w:spacing w:val="4"/>
          <w:sz w:val="24"/>
          <w:highlight w:val="none"/>
          <w:lang w:val="en-US" w:eastAsia="zh-CN"/>
        </w:rPr>
        <w:t>2</w:t>
      </w:r>
      <w:r>
        <w:rPr>
          <w:rFonts w:ascii="Times New Roman" w:hAnsi="Times New Roman" w:cs="Times New Roman"/>
          <w:color w:val="000000"/>
          <w:sz w:val="24"/>
          <w:highlight w:val="none"/>
        </w:rPr>
        <w:t>中标准要求（颗粒物：</w:t>
      </w:r>
      <w:r>
        <w:rPr>
          <w:rFonts w:hint="eastAsia" w:cs="Times New Roman"/>
          <w:color w:val="000000"/>
          <w:sz w:val="24"/>
          <w:highlight w:val="none"/>
          <w:lang w:val="en-US" w:eastAsia="zh-CN"/>
        </w:rPr>
        <w:t>1</w:t>
      </w:r>
      <w:r>
        <w:rPr>
          <w:rFonts w:ascii="Times New Roman" w:hAnsi="Times New Roman" w:cs="Times New Roman"/>
          <w:color w:val="000000"/>
          <w:sz w:val="24"/>
          <w:highlight w:val="none"/>
        </w:rPr>
        <w:t>0mg/m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w:t>
      </w:r>
    </w:p>
    <w:p>
      <w:pPr>
        <w:adjustRightInd w:val="0"/>
        <w:snapToGrid w:val="0"/>
        <w:spacing w:line="360" w:lineRule="auto"/>
        <w:ind w:firstLine="480" w:firstLineChars="200"/>
        <w:rPr>
          <w:rFonts w:ascii="Times New Roman" w:hAnsi="Times New Roman" w:cs="Times New Roman"/>
          <w:color w:val="000000"/>
          <w:sz w:val="24"/>
          <w:highlight w:val="none"/>
        </w:rPr>
      </w:pPr>
      <w:r>
        <w:rPr>
          <w:rFonts w:ascii="Times New Roman" w:hAnsi="Times New Roman" w:cs="Times New Roman"/>
          <w:bCs/>
          <w:color w:val="000000"/>
          <w:sz w:val="24"/>
          <w:highlight w:val="none"/>
        </w:rPr>
        <w:t>排气筒（DA001）</w:t>
      </w:r>
      <w:r>
        <w:rPr>
          <w:rFonts w:ascii="Times New Roman" w:hAnsi="Times New Roman" w:cs="Times New Roman"/>
          <w:color w:val="000000"/>
          <w:sz w:val="24"/>
          <w:highlight w:val="none"/>
        </w:rPr>
        <w:t>废气量为</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ascii="Times New Roman" w:hAnsi="Times New Roman" w:cs="Times New Roman"/>
          <w:bCs/>
          <w:color w:val="000000"/>
          <w:sz w:val="24"/>
          <w:highlight w:val="none"/>
        </w:rPr>
        <w:t>排气筒（DA001）颗粒物</w:t>
      </w:r>
      <w:r>
        <w:rPr>
          <w:rFonts w:ascii="Times New Roman" w:hAnsi="Times New Roman" w:cs="Times New Roman"/>
          <w:color w:val="000000"/>
          <w:sz w:val="24"/>
          <w:highlight w:val="none"/>
        </w:rPr>
        <w:t>核定排放量=（废气量×浓度限值×10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hint="eastAsia" w:cs="Times New Roman"/>
          <w:color w:val="000000"/>
          <w:sz w:val="24"/>
          <w:highlight w:val="none"/>
          <w:lang w:val="en-US" w:eastAsia="zh-CN"/>
        </w:rPr>
        <w:t>1200</w:t>
      </w:r>
      <w:r>
        <w:rPr>
          <w:rFonts w:ascii="Times New Roman" w:hAnsi="Times New Roman" w:cs="Times New Roman"/>
          <w:color w:val="000000"/>
          <w:sz w:val="24"/>
          <w:highlight w:val="none"/>
        </w:rPr>
        <w:t>h/a×</w:t>
      </w:r>
      <w:r>
        <w:rPr>
          <w:rFonts w:hint="eastAsia" w:cs="Times New Roman"/>
          <w:color w:val="000000"/>
          <w:sz w:val="24"/>
          <w:highlight w:val="none"/>
          <w:lang w:val="en-US" w:eastAsia="zh-CN"/>
        </w:rPr>
        <w:t>1</w:t>
      </w:r>
      <w:r>
        <w:rPr>
          <w:rFonts w:ascii="Times New Roman" w:hAnsi="Times New Roman" w:cs="Times New Roman"/>
          <w:color w:val="000000"/>
          <w:sz w:val="24"/>
          <w:highlight w:val="none"/>
        </w:rPr>
        <w:t>0</w:t>
      </w:r>
      <w:r>
        <w:rPr>
          <w:rFonts w:ascii="Times New Roman" w:hAnsi="Times New Roman" w:cs="Times New Roman"/>
          <w:bCs/>
          <w:color w:val="000000"/>
          <w:sz w:val="24"/>
          <w:highlight w:val="none"/>
        </w:rPr>
        <w:t>mg/m</w:t>
      </w:r>
      <w:r>
        <w:rPr>
          <w:rFonts w:ascii="Times New Roman" w:hAnsi="Times New Roman" w:cs="Times New Roman"/>
          <w:bCs/>
          <w:color w:val="000000"/>
          <w:sz w:val="24"/>
          <w:highlight w:val="none"/>
          <w:vertAlign w:val="superscript"/>
        </w:rPr>
        <w:t>3</w:t>
      </w:r>
      <w:r>
        <w:rPr>
          <w:rFonts w:ascii="Times New Roman" w:hAnsi="Times New Roman" w:cs="Times New Roman"/>
          <w:color w:val="000000"/>
          <w:sz w:val="24"/>
          <w:highlight w:val="none"/>
        </w:rPr>
        <w:t>×10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=0.</w:t>
      </w:r>
      <w:r>
        <w:rPr>
          <w:rFonts w:hint="eastAsia" w:cs="Times New Roman"/>
          <w:color w:val="000000"/>
          <w:sz w:val="24"/>
          <w:highlight w:val="none"/>
          <w:lang w:val="en-US" w:eastAsia="zh-CN"/>
        </w:rPr>
        <w:t>096</w:t>
      </w:r>
      <w:r>
        <w:rPr>
          <w:rFonts w:ascii="Times New Roman" w:hAnsi="Times New Roman" w:cs="Times New Roman"/>
          <w:color w:val="000000"/>
          <w:sz w:val="24"/>
          <w:highlight w:val="none"/>
        </w:rPr>
        <w:t>t/a。</w:t>
      </w:r>
    </w:p>
    <w:p>
      <w:pPr>
        <w:adjustRightInd w:val="0"/>
        <w:snapToGrid w:val="0"/>
        <w:spacing w:line="360" w:lineRule="auto"/>
        <w:ind w:firstLine="480" w:firstLineChars="200"/>
        <w:rPr>
          <w:rFonts w:hint="eastAsia" w:cs="Times New Roman"/>
          <w:color w:val="000000"/>
          <w:sz w:val="24"/>
          <w:highlight w:val="none"/>
          <w:lang w:eastAsia="zh-CN"/>
        </w:rPr>
      </w:pP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2</w:t>
      </w:r>
      <w:r>
        <w:rPr>
          <w:rFonts w:ascii="Times New Roman" w:hAnsi="Times New Roman" w:cs="Times New Roman"/>
          <w:bCs/>
          <w:color w:val="000000"/>
          <w:sz w:val="24"/>
          <w:highlight w:val="none"/>
        </w:rPr>
        <w:t>）</w:t>
      </w:r>
      <w:r>
        <w:rPr>
          <w:rFonts w:ascii="Times New Roman" w:hAnsi="Times New Roman" w:cs="Times New Roman"/>
          <w:color w:val="000000"/>
          <w:sz w:val="24"/>
          <w:highlight w:val="none"/>
        </w:rPr>
        <w:t>废气量为</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2</w:t>
      </w:r>
      <w:r>
        <w:rPr>
          <w:rFonts w:ascii="Times New Roman" w:hAnsi="Times New Roman" w:cs="Times New Roman"/>
          <w:bCs/>
          <w:color w:val="000000"/>
          <w:sz w:val="24"/>
          <w:highlight w:val="none"/>
        </w:rPr>
        <w:t>）颗粒物</w:t>
      </w:r>
      <w:r>
        <w:rPr>
          <w:rFonts w:ascii="Times New Roman" w:hAnsi="Times New Roman" w:cs="Times New Roman"/>
          <w:color w:val="000000"/>
          <w:sz w:val="24"/>
          <w:highlight w:val="none"/>
        </w:rPr>
        <w:t>核定排放量=（废气量×浓度限值×10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hint="eastAsia" w:cs="Times New Roman"/>
          <w:color w:val="000000"/>
          <w:sz w:val="24"/>
          <w:highlight w:val="none"/>
          <w:lang w:val="en-US" w:eastAsia="zh-CN"/>
        </w:rPr>
        <w:t>1200</w:t>
      </w:r>
      <w:r>
        <w:rPr>
          <w:rFonts w:ascii="Times New Roman" w:hAnsi="Times New Roman" w:cs="Times New Roman"/>
          <w:color w:val="000000"/>
          <w:sz w:val="24"/>
          <w:highlight w:val="none"/>
        </w:rPr>
        <w:t>h/a×</w:t>
      </w:r>
      <w:r>
        <w:rPr>
          <w:rFonts w:hint="eastAsia" w:cs="Times New Roman"/>
          <w:color w:val="000000"/>
          <w:sz w:val="24"/>
          <w:highlight w:val="none"/>
          <w:lang w:val="en-US" w:eastAsia="zh-CN"/>
        </w:rPr>
        <w:t>1</w:t>
      </w:r>
      <w:r>
        <w:rPr>
          <w:rFonts w:ascii="Times New Roman" w:hAnsi="Times New Roman" w:cs="Times New Roman"/>
          <w:color w:val="000000"/>
          <w:sz w:val="24"/>
          <w:highlight w:val="none"/>
        </w:rPr>
        <w:t>0</w:t>
      </w:r>
      <w:r>
        <w:rPr>
          <w:rFonts w:ascii="Times New Roman" w:hAnsi="Times New Roman" w:cs="Times New Roman"/>
          <w:bCs/>
          <w:color w:val="000000"/>
          <w:sz w:val="24"/>
          <w:highlight w:val="none"/>
        </w:rPr>
        <w:t>mg/m</w:t>
      </w:r>
      <w:r>
        <w:rPr>
          <w:rFonts w:ascii="Times New Roman" w:hAnsi="Times New Roman" w:cs="Times New Roman"/>
          <w:bCs/>
          <w:color w:val="000000"/>
          <w:sz w:val="24"/>
          <w:highlight w:val="none"/>
          <w:vertAlign w:val="superscript"/>
        </w:rPr>
        <w:t>3</w:t>
      </w:r>
      <w:r>
        <w:rPr>
          <w:rFonts w:ascii="Times New Roman" w:hAnsi="Times New Roman" w:cs="Times New Roman"/>
          <w:color w:val="000000"/>
          <w:sz w:val="24"/>
          <w:highlight w:val="none"/>
        </w:rPr>
        <w:t>×10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=0.</w:t>
      </w:r>
      <w:r>
        <w:rPr>
          <w:rFonts w:hint="eastAsia" w:cs="Times New Roman"/>
          <w:color w:val="000000"/>
          <w:sz w:val="24"/>
          <w:highlight w:val="none"/>
          <w:lang w:val="en-US" w:eastAsia="zh-CN"/>
        </w:rPr>
        <w:t>096</w:t>
      </w:r>
      <w:r>
        <w:rPr>
          <w:rFonts w:ascii="Times New Roman" w:hAnsi="Times New Roman" w:cs="Times New Roman"/>
          <w:color w:val="000000"/>
          <w:sz w:val="24"/>
          <w:highlight w:val="none"/>
        </w:rPr>
        <w:t>t/a</w:t>
      </w:r>
      <w:r>
        <w:rPr>
          <w:rFonts w:hint="eastAsia" w:cs="Times New Roman"/>
          <w:color w:val="000000"/>
          <w:sz w:val="24"/>
          <w:highlight w:val="none"/>
          <w:lang w:eastAsia="zh-CN"/>
        </w:rPr>
        <w:t>。</w:t>
      </w:r>
    </w:p>
    <w:p>
      <w:pPr>
        <w:adjustRightInd w:val="0"/>
        <w:snapToGrid w:val="0"/>
        <w:spacing w:line="360" w:lineRule="auto"/>
        <w:ind w:firstLine="480" w:firstLineChars="200"/>
        <w:rPr>
          <w:rFonts w:hint="eastAsia" w:cs="Times New Roman"/>
          <w:color w:val="000000"/>
          <w:sz w:val="24"/>
          <w:highlight w:val="none"/>
          <w:lang w:eastAsia="zh-CN"/>
        </w:rPr>
      </w:pP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3</w:t>
      </w:r>
      <w:r>
        <w:rPr>
          <w:rFonts w:ascii="Times New Roman" w:hAnsi="Times New Roman" w:cs="Times New Roman"/>
          <w:bCs/>
          <w:color w:val="000000"/>
          <w:sz w:val="24"/>
          <w:highlight w:val="none"/>
        </w:rPr>
        <w:t>）</w:t>
      </w:r>
      <w:r>
        <w:rPr>
          <w:rFonts w:ascii="Times New Roman" w:hAnsi="Times New Roman" w:cs="Times New Roman"/>
          <w:color w:val="000000"/>
          <w:sz w:val="24"/>
          <w:highlight w:val="none"/>
        </w:rPr>
        <w:t>废气量为</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3</w:t>
      </w:r>
      <w:r>
        <w:rPr>
          <w:rFonts w:ascii="Times New Roman" w:hAnsi="Times New Roman" w:cs="Times New Roman"/>
          <w:bCs/>
          <w:color w:val="000000"/>
          <w:sz w:val="24"/>
          <w:highlight w:val="none"/>
        </w:rPr>
        <w:t>）颗粒物</w:t>
      </w:r>
      <w:r>
        <w:rPr>
          <w:rFonts w:ascii="Times New Roman" w:hAnsi="Times New Roman" w:cs="Times New Roman"/>
          <w:color w:val="000000"/>
          <w:sz w:val="24"/>
          <w:highlight w:val="none"/>
        </w:rPr>
        <w:t>核定排放量=（废气量×浓度限值×10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hint="eastAsia" w:cs="Times New Roman"/>
          <w:color w:val="000000"/>
          <w:sz w:val="24"/>
          <w:highlight w:val="none"/>
          <w:lang w:val="en-US" w:eastAsia="zh-CN"/>
        </w:rPr>
        <w:t>1200</w:t>
      </w:r>
      <w:r>
        <w:rPr>
          <w:rFonts w:ascii="Times New Roman" w:hAnsi="Times New Roman" w:cs="Times New Roman"/>
          <w:color w:val="000000"/>
          <w:sz w:val="24"/>
          <w:highlight w:val="none"/>
        </w:rPr>
        <w:t>h/a×</w:t>
      </w:r>
      <w:r>
        <w:rPr>
          <w:rFonts w:hint="eastAsia" w:cs="Times New Roman"/>
          <w:color w:val="000000"/>
          <w:sz w:val="24"/>
          <w:highlight w:val="none"/>
          <w:lang w:val="en-US" w:eastAsia="zh-CN"/>
        </w:rPr>
        <w:t>1</w:t>
      </w:r>
      <w:r>
        <w:rPr>
          <w:rFonts w:ascii="Times New Roman" w:hAnsi="Times New Roman" w:cs="Times New Roman"/>
          <w:color w:val="000000"/>
          <w:sz w:val="24"/>
          <w:highlight w:val="none"/>
        </w:rPr>
        <w:t>0</w:t>
      </w:r>
      <w:r>
        <w:rPr>
          <w:rFonts w:ascii="Times New Roman" w:hAnsi="Times New Roman" w:cs="Times New Roman"/>
          <w:bCs/>
          <w:color w:val="000000"/>
          <w:sz w:val="24"/>
          <w:highlight w:val="none"/>
        </w:rPr>
        <w:t>mg/m</w:t>
      </w:r>
      <w:r>
        <w:rPr>
          <w:rFonts w:ascii="Times New Roman" w:hAnsi="Times New Roman" w:cs="Times New Roman"/>
          <w:bCs/>
          <w:color w:val="000000"/>
          <w:sz w:val="24"/>
          <w:highlight w:val="none"/>
          <w:vertAlign w:val="superscript"/>
        </w:rPr>
        <w:t>3</w:t>
      </w:r>
      <w:r>
        <w:rPr>
          <w:rFonts w:ascii="Times New Roman" w:hAnsi="Times New Roman" w:cs="Times New Roman"/>
          <w:color w:val="000000"/>
          <w:sz w:val="24"/>
          <w:highlight w:val="none"/>
        </w:rPr>
        <w:t>×10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=0.</w:t>
      </w:r>
      <w:r>
        <w:rPr>
          <w:rFonts w:hint="eastAsia" w:cs="Times New Roman"/>
          <w:color w:val="000000"/>
          <w:sz w:val="24"/>
          <w:highlight w:val="none"/>
          <w:lang w:val="en-US" w:eastAsia="zh-CN"/>
        </w:rPr>
        <w:t>096</w:t>
      </w:r>
      <w:r>
        <w:rPr>
          <w:rFonts w:ascii="Times New Roman" w:hAnsi="Times New Roman" w:cs="Times New Roman"/>
          <w:color w:val="000000"/>
          <w:sz w:val="24"/>
          <w:highlight w:val="none"/>
        </w:rPr>
        <w:t>t/a</w:t>
      </w:r>
      <w:r>
        <w:rPr>
          <w:rFonts w:hint="eastAsia" w:cs="Times New Roman"/>
          <w:color w:val="000000"/>
          <w:sz w:val="24"/>
          <w:highlight w:val="none"/>
          <w:lang w:eastAsia="zh-CN"/>
        </w:rPr>
        <w:t>。</w:t>
      </w:r>
    </w:p>
    <w:p>
      <w:pPr>
        <w:adjustRightInd w:val="0"/>
        <w:snapToGrid w:val="0"/>
        <w:spacing w:line="360" w:lineRule="auto"/>
        <w:ind w:firstLine="480" w:firstLineChars="200"/>
        <w:rPr>
          <w:rFonts w:hint="eastAsia" w:cs="Times New Roman"/>
          <w:color w:val="000000"/>
          <w:sz w:val="24"/>
          <w:highlight w:val="none"/>
          <w:lang w:eastAsia="zh-CN"/>
        </w:rPr>
      </w:pP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4</w:t>
      </w:r>
      <w:r>
        <w:rPr>
          <w:rFonts w:ascii="Times New Roman" w:hAnsi="Times New Roman" w:cs="Times New Roman"/>
          <w:bCs/>
          <w:color w:val="000000"/>
          <w:sz w:val="24"/>
          <w:highlight w:val="none"/>
        </w:rPr>
        <w:t>）</w:t>
      </w:r>
      <w:r>
        <w:rPr>
          <w:rFonts w:ascii="Times New Roman" w:hAnsi="Times New Roman" w:cs="Times New Roman"/>
          <w:color w:val="000000"/>
          <w:sz w:val="24"/>
          <w:highlight w:val="none"/>
        </w:rPr>
        <w:t>废气量为</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4</w:t>
      </w:r>
      <w:r>
        <w:rPr>
          <w:rFonts w:ascii="Times New Roman" w:hAnsi="Times New Roman" w:cs="Times New Roman"/>
          <w:bCs/>
          <w:color w:val="000000"/>
          <w:sz w:val="24"/>
          <w:highlight w:val="none"/>
        </w:rPr>
        <w:t>）颗粒物</w:t>
      </w:r>
      <w:r>
        <w:rPr>
          <w:rFonts w:ascii="Times New Roman" w:hAnsi="Times New Roman" w:cs="Times New Roman"/>
          <w:color w:val="000000"/>
          <w:sz w:val="24"/>
          <w:highlight w:val="none"/>
        </w:rPr>
        <w:t>核定排放量=（废气量×浓度限值×10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hint="eastAsia" w:cs="Times New Roman"/>
          <w:color w:val="000000"/>
          <w:sz w:val="24"/>
          <w:highlight w:val="none"/>
          <w:lang w:val="en-US" w:eastAsia="zh-CN"/>
        </w:rPr>
        <w:t>120</w:t>
      </w:r>
      <w:r>
        <w:rPr>
          <w:rFonts w:hint="eastAsia" w:ascii="Times New Roman" w:hAnsi="Times New Roman" w:cs="Times New Roman"/>
          <w:color w:val="000000"/>
          <w:sz w:val="24"/>
          <w:highlight w:val="none"/>
          <w:lang w:val="en-US" w:eastAsia="zh-CN"/>
        </w:rPr>
        <w:t>0</w:t>
      </w:r>
      <w:r>
        <w:rPr>
          <w:rFonts w:ascii="Times New Roman" w:hAnsi="Times New Roman" w:cs="Times New Roman"/>
          <w:color w:val="000000"/>
          <w:sz w:val="24"/>
          <w:highlight w:val="none"/>
        </w:rPr>
        <w:t>h/a×</w:t>
      </w:r>
      <w:r>
        <w:rPr>
          <w:rFonts w:hint="eastAsia" w:cs="Times New Roman"/>
          <w:color w:val="000000"/>
          <w:sz w:val="24"/>
          <w:highlight w:val="none"/>
          <w:lang w:val="en-US" w:eastAsia="zh-CN"/>
        </w:rPr>
        <w:t>1</w:t>
      </w:r>
      <w:r>
        <w:rPr>
          <w:rFonts w:ascii="Times New Roman" w:hAnsi="Times New Roman" w:cs="Times New Roman"/>
          <w:color w:val="000000"/>
          <w:sz w:val="24"/>
          <w:highlight w:val="none"/>
        </w:rPr>
        <w:t>0</w:t>
      </w:r>
      <w:r>
        <w:rPr>
          <w:rFonts w:ascii="Times New Roman" w:hAnsi="Times New Roman" w:cs="Times New Roman"/>
          <w:bCs/>
          <w:color w:val="000000"/>
          <w:sz w:val="24"/>
          <w:highlight w:val="none"/>
        </w:rPr>
        <w:t>mg/m</w:t>
      </w:r>
      <w:r>
        <w:rPr>
          <w:rFonts w:ascii="Times New Roman" w:hAnsi="Times New Roman" w:cs="Times New Roman"/>
          <w:bCs/>
          <w:color w:val="000000"/>
          <w:sz w:val="24"/>
          <w:highlight w:val="none"/>
          <w:vertAlign w:val="superscript"/>
        </w:rPr>
        <w:t>3</w:t>
      </w:r>
      <w:r>
        <w:rPr>
          <w:rFonts w:ascii="Times New Roman" w:hAnsi="Times New Roman" w:cs="Times New Roman"/>
          <w:color w:val="000000"/>
          <w:sz w:val="24"/>
          <w:highlight w:val="none"/>
        </w:rPr>
        <w:t>×10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w:t>
      </w:r>
      <w:r>
        <w:rPr>
          <w:rFonts w:hint="eastAsia" w:cs="Times New Roman"/>
          <w:color w:val="000000"/>
          <w:sz w:val="24"/>
          <w:highlight w:val="none"/>
          <w:lang w:val="en-US" w:eastAsia="zh-CN"/>
        </w:rPr>
        <w:t>0.096</w:t>
      </w:r>
      <w:r>
        <w:rPr>
          <w:rFonts w:ascii="Times New Roman" w:hAnsi="Times New Roman" w:cs="Times New Roman"/>
          <w:color w:val="000000"/>
          <w:sz w:val="24"/>
          <w:highlight w:val="none"/>
        </w:rPr>
        <w:t>t/a</w:t>
      </w:r>
      <w:r>
        <w:rPr>
          <w:rFonts w:hint="eastAsia" w:cs="Times New Roman"/>
          <w:color w:val="000000"/>
          <w:sz w:val="24"/>
          <w:highlight w:val="none"/>
          <w:lang w:eastAsia="zh-CN"/>
        </w:rPr>
        <w:t>。</w:t>
      </w:r>
    </w:p>
    <w:p>
      <w:pPr>
        <w:adjustRightInd w:val="0"/>
        <w:snapToGrid w:val="0"/>
        <w:spacing w:line="360" w:lineRule="auto"/>
        <w:ind w:firstLine="480" w:firstLineChars="200"/>
        <w:rPr>
          <w:rFonts w:hint="eastAsia" w:cs="Times New Roman"/>
          <w:color w:val="000000"/>
          <w:sz w:val="24"/>
          <w:highlight w:val="none"/>
          <w:lang w:eastAsia="zh-CN"/>
        </w:rPr>
      </w:pP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5</w:t>
      </w:r>
      <w:r>
        <w:rPr>
          <w:rFonts w:ascii="Times New Roman" w:hAnsi="Times New Roman" w:cs="Times New Roman"/>
          <w:bCs/>
          <w:color w:val="000000"/>
          <w:sz w:val="24"/>
          <w:highlight w:val="none"/>
        </w:rPr>
        <w:t>）</w:t>
      </w:r>
      <w:r>
        <w:rPr>
          <w:rFonts w:ascii="Times New Roman" w:hAnsi="Times New Roman" w:cs="Times New Roman"/>
          <w:color w:val="000000"/>
          <w:sz w:val="24"/>
          <w:highlight w:val="none"/>
        </w:rPr>
        <w:t>废气量为</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5</w:t>
      </w:r>
      <w:r>
        <w:rPr>
          <w:rFonts w:ascii="Times New Roman" w:hAnsi="Times New Roman" w:cs="Times New Roman"/>
          <w:bCs/>
          <w:color w:val="000000"/>
          <w:sz w:val="24"/>
          <w:highlight w:val="none"/>
        </w:rPr>
        <w:t>）颗粒物</w:t>
      </w:r>
      <w:r>
        <w:rPr>
          <w:rFonts w:ascii="Times New Roman" w:hAnsi="Times New Roman" w:cs="Times New Roman"/>
          <w:color w:val="000000"/>
          <w:sz w:val="24"/>
          <w:highlight w:val="none"/>
        </w:rPr>
        <w:t>核定排放量=（废气量×浓度限值×10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w:t>
      </w:r>
      <w:r>
        <w:rPr>
          <w:rFonts w:hint="eastAsia" w:cs="Times New Roman"/>
          <w:color w:val="000000"/>
          <w:sz w:val="24"/>
          <w:highlight w:val="none"/>
          <w:lang w:val="en-US" w:eastAsia="zh-CN"/>
        </w:rPr>
        <w:t>8</w:t>
      </w:r>
      <w:r>
        <w:rPr>
          <w:rFonts w:ascii="Times New Roman" w:hAnsi="Times New Roman" w:cs="Times New Roman"/>
          <w:color w:val="000000"/>
          <w:sz w:val="24"/>
          <w:highlight w:val="none"/>
        </w:rPr>
        <w:t>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hint="eastAsia" w:cs="Times New Roman"/>
          <w:color w:val="000000"/>
          <w:sz w:val="24"/>
          <w:highlight w:val="none"/>
          <w:lang w:val="en-US" w:eastAsia="zh-CN"/>
        </w:rPr>
        <w:t>120</w:t>
      </w:r>
      <w:r>
        <w:rPr>
          <w:rFonts w:hint="eastAsia" w:ascii="Times New Roman" w:hAnsi="Times New Roman" w:cs="Times New Roman"/>
          <w:color w:val="000000"/>
          <w:sz w:val="24"/>
          <w:highlight w:val="none"/>
          <w:lang w:val="en-US" w:eastAsia="zh-CN"/>
        </w:rPr>
        <w:t>0</w:t>
      </w:r>
      <w:r>
        <w:rPr>
          <w:rFonts w:ascii="Times New Roman" w:hAnsi="Times New Roman" w:cs="Times New Roman"/>
          <w:color w:val="000000"/>
          <w:sz w:val="24"/>
          <w:highlight w:val="none"/>
        </w:rPr>
        <w:t>h/a×</w:t>
      </w:r>
      <w:r>
        <w:rPr>
          <w:rFonts w:hint="eastAsia" w:cs="Times New Roman"/>
          <w:color w:val="000000"/>
          <w:sz w:val="24"/>
          <w:highlight w:val="none"/>
          <w:lang w:val="en-US" w:eastAsia="zh-CN"/>
        </w:rPr>
        <w:t>1</w:t>
      </w:r>
      <w:r>
        <w:rPr>
          <w:rFonts w:ascii="Times New Roman" w:hAnsi="Times New Roman" w:cs="Times New Roman"/>
          <w:color w:val="000000"/>
          <w:sz w:val="24"/>
          <w:highlight w:val="none"/>
        </w:rPr>
        <w:t>0</w:t>
      </w:r>
      <w:r>
        <w:rPr>
          <w:rFonts w:ascii="Times New Roman" w:hAnsi="Times New Roman" w:cs="Times New Roman"/>
          <w:bCs/>
          <w:color w:val="000000"/>
          <w:sz w:val="24"/>
          <w:highlight w:val="none"/>
        </w:rPr>
        <w:t>mg/m</w:t>
      </w:r>
      <w:r>
        <w:rPr>
          <w:rFonts w:ascii="Times New Roman" w:hAnsi="Times New Roman" w:cs="Times New Roman"/>
          <w:bCs/>
          <w:color w:val="000000"/>
          <w:sz w:val="24"/>
          <w:highlight w:val="none"/>
          <w:vertAlign w:val="superscript"/>
        </w:rPr>
        <w:t>3</w:t>
      </w:r>
      <w:r>
        <w:rPr>
          <w:rFonts w:ascii="Times New Roman" w:hAnsi="Times New Roman" w:cs="Times New Roman"/>
          <w:color w:val="000000"/>
          <w:sz w:val="24"/>
          <w:highlight w:val="none"/>
        </w:rPr>
        <w:t>×10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=0.</w:t>
      </w:r>
      <w:r>
        <w:rPr>
          <w:rFonts w:hint="eastAsia" w:cs="Times New Roman"/>
          <w:color w:val="000000"/>
          <w:sz w:val="24"/>
          <w:highlight w:val="none"/>
          <w:lang w:val="en-US" w:eastAsia="zh-CN"/>
        </w:rPr>
        <w:t>096</w:t>
      </w:r>
      <w:r>
        <w:rPr>
          <w:rFonts w:ascii="Times New Roman" w:hAnsi="Times New Roman" w:cs="Times New Roman"/>
          <w:color w:val="000000"/>
          <w:sz w:val="24"/>
          <w:highlight w:val="none"/>
        </w:rPr>
        <w:t>t/a</w:t>
      </w:r>
      <w:r>
        <w:rPr>
          <w:rFonts w:hint="eastAsia" w:cs="Times New Roman"/>
          <w:color w:val="000000"/>
          <w:sz w:val="24"/>
          <w:highlight w:val="none"/>
          <w:lang w:eastAsia="zh-CN"/>
        </w:rPr>
        <w:t>。</w:t>
      </w:r>
    </w:p>
    <w:p>
      <w:pPr>
        <w:adjustRightInd w:val="0"/>
        <w:snapToGrid w:val="0"/>
        <w:spacing w:line="360" w:lineRule="auto"/>
        <w:ind w:firstLine="480" w:firstLineChars="200"/>
        <w:rPr>
          <w:rFonts w:ascii="Times New Roman" w:hAnsi="Times New Roman" w:cs="Times New Roman"/>
          <w:color w:val="000000"/>
          <w:sz w:val="24"/>
          <w:highlight w:val="none"/>
        </w:rPr>
      </w:pP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6</w:t>
      </w:r>
      <w:r>
        <w:rPr>
          <w:rFonts w:ascii="Times New Roman" w:hAnsi="Times New Roman" w:cs="Times New Roman"/>
          <w:bCs/>
          <w:color w:val="000000"/>
          <w:sz w:val="24"/>
          <w:highlight w:val="none"/>
        </w:rPr>
        <w:t>）</w:t>
      </w:r>
      <w:r>
        <w:rPr>
          <w:rFonts w:ascii="Times New Roman" w:hAnsi="Times New Roman" w:cs="Times New Roman"/>
          <w:color w:val="000000"/>
          <w:sz w:val="24"/>
          <w:highlight w:val="none"/>
        </w:rPr>
        <w:t>废气量为5000m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ascii="Times New Roman" w:hAnsi="Times New Roman" w:cs="Times New Roman"/>
          <w:bCs/>
          <w:color w:val="000000"/>
          <w:sz w:val="24"/>
          <w:highlight w:val="none"/>
        </w:rPr>
        <w:t>排气筒（DA00</w:t>
      </w:r>
      <w:r>
        <w:rPr>
          <w:rFonts w:hint="eastAsia" w:cs="Times New Roman"/>
          <w:bCs/>
          <w:color w:val="000000"/>
          <w:sz w:val="24"/>
          <w:highlight w:val="none"/>
          <w:lang w:val="en-US" w:eastAsia="zh-CN"/>
        </w:rPr>
        <w:t>6</w:t>
      </w:r>
      <w:r>
        <w:rPr>
          <w:rFonts w:ascii="Times New Roman" w:hAnsi="Times New Roman" w:cs="Times New Roman"/>
          <w:bCs/>
          <w:color w:val="000000"/>
          <w:sz w:val="24"/>
          <w:highlight w:val="none"/>
        </w:rPr>
        <w:t>）颗粒物</w:t>
      </w:r>
      <w:r>
        <w:rPr>
          <w:rFonts w:ascii="Times New Roman" w:hAnsi="Times New Roman" w:cs="Times New Roman"/>
          <w:color w:val="000000"/>
          <w:sz w:val="24"/>
          <w:highlight w:val="none"/>
        </w:rPr>
        <w:t>核定排放量=（废气量×浓度限值×10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）=5000m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/h×</w:t>
      </w:r>
      <w:r>
        <w:rPr>
          <w:rFonts w:hint="eastAsia" w:cs="Times New Roman"/>
          <w:color w:val="000000"/>
          <w:sz w:val="24"/>
          <w:highlight w:val="none"/>
          <w:lang w:val="en-US" w:eastAsia="zh-CN"/>
        </w:rPr>
        <w:t>1200</w:t>
      </w:r>
      <w:r>
        <w:rPr>
          <w:rFonts w:hint="eastAsia" w:ascii="Times New Roman" w:hAnsi="Times New Roman" w:cs="Times New Roman"/>
          <w:color w:val="000000"/>
          <w:sz w:val="24"/>
          <w:highlight w:val="none"/>
          <w:lang w:val="en-US" w:eastAsia="zh-CN"/>
        </w:rPr>
        <w:t>0</w:t>
      </w:r>
      <w:r>
        <w:rPr>
          <w:rFonts w:ascii="Times New Roman" w:hAnsi="Times New Roman" w:cs="Times New Roman"/>
          <w:color w:val="000000"/>
          <w:sz w:val="24"/>
          <w:highlight w:val="none"/>
        </w:rPr>
        <w:t>h/a×</w:t>
      </w:r>
      <w:r>
        <w:rPr>
          <w:rFonts w:hint="eastAsia" w:cs="Times New Roman"/>
          <w:color w:val="000000"/>
          <w:sz w:val="24"/>
          <w:highlight w:val="none"/>
          <w:lang w:val="en-US" w:eastAsia="zh-CN"/>
        </w:rPr>
        <w:t>10</w:t>
      </w:r>
      <w:r>
        <w:rPr>
          <w:rFonts w:ascii="Times New Roman" w:hAnsi="Times New Roman" w:cs="Times New Roman"/>
          <w:bCs/>
          <w:color w:val="000000"/>
          <w:sz w:val="24"/>
          <w:highlight w:val="none"/>
        </w:rPr>
        <w:t>mg/m</w:t>
      </w:r>
      <w:r>
        <w:rPr>
          <w:rFonts w:ascii="Times New Roman" w:hAnsi="Times New Roman" w:cs="Times New Roman"/>
          <w:bCs/>
          <w:color w:val="000000"/>
          <w:sz w:val="24"/>
          <w:highlight w:val="none"/>
          <w:vertAlign w:val="superscript"/>
        </w:rPr>
        <w:t>3</w:t>
      </w:r>
      <w:r>
        <w:rPr>
          <w:rFonts w:ascii="Times New Roman" w:hAnsi="Times New Roman" w:cs="Times New Roman"/>
          <w:color w:val="000000"/>
          <w:sz w:val="24"/>
          <w:highlight w:val="none"/>
        </w:rPr>
        <w:t>×10</w:t>
      </w:r>
      <w:r>
        <w:rPr>
          <w:rFonts w:ascii="Times New Roman" w:hAnsi="Times New Roman" w:cs="Times New Roman"/>
          <w:color w:val="000000"/>
          <w:sz w:val="24"/>
          <w:highlight w:val="none"/>
          <w:vertAlign w:val="superscript"/>
        </w:rPr>
        <w:t>-9</w:t>
      </w:r>
      <w:r>
        <w:rPr>
          <w:rFonts w:ascii="Times New Roman" w:hAnsi="Times New Roman" w:cs="Times New Roman"/>
          <w:color w:val="000000"/>
          <w:sz w:val="24"/>
          <w:highlight w:val="none"/>
        </w:rPr>
        <w:t>=0.</w:t>
      </w:r>
      <w:r>
        <w:rPr>
          <w:rFonts w:hint="eastAsia" w:cs="Times New Roman"/>
          <w:color w:val="000000"/>
          <w:sz w:val="24"/>
          <w:highlight w:val="none"/>
          <w:lang w:val="en-US" w:eastAsia="zh-CN"/>
        </w:rPr>
        <w:t>060</w:t>
      </w:r>
      <w:r>
        <w:rPr>
          <w:rFonts w:ascii="Times New Roman" w:hAnsi="Times New Roman" w:cs="Times New Roman"/>
          <w:color w:val="000000"/>
          <w:sz w:val="24"/>
          <w:highlight w:val="none"/>
        </w:rPr>
        <w:t>t/a</w:t>
      </w:r>
    </w:p>
    <w:p>
      <w:pPr>
        <w:adjustRightInd w:val="0"/>
        <w:snapToGrid w:val="0"/>
        <w:spacing w:line="360" w:lineRule="auto"/>
        <w:ind w:firstLine="480" w:firstLineChars="200"/>
        <w:rPr>
          <w:rFonts w:ascii="Times New Roman" w:hAnsi="Times New Roman" w:cs="Times New Roman"/>
          <w:color w:val="000000"/>
          <w:sz w:val="24"/>
          <w:highlight w:val="none"/>
        </w:rPr>
      </w:pPr>
      <w:r>
        <w:rPr>
          <w:rFonts w:ascii="Times New Roman" w:hAnsi="Times New Roman" w:cs="Times New Roman"/>
          <w:color w:val="000000"/>
          <w:sz w:val="24"/>
          <w:highlight w:val="none"/>
        </w:rPr>
        <w:t>颗粒物无组织排放量</w:t>
      </w:r>
      <w:r>
        <w:rPr>
          <w:rFonts w:hint="eastAsia" w:cs="Times New Roman"/>
          <w:color w:val="000000"/>
          <w:sz w:val="24"/>
          <w:highlight w:val="none"/>
          <w:lang w:val="en-US" w:eastAsia="zh-CN"/>
        </w:rPr>
        <w:t>0.12</w:t>
      </w:r>
      <w:r>
        <w:rPr>
          <w:rFonts w:ascii="Times New Roman" w:hAnsi="Times New Roman" w:cs="Times New Roman"/>
          <w:color w:val="000000"/>
          <w:sz w:val="24"/>
          <w:highlight w:val="none"/>
        </w:rPr>
        <w:t>t/a。</w:t>
      </w:r>
    </w:p>
    <w:p>
      <w:pPr>
        <w:adjustRightInd w:val="0"/>
        <w:snapToGrid w:val="0"/>
        <w:spacing w:line="360" w:lineRule="auto"/>
        <w:ind w:firstLine="480" w:firstLineChars="200"/>
        <w:rPr>
          <w:rFonts w:ascii="Times New Roman" w:hAnsi="Times New Roman" w:cs="Times New Roman"/>
          <w:color w:val="000000"/>
          <w:sz w:val="24"/>
          <w:highlight w:val="none"/>
        </w:rPr>
      </w:pPr>
      <w:r>
        <w:rPr>
          <w:rFonts w:ascii="Times New Roman" w:hAnsi="Times New Roman" w:cs="Times New Roman"/>
          <w:color w:val="000000"/>
          <w:sz w:val="24"/>
          <w:highlight w:val="none"/>
        </w:rPr>
        <w:t>因此，本项目颗粒物核定排放量为</w:t>
      </w:r>
      <w:r>
        <w:rPr>
          <w:rFonts w:hint="eastAsia" w:cs="Times New Roman"/>
          <w:color w:val="000000"/>
          <w:sz w:val="24"/>
          <w:highlight w:val="none"/>
          <w:lang w:val="en-US" w:eastAsia="zh-CN"/>
        </w:rPr>
        <w:t>0.66</w:t>
      </w:r>
      <w:r>
        <w:rPr>
          <w:rFonts w:ascii="Times New Roman" w:hAnsi="Times New Roman" w:cs="Times New Roman"/>
          <w:color w:val="000000"/>
          <w:sz w:val="24"/>
          <w:highlight w:val="none"/>
        </w:rPr>
        <w:t>t/a。</w:t>
      </w:r>
    </w:p>
    <w:p>
      <w:pPr>
        <w:pStyle w:val="24"/>
        <w:tabs>
          <w:tab w:val="right" w:leader="dot" w:pos="8720"/>
        </w:tabs>
        <w:jc w:val="center"/>
        <w:rPr>
          <w:rFonts w:ascii="Times New Roman" w:hAnsi="Times New Roman" w:cs="Times New Roman"/>
          <w:color w:val="000000"/>
          <w:sz w:val="24"/>
          <w:highlight w:val="none"/>
        </w:rPr>
      </w:pPr>
      <w:r>
        <w:rPr>
          <w:rFonts w:ascii="Times New Roman" w:hAnsi="Times New Roman" w:cs="Times New Roman"/>
          <w:b/>
          <w:bCs/>
          <w:color w:val="000000"/>
          <w:sz w:val="24"/>
          <w:highlight w:val="none"/>
        </w:rPr>
        <w:t>本项目大气污染物总量控制指标一览表</w:t>
      </w:r>
      <w:r>
        <w:rPr>
          <w:rFonts w:ascii="Times New Roman" w:hAnsi="Times New Roman" w:cs="Times New Roman"/>
          <w:color w:val="000000"/>
          <w:sz w:val="24"/>
          <w:highlight w:val="none"/>
        </w:rPr>
        <w:t>（单位：t/a）</w:t>
      </w:r>
    </w:p>
    <w:tbl>
      <w:tblPr>
        <w:tblStyle w:val="32"/>
        <w:tblW w:w="884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417"/>
        <w:gridCol w:w="4425"/>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323" w:hRule="atLeast"/>
          <w:jc w:val="center"/>
        </w:trPr>
        <w:tc>
          <w:tcPr>
            <w:tcW w:w="4417" w:type="dxa"/>
            <w:noWrap w:val="0"/>
            <w:vAlign w:val="center"/>
          </w:tcPr>
          <w:p>
            <w:pPr>
              <w:pStyle w:val="24"/>
              <w:tabs>
                <w:tab w:val="right" w:leader="dot" w:pos="8720"/>
              </w:tabs>
              <w:jc w:val="center"/>
              <w:rPr>
                <w:rFonts w:ascii="Times New Roman" w:hAnsi="Times New Roman"/>
                <w:color w:val="000000"/>
                <w:sz w:val="21"/>
                <w:szCs w:val="21"/>
                <w:highlight w:val="none"/>
              </w:rPr>
            </w:pPr>
            <w:r>
              <w:rPr>
                <w:rFonts w:ascii="Times New Roman" w:hAnsi="Times New Roman"/>
                <w:color w:val="000000"/>
                <w:sz w:val="21"/>
                <w:szCs w:val="21"/>
                <w:highlight w:val="none"/>
              </w:rPr>
              <w:t>污染因子</w:t>
            </w:r>
          </w:p>
        </w:tc>
        <w:tc>
          <w:tcPr>
            <w:tcW w:w="4425" w:type="dxa"/>
            <w:noWrap w:val="0"/>
            <w:vAlign w:val="center"/>
          </w:tcPr>
          <w:p>
            <w:pPr>
              <w:pStyle w:val="24"/>
              <w:tabs>
                <w:tab w:val="right" w:leader="dot" w:pos="8720"/>
              </w:tabs>
              <w:jc w:val="center"/>
              <w:rPr>
                <w:rFonts w:ascii="Times New Roman" w:hAnsi="Times New Roman"/>
                <w:color w:val="000000"/>
                <w:sz w:val="21"/>
                <w:szCs w:val="21"/>
                <w:highlight w:val="none"/>
              </w:rPr>
            </w:pPr>
            <w:r>
              <w:rPr>
                <w:rFonts w:ascii="Times New Roman" w:hAnsi="Times New Roman"/>
                <w:color w:val="000000"/>
                <w:sz w:val="21"/>
                <w:szCs w:val="21"/>
                <w:highlight w:val="none"/>
              </w:rPr>
              <w:t>核定排放量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17" w:type="dxa"/>
            <w:noWrap w:val="0"/>
            <w:vAlign w:val="center"/>
          </w:tcPr>
          <w:p>
            <w:pPr>
              <w:pStyle w:val="24"/>
              <w:tabs>
                <w:tab w:val="right" w:leader="dot" w:pos="8720"/>
              </w:tabs>
              <w:jc w:val="center"/>
              <w:rPr>
                <w:rFonts w:ascii="Times New Roman" w:hAnsi="Times New Roman"/>
                <w:color w:val="000000"/>
                <w:sz w:val="21"/>
                <w:szCs w:val="21"/>
                <w:highlight w:val="none"/>
              </w:rPr>
            </w:pPr>
            <w:r>
              <w:rPr>
                <w:rFonts w:ascii="Times New Roman" w:hAnsi="Times New Roman"/>
                <w:color w:val="000000"/>
                <w:sz w:val="21"/>
                <w:szCs w:val="21"/>
                <w:highlight w:val="none"/>
              </w:rPr>
              <w:t>颗粒物</w:t>
            </w:r>
          </w:p>
        </w:tc>
        <w:tc>
          <w:tcPr>
            <w:tcW w:w="4425" w:type="dxa"/>
            <w:noWrap w:val="0"/>
            <w:vAlign w:val="center"/>
          </w:tcPr>
          <w:p>
            <w:pPr>
              <w:pStyle w:val="24"/>
              <w:tabs>
                <w:tab w:val="right" w:leader="dot" w:pos="8720"/>
              </w:tabs>
              <w:jc w:val="center"/>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0.66</w:t>
            </w:r>
          </w:p>
        </w:tc>
      </w:tr>
    </w:tbl>
    <w:p>
      <w:pPr>
        <w:spacing w:line="360" w:lineRule="auto"/>
        <w:ind w:firstLine="480"/>
        <w:rPr>
          <w:rFonts w:hint="default" w:ascii="Times New Roman" w:hAnsi="Times New Roman" w:eastAsia="宋体" w:cs="Times New Roman"/>
          <w:i w:val="0"/>
          <w:iCs w:val="0"/>
          <w:color w:val="auto"/>
          <w:highlight w:val="none"/>
          <w:u w:val="none"/>
        </w:rPr>
      </w:pP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sectPr>
          <w:pgSz w:w="11906" w:h="16838"/>
          <w:pgMar w:top="1701" w:right="1531" w:bottom="1701" w:left="1531" w:header="851" w:footer="992" w:gutter="0"/>
          <w:cols w:space="425" w:num="1"/>
          <w:docGrid w:linePitch="312" w:charSpace="0"/>
        </w:sectPr>
      </w:pPr>
    </w:p>
    <w:p>
      <w:pPr>
        <w:pStyle w:val="63"/>
        <w:ind w:firstLine="0" w:firstLineChars="0"/>
        <w:jc w:val="both"/>
      </w:pPr>
    </w:p>
    <w:sectPr>
      <w:pgSz w:w="11906" w:h="16838"/>
      <w:pgMar w:top="1701" w:right="1531" w:bottom="1701" w:left="1531"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515056507"/>
    </w:sdtPr>
    <w:sdtEndPr>
      <w:rPr>
        <w:sz w:val="21"/>
        <w:szCs w:val="21"/>
      </w:rPr>
    </w:sdtEndPr>
    <w:sdtContent>
      <w:p>
        <w:pPr>
          <w:pStyle w:val="2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59</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733A5"/>
    <w:multiLevelType w:val="singleLevel"/>
    <w:tmpl w:val="82A733A5"/>
    <w:lvl w:ilvl="0" w:tentative="0">
      <w:start w:val="1"/>
      <w:numFmt w:val="decimal"/>
      <w:suff w:val="nothing"/>
      <w:lvlText w:val="%1、"/>
      <w:lvlJc w:val="left"/>
    </w:lvl>
  </w:abstractNum>
  <w:abstractNum w:abstractNumId="1">
    <w:nsid w:val="8FDBAE81"/>
    <w:multiLevelType w:val="singleLevel"/>
    <w:tmpl w:val="8FDBAE81"/>
    <w:lvl w:ilvl="0" w:tentative="0">
      <w:start w:val="1"/>
      <w:numFmt w:val="decimal"/>
      <w:suff w:val="nothing"/>
      <w:lvlText w:val="（%1）"/>
      <w:lvlJc w:val="left"/>
    </w:lvl>
  </w:abstractNum>
  <w:abstractNum w:abstractNumId="2">
    <w:nsid w:val="97AE526C"/>
    <w:multiLevelType w:val="singleLevel"/>
    <w:tmpl w:val="97AE526C"/>
    <w:lvl w:ilvl="0" w:tentative="0">
      <w:start w:val="2"/>
      <w:numFmt w:val="decimal"/>
      <w:suff w:val="nothing"/>
      <w:lvlText w:val="（%1）"/>
      <w:lvlJc w:val="left"/>
    </w:lvl>
  </w:abstractNum>
  <w:abstractNum w:abstractNumId="3">
    <w:nsid w:val="A3598B1D"/>
    <w:multiLevelType w:val="singleLevel"/>
    <w:tmpl w:val="A3598B1D"/>
    <w:lvl w:ilvl="0" w:tentative="0">
      <w:start w:val="1"/>
      <w:numFmt w:val="decimal"/>
      <w:suff w:val="nothing"/>
      <w:lvlText w:val="%1、"/>
      <w:lvlJc w:val="left"/>
    </w:lvl>
  </w:abstractNum>
  <w:abstractNum w:abstractNumId="4">
    <w:nsid w:val="AA93E183"/>
    <w:multiLevelType w:val="singleLevel"/>
    <w:tmpl w:val="AA93E183"/>
    <w:lvl w:ilvl="0" w:tentative="0">
      <w:start w:val="1"/>
      <w:numFmt w:val="decimal"/>
      <w:pStyle w:val="71"/>
      <w:suff w:val="nothing"/>
      <w:lvlText w:val="图%1 "/>
      <w:lvlJc w:val="left"/>
      <w:pPr>
        <w:tabs>
          <w:tab w:val="left" w:pos="0"/>
        </w:tabs>
        <w:ind w:left="0" w:firstLine="0"/>
      </w:pPr>
      <w:rPr>
        <w:rFonts w:hint="default" w:ascii="宋体" w:hAnsi="宋体" w:eastAsia="宋体" w:cs="宋体"/>
        <w:color w:val="auto"/>
      </w:rPr>
    </w:lvl>
  </w:abstractNum>
  <w:abstractNum w:abstractNumId="5">
    <w:nsid w:val="C6ACB3A8"/>
    <w:multiLevelType w:val="singleLevel"/>
    <w:tmpl w:val="C6ACB3A8"/>
    <w:lvl w:ilvl="0" w:tentative="0">
      <w:start w:val="1"/>
      <w:numFmt w:val="decimal"/>
      <w:pStyle w:val="60"/>
      <w:suff w:val="nothing"/>
      <w:lvlText w:val="表1-%1"/>
      <w:lvlJc w:val="left"/>
      <w:pPr>
        <w:tabs>
          <w:tab w:val="left" w:pos="0"/>
        </w:tabs>
        <w:ind w:left="0" w:firstLine="0"/>
      </w:pPr>
      <w:rPr>
        <w:rFonts w:hint="default" w:ascii="宋体" w:hAnsi="宋体" w:eastAsia="宋体" w:cs="宋体"/>
      </w:rPr>
    </w:lvl>
  </w:abstractNum>
  <w:abstractNum w:abstractNumId="6">
    <w:nsid w:val="0D4E87FF"/>
    <w:multiLevelType w:val="singleLevel"/>
    <w:tmpl w:val="0D4E87FF"/>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7">
    <w:nsid w:val="11F855BB"/>
    <w:multiLevelType w:val="singleLevel"/>
    <w:tmpl w:val="11F855BB"/>
    <w:lvl w:ilvl="0" w:tentative="0">
      <w:start w:val="1"/>
      <w:numFmt w:val="decimal"/>
      <w:suff w:val="nothing"/>
      <w:lvlText w:val="%1、"/>
      <w:lvlJc w:val="left"/>
    </w:lvl>
  </w:abstractNum>
  <w:abstractNum w:abstractNumId="8">
    <w:nsid w:val="16C8005F"/>
    <w:multiLevelType w:val="singleLevel"/>
    <w:tmpl w:val="16C8005F"/>
    <w:lvl w:ilvl="0" w:tentative="0">
      <w:start w:val="1"/>
      <w:numFmt w:val="decimal"/>
      <w:suff w:val="nothing"/>
      <w:lvlText w:val="%1、"/>
      <w:lvlJc w:val="left"/>
      <w:pPr>
        <w:ind w:left="-2"/>
      </w:pPr>
    </w:lvl>
  </w:abstractNum>
  <w:abstractNum w:abstractNumId="9">
    <w:nsid w:val="28808C9B"/>
    <w:multiLevelType w:val="singleLevel"/>
    <w:tmpl w:val="28808C9B"/>
    <w:lvl w:ilvl="0" w:tentative="0">
      <w:start w:val="5"/>
      <w:numFmt w:val="decimal"/>
      <w:suff w:val="nothing"/>
      <w:lvlText w:val="（%1）"/>
      <w:lvlJc w:val="left"/>
    </w:lvl>
  </w:abstractNum>
  <w:abstractNum w:abstractNumId="10">
    <w:nsid w:val="450E982E"/>
    <w:multiLevelType w:val="singleLevel"/>
    <w:tmpl w:val="450E982E"/>
    <w:lvl w:ilvl="0" w:tentative="0">
      <w:start w:val="1"/>
      <w:numFmt w:val="decimal"/>
      <w:suff w:val="nothing"/>
      <w:lvlText w:val="%1、"/>
      <w:lvlJc w:val="left"/>
    </w:lvl>
  </w:abstractNum>
  <w:abstractNum w:abstractNumId="11">
    <w:nsid w:val="574ABBFD"/>
    <w:multiLevelType w:val="singleLevel"/>
    <w:tmpl w:val="574ABBFD"/>
    <w:lvl w:ilvl="0" w:tentative="0">
      <w:start w:val="1"/>
      <w:numFmt w:val="chineseCounting"/>
      <w:suff w:val="nothing"/>
      <w:lvlText w:val="%1、"/>
      <w:lvlJc w:val="left"/>
      <w:rPr>
        <w:rFonts w:hint="eastAsia"/>
      </w:rPr>
    </w:lvl>
  </w:abstractNum>
  <w:num w:numId="1">
    <w:abstractNumId w:val="6"/>
  </w:num>
  <w:num w:numId="2">
    <w:abstractNumId w:val="5"/>
  </w:num>
  <w:num w:numId="3">
    <w:abstractNumId w:val="4"/>
  </w:num>
  <w:num w:numId="4">
    <w:abstractNumId w:val="8"/>
  </w:num>
  <w:num w:numId="5">
    <w:abstractNumId w:val="0"/>
  </w:num>
  <w:num w:numId="6">
    <w:abstractNumId w:val="9"/>
  </w:num>
  <w:num w:numId="7">
    <w:abstractNumId w:val="11"/>
  </w:num>
  <w:num w:numId="8">
    <w:abstractNumId w:val="7"/>
  </w:num>
  <w:num w:numId="9">
    <w:abstractNumId w:val="2"/>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ljNWE5ZDExN2Y1YWUyZDk0MjUwYjI2OTQyMzM4ZDEifQ=="/>
  </w:docVars>
  <w:rsids>
    <w:rsidRoot w:val="00172A27"/>
    <w:rsid w:val="00007896"/>
    <w:rsid w:val="000134B7"/>
    <w:rsid w:val="00016B35"/>
    <w:rsid w:val="00020D44"/>
    <w:rsid w:val="0002316C"/>
    <w:rsid w:val="00025C05"/>
    <w:rsid w:val="00030478"/>
    <w:rsid w:val="000579DD"/>
    <w:rsid w:val="000625CF"/>
    <w:rsid w:val="00062A08"/>
    <w:rsid w:val="000659CF"/>
    <w:rsid w:val="0007444C"/>
    <w:rsid w:val="000802DE"/>
    <w:rsid w:val="0008164A"/>
    <w:rsid w:val="000877C2"/>
    <w:rsid w:val="00090EA8"/>
    <w:rsid w:val="00094C6C"/>
    <w:rsid w:val="000A0E24"/>
    <w:rsid w:val="000B1259"/>
    <w:rsid w:val="000C532E"/>
    <w:rsid w:val="000C60B0"/>
    <w:rsid w:val="000C67C5"/>
    <w:rsid w:val="000D20CE"/>
    <w:rsid w:val="000D5837"/>
    <w:rsid w:val="000D7983"/>
    <w:rsid w:val="000E1E7C"/>
    <w:rsid w:val="000E2517"/>
    <w:rsid w:val="000E38EB"/>
    <w:rsid w:val="000E6CCB"/>
    <w:rsid w:val="000E7D96"/>
    <w:rsid w:val="000F0BCB"/>
    <w:rsid w:val="000F2586"/>
    <w:rsid w:val="000F405F"/>
    <w:rsid w:val="000F638B"/>
    <w:rsid w:val="001001B1"/>
    <w:rsid w:val="00102872"/>
    <w:rsid w:val="001129C0"/>
    <w:rsid w:val="00126BB4"/>
    <w:rsid w:val="00133D04"/>
    <w:rsid w:val="00135314"/>
    <w:rsid w:val="00142939"/>
    <w:rsid w:val="00143311"/>
    <w:rsid w:val="001441BC"/>
    <w:rsid w:val="00146E2A"/>
    <w:rsid w:val="00150EAD"/>
    <w:rsid w:val="0015443C"/>
    <w:rsid w:val="00165DF0"/>
    <w:rsid w:val="00172A27"/>
    <w:rsid w:val="00182194"/>
    <w:rsid w:val="00185ABE"/>
    <w:rsid w:val="001A0503"/>
    <w:rsid w:val="001C5A72"/>
    <w:rsid w:val="001C6E65"/>
    <w:rsid w:val="001C7B78"/>
    <w:rsid w:val="001D39AF"/>
    <w:rsid w:val="001D7775"/>
    <w:rsid w:val="001F5658"/>
    <w:rsid w:val="00201FF6"/>
    <w:rsid w:val="00223DBF"/>
    <w:rsid w:val="002335F7"/>
    <w:rsid w:val="00237773"/>
    <w:rsid w:val="002378B3"/>
    <w:rsid w:val="002437E9"/>
    <w:rsid w:val="002456BC"/>
    <w:rsid w:val="00265636"/>
    <w:rsid w:val="00266910"/>
    <w:rsid w:val="002713FF"/>
    <w:rsid w:val="00285002"/>
    <w:rsid w:val="002850EF"/>
    <w:rsid w:val="002867FC"/>
    <w:rsid w:val="002A0AF1"/>
    <w:rsid w:val="002A1985"/>
    <w:rsid w:val="002A75D7"/>
    <w:rsid w:val="002B09B0"/>
    <w:rsid w:val="002B7BB0"/>
    <w:rsid w:val="002C0CF4"/>
    <w:rsid w:val="002D03F1"/>
    <w:rsid w:val="002D3F6C"/>
    <w:rsid w:val="002E3A96"/>
    <w:rsid w:val="002E3E45"/>
    <w:rsid w:val="002F43A3"/>
    <w:rsid w:val="003200E9"/>
    <w:rsid w:val="00336B86"/>
    <w:rsid w:val="003409D8"/>
    <w:rsid w:val="00357348"/>
    <w:rsid w:val="003678C6"/>
    <w:rsid w:val="003706F6"/>
    <w:rsid w:val="00371219"/>
    <w:rsid w:val="0037261C"/>
    <w:rsid w:val="00372D5F"/>
    <w:rsid w:val="00382604"/>
    <w:rsid w:val="003925D9"/>
    <w:rsid w:val="00395D8E"/>
    <w:rsid w:val="00396FAF"/>
    <w:rsid w:val="003A078B"/>
    <w:rsid w:val="003A425B"/>
    <w:rsid w:val="003A46C0"/>
    <w:rsid w:val="003A7547"/>
    <w:rsid w:val="003C6826"/>
    <w:rsid w:val="003C7AFA"/>
    <w:rsid w:val="003D3A17"/>
    <w:rsid w:val="003E58B6"/>
    <w:rsid w:val="003F512D"/>
    <w:rsid w:val="00403D5C"/>
    <w:rsid w:val="004109B6"/>
    <w:rsid w:val="00441F66"/>
    <w:rsid w:val="00442244"/>
    <w:rsid w:val="00447B28"/>
    <w:rsid w:val="00453491"/>
    <w:rsid w:val="004547AE"/>
    <w:rsid w:val="00454D24"/>
    <w:rsid w:val="004672B9"/>
    <w:rsid w:val="0049338E"/>
    <w:rsid w:val="004962A3"/>
    <w:rsid w:val="004A223F"/>
    <w:rsid w:val="004A4352"/>
    <w:rsid w:val="004A62ED"/>
    <w:rsid w:val="004B02BE"/>
    <w:rsid w:val="004B17AB"/>
    <w:rsid w:val="004B5AE7"/>
    <w:rsid w:val="004C686E"/>
    <w:rsid w:val="004D31FB"/>
    <w:rsid w:val="004D3FDE"/>
    <w:rsid w:val="004D50D2"/>
    <w:rsid w:val="004D575A"/>
    <w:rsid w:val="004D6A88"/>
    <w:rsid w:val="004D7151"/>
    <w:rsid w:val="004D76A7"/>
    <w:rsid w:val="004D792A"/>
    <w:rsid w:val="004F434A"/>
    <w:rsid w:val="004F4702"/>
    <w:rsid w:val="004F547E"/>
    <w:rsid w:val="004F71F2"/>
    <w:rsid w:val="005001F6"/>
    <w:rsid w:val="00505AC8"/>
    <w:rsid w:val="005154FC"/>
    <w:rsid w:val="00523E05"/>
    <w:rsid w:val="00554B81"/>
    <w:rsid w:val="005563B8"/>
    <w:rsid w:val="00565A86"/>
    <w:rsid w:val="00571D56"/>
    <w:rsid w:val="00581B88"/>
    <w:rsid w:val="00594F3D"/>
    <w:rsid w:val="005A005C"/>
    <w:rsid w:val="005B28BA"/>
    <w:rsid w:val="005B4C32"/>
    <w:rsid w:val="005B7B0E"/>
    <w:rsid w:val="005C0F3F"/>
    <w:rsid w:val="005C1E3D"/>
    <w:rsid w:val="005C6ADC"/>
    <w:rsid w:val="005D1698"/>
    <w:rsid w:val="005D4908"/>
    <w:rsid w:val="005D6E3A"/>
    <w:rsid w:val="005D7B53"/>
    <w:rsid w:val="005E7874"/>
    <w:rsid w:val="005F5D85"/>
    <w:rsid w:val="00600D95"/>
    <w:rsid w:val="0060285F"/>
    <w:rsid w:val="0060555F"/>
    <w:rsid w:val="00612EDE"/>
    <w:rsid w:val="00615AAB"/>
    <w:rsid w:val="0062487A"/>
    <w:rsid w:val="00636DBB"/>
    <w:rsid w:val="00650E7B"/>
    <w:rsid w:val="0065115A"/>
    <w:rsid w:val="006558FF"/>
    <w:rsid w:val="00675481"/>
    <w:rsid w:val="006827EC"/>
    <w:rsid w:val="00685759"/>
    <w:rsid w:val="00685AD4"/>
    <w:rsid w:val="00690874"/>
    <w:rsid w:val="006A4D6B"/>
    <w:rsid w:val="006A4E36"/>
    <w:rsid w:val="006C0B15"/>
    <w:rsid w:val="006C532B"/>
    <w:rsid w:val="006E0D2B"/>
    <w:rsid w:val="006E6660"/>
    <w:rsid w:val="006F53FD"/>
    <w:rsid w:val="0070055D"/>
    <w:rsid w:val="0070517D"/>
    <w:rsid w:val="007175B1"/>
    <w:rsid w:val="00732D22"/>
    <w:rsid w:val="007332A0"/>
    <w:rsid w:val="00740CD0"/>
    <w:rsid w:val="00744E0A"/>
    <w:rsid w:val="00746D2A"/>
    <w:rsid w:val="0075336F"/>
    <w:rsid w:val="0076749B"/>
    <w:rsid w:val="00773025"/>
    <w:rsid w:val="00792EC3"/>
    <w:rsid w:val="00792F6A"/>
    <w:rsid w:val="00797E24"/>
    <w:rsid w:val="007E14F7"/>
    <w:rsid w:val="007E6BFE"/>
    <w:rsid w:val="007F1DC2"/>
    <w:rsid w:val="008038B9"/>
    <w:rsid w:val="00805B1C"/>
    <w:rsid w:val="00807D29"/>
    <w:rsid w:val="00814001"/>
    <w:rsid w:val="00823952"/>
    <w:rsid w:val="00824374"/>
    <w:rsid w:val="008335A3"/>
    <w:rsid w:val="00842032"/>
    <w:rsid w:val="00845407"/>
    <w:rsid w:val="0085590E"/>
    <w:rsid w:val="008611BF"/>
    <w:rsid w:val="0086283D"/>
    <w:rsid w:val="008640E8"/>
    <w:rsid w:val="00866EDF"/>
    <w:rsid w:val="00886C3A"/>
    <w:rsid w:val="008A468F"/>
    <w:rsid w:val="008B7E28"/>
    <w:rsid w:val="008C0B8F"/>
    <w:rsid w:val="008D7627"/>
    <w:rsid w:val="008F114A"/>
    <w:rsid w:val="008F481A"/>
    <w:rsid w:val="00901412"/>
    <w:rsid w:val="0090571B"/>
    <w:rsid w:val="00906786"/>
    <w:rsid w:val="00906F27"/>
    <w:rsid w:val="009344A8"/>
    <w:rsid w:val="009355B0"/>
    <w:rsid w:val="0095598D"/>
    <w:rsid w:val="0095649C"/>
    <w:rsid w:val="009626C4"/>
    <w:rsid w:val="00963BCD"/>
    <w:rsid w:val="00971AFA"/>
    <w:rsid w:val="00974208"/>
    <w:rsid w:val="00975AE1"/>
    <w:rsid w:val="00975AF5"/>
    <w:rsid w:val="009829E9"/>
    <w:rsid w:val="00987B21"/>
    <w:rsid w:val="00992956"/>
    <w:rsid w:val="0099732D"/>
    <w:rsid w:val="009A5112"/>
    <w:rsid w:val="009A7156"/>
    <w:rsid w:val="009B1058"/>
    <w:rsid w:val="009C4B43"/>
    <w:rsid w:val="009C5BA5"/>
    <w:rsid w:val="009D5107"/>
    <w:rsid w:val="009D7621"/>
    <w:rsid w:val="009F1E40"/>
    <w:rsid w:val="00A17A48"/>
    <w:rsid w:val="00A255F1"/>
    <w:rsid w:val="00A258DF"/>
    <w:rsid w:val="00A27D87"/>
    <w:rsid w:val="00A362CE"/>
    <w:rsid w:val="00A40656"/>
    <w:rsid w:val="00A63555"/>
    <w:rsid w:val="00A75B5E"/>
    <w:rsid w:val="00A86354"/>
    <w:rsid w:val="00A910FF"/>
    <w:rsid w:val="00A95214"/>
    <w:rsid w:val="00AA51AE"/>
    <w:rsid w:val="00AA5C7F"/>
    <w:rsid w:val="00AA784D"/>
    <w:rsid w:val="00AB6DF2"/>
    <w:rsid w:val="00AC45FA"/>
    <w:rsid w:val="00AD1C34"/>
    <w:rsid w:val="00AD2518"/>
    <w:rsid w:val="00AE0F4F"/>
    <w:rsid w:val="00AE66B3"/>
    <w:rsid w:val="00AF0F50"/>
    <w:rsid w:val="00AF354F"/>
    <w:rsid w:val="00B04083"/>
    <w:rsid w:val="00B14B7F"/>
    <w:rsid w:val="00B23FB6"/>
    <w:rsid w:val="00B243FD"/>
    <w:rsid w:val="00B2580D"/>
    <w:rsid w:val="00B43C9E"/>
    <w:rsid w:val="00B52535"/>
    <w:rsid w:val="00B612B9"/>
    <w:rsid w:val="00B81F3D"/>
    <w:rsid w:val="00B95EF6"/>
    <w:rsid w:val="00BA49A8"/>
    <w:rsid w:val="00BA612A"/>
    <w:rsid w:val="00BB0CDC"/>
    <w:rsid w:val="00BB1CFB"/>
    <w:rsid w:val="00BB3394"/>
    <w:rsid w:val="00BD16B7"/>
    <w:rsid w:val="00BD44F4"/>
    <w:rsid w:val="00BE1480"/>
    <w:rsid w:val="00BE5A01"/>
    <w:rsid w:val="00BE6DFC"/>
    <w:rsid w:val="00BE7625"/>
    <w:rsid w:val="00C018CC"/>
    <w:rsid w:val="00C055A7"/>
    <w:rsid w:val="00C15577"/>
    <w:rsid w:val="00C175CB"/>
    <w:rsid w:val="00C2071E"/>
    <w:rsid w:val="00C20FB0"/>
    <w:rsid w:val="00C27A13"/>
    <w:rsid w:val="00C364F5"/>
    <w:rsid w:val="00C41817"/>
    <w:rsid w:val="00C52EAE"/>
    <w:rsid w:val="00C700CB"/>
    <w:rsid w:val="00C76B7B"/>
    <w:rsid w:val="00C85F49"/>
    <w:rsid w:val="00C9196A"/>
    <w:rsid w:val="00C967FA"/>
    <w:rsid w:val="00CA2629"/>
    <w:rsid w:val="00CA5DE0"/>
    <w:rsid w:val="00CB3401"/>
    <w:rsid w:val="00CC39B1"/>
    <w:rsid w:val="00CD03B4"/>
    <w:rsid w:val="00CD6783"/>
    <w:rsid w:val="00CE3F1A"/>
    <w:rsid w:val="00CF2EBC"/>
    <w:rsid w:val="00D058EB"/>
    <w:rsid w:val="00D10479"/>
    <w:rsid w:val="00D15F3F"/>
    <w:rsid w:val="00D30EC3"/>
    <w:rsid w:val="00D34BFF"/>
    <w:rsid w:val="00D375EB"/>
    <w:rsid w:val="00D37AC9"/>
    <w:rsid w:val="00D55C43"/>
    <w:rsid w:val="00D745ED"/>
    <w:rsid w:val="00D9434D"/>
    <w:rsid w:val="00D96EBF"/>
    <w:rsid w:val="00DA253B"/>
    <w:rsid w:val="00DB4C07"/>
    <w:rsid w:val="00DC2ACB"/>
    <w:rsid w:val="00DD6BB9"/>
    <w:rsid w:val="00DE31A1"/>
    <w:rsid w:val="00DE63BB"/>
    <w:rsid w:val="00DE6CED"/>
    <w:rsid w:val="00E0321D"/>
    <w:rsid w:val="00E035A7"/>
    <w:rsid w:val="00E15DC9"/>
    <w:rsid w:val="00E15EF9"/>
    <w:rsid w:val="00E364B0"/>
    <w:rsid w:val="00E413B6"/>
    <w:rsid w:val="00E423F6"/>
    <w:rsid w:val="00E47F83"/>
    <w:rsid w:val="00E52190"/>
    <w:rsid w:val="00E55744"/>
    <w:rsid w:val="00E77835"/>
    <w:rsid w:val="00E8454D"/>
    <w:rsid w:val="00E94DB9"/>
    <w:rsid w:val="00EA0161"/>
    <w:rsid w:val="00EA45EA"/>
    <w:rsid w:val="00EA4DBD"/>
    <w:rsid w:val="00EB202C"/>
    <w:rsid w:val="00EC2A58"/>
    <w:rsid w:val="00EC47FA"/>
    <w:rsid w:val="00ED1CBF"/>
    <w:rsid w:val="00F2182C"/>
    <w:rsid w:val="00F3318F"/>
    <w:rsid w:val="00F351F9"/>
    <w:rsid w:val="00F362AA"/>
    <w:rsid w:val="00F37C3F"/>
    <w:rsid w:val="00F474C5"/>
    <w:rsid w:val="00F514EB"/>
    <w:rsid w:val="00F515A4"/>
    <w:rsid w:val="00F51819"/>
    <w:rsid w:val="00F618ED"/>
    <w:rsid w:val="00F62BDC"/>
    <w:rsid w:val="00F62D36"/>
    <w:rsid w:val="00F84DDE"/>
    <w:rsid w:val="00F9156C"/>
    <w:rsid w:val="00FA032C"/>
    <w:rsid w:val="00FB0C71"/>
    <w:rsid w:val="00FC7AE6"/>
    <w:rsid w:val="00FD0F72"/>
    <w:rsid w:val="00FE6630"/>
    <w:rsid w:val="00FE7B94"/>
    <w:rsid w:val="010877EC"/>
    <w:rsid w:val="0114037D"/>
    <w:rsid w:val="01225A1A"/>
    <w:rsid w:val="01282E62"/>
    <w:rsid w:val="012A0989"/>
    <w:rsid w:val="012B4701"/>
    <w:rsid w:val="013257FA"/>
    <w:rsid w:val="013E2686"/>
    <w:rsid w:val="014852B3"/>
    <w:rsid w:val="01813A41"/>
    <w:rsid w:val="01917F34"/>
    <w:rsid w:val="01964B3F"/>
    <w:rsid w:val="01972C4A"/>
    <w:rsid w:val="019D115B"/>
    <w:rsid w:val="01CC352B"/>
    <w:rsid w:val="01CE2E9D"/>
    <w:rsid w:val="01D64122"/>
    <w:rsid w:val="02025241"/>
    <w:rsid w:val="020B5BF3"/>
    <w:rsid w:val="021246A7"/>
    <w:rsid w:val="02170144"/>
    <w:rsid w:val="02281ED7"/>
    <w:rsid w:val="023C638C"/>
    <w:rsid w:val="025A661F"/>
    <w:rsid w:val="026006FE"/>
    <w:rsid w:val="02605424"/>
    <w:rsid w:val="0273765A"/>
    <w:rsid w:val="027B2E6D"/>
    <w:rsid w:val="0281282A"/>
    <w:rsid w:val="02A57691"/>
    <w:rsid w:val="02B1787F"/>
    <w:rsid w:val="02B72A33"/>
    <w:rsid w:val="02EF28D7"/>
    <w:rsid w:val="031C59D0"/>
    <w:rsid w:val="035F3358"/>
    <w:rsid w:val="03634F89"/>
    <w:rsid w:val="03640DAF"/>
    <w:rsid w:val="037B24DF"/>
    <w:rsid w:val="037D7CF1"/>
    <w:rsid w:val="0382553B"/>
    <w:rsid w:val="039B7301"/>
    <w:rsid w:val="03A006C9"/>
    <w:rsid w:val="03C9242B"/>
    <w:rsid w:val="03E43548"/>
    <w:rsid w:val="03E823F0"/>
    <w:rsid w:val="03EE3EEF"/>
    <w:rsid w:val="03FF4891"/>
    <w:rsid w:val="0405748B"/>
    <w:rsid w:val="041F333C"/>
    <w:rsid w:val="04265206"/>
    <w:rsid w:val="042B5AAB"/>
    <w:rsid w:val="043322A4"/>
    <w:rsid w:val="04550939"/>
    <w:rsid w:val="04560B78"/>
    <w:rsid w:val="04792518"/>
    <w:rsid w:val="047F0FEB"/>
    <w:rsid w:val="04826D2E"/>
    <w:rsid w:val="04893C18"/>
    <w:rsid w:val="04961346"/>
    <w:rsid w:val="049D55FD"/>
    <w:rsid w:val="04B0389B"/>
    <w:rsid w:val="04BA64C7"/>
    <w:rsid w:val="04C402AA"/>
    <w:rsid w:val="04C5214E"/>
    <w:rsid w:val="04D0576E"/>
    <w:rsid w:val="04E13A54"/>
    <w:rsid w:val="04E2157A"/>
    <w:rsid w:val="04E62E18"/>
    <w:rsid w:val="050414F1"/>
    <w:rsid w:val="050D2A9B"/>
    <w:rsid w:val="050F05C1"/>
    <w:rsid w:val="051A5F1D"/>
    <w:rsid w:val="051E0804"/>
    <w:rsid w:val="05216546"/>
    <w:rsid w:val="052851DF"/>
    <w:rsid w:val="054D2B48"/>
    <w:rsid w:val="055F7A51"/>
    <w:rsid w:val="05604FF5"/>
    <w:rsid w:val="056A57F8"/>
    <w:rsid w:val="057C5E66"/>
    <w:rsid w:val="05A36F5B"/>
    <w:rsid w:val="05BD78A1"/>
    <w:rsid w:val="05D42087"/>
    <w:rsid w:val="05D62E8D"/>
    <w:rsid w:val="05F35E11"/>
    <w:rsid w:val="06021ED4"/>
    <w:rsid w:val="06165417"/>
    <w:rsid w:val="061F6070"/>
    <w:rsid w:val="06210291"/>
    <w:rsid w:val="06395907"/>
    <w:rsid w:val="064C0269"/>
    <w:rsid w:val="065918A2"/>
    <w:rsid w:val="065E61A2"/>
    <w:rsid w:val="06677F89"/>
    <w:rsid w:val="066F24B8"/>
    <w:rsid w:val="068E3768"/>
    <w:rsid w:val="06986394"/>
    <w:rsid w:val="069B052D"/>
    <w:rsid w:val="069D39AB"/>
    <w:rsid w:val="06AF5DA4"/>
    <w:rsid w:val="06B82F13"/>
    <w:rsid w:val="06C172C0"/>
    <w:rsid w:val="06D66EBD"/>
    <w:rsid w:val="06F07F7E"/>
    <w:rsid w:val="06F40DF7"/>
    <w:rsid w:val="06F86E33"/>
    <w:rsid w:val="07101CBA"/>
    <w:rsid w:val="07177C01"/>
    <w:rsid w:val="075B6A1A"/>
    <w:rsid w:val="07647916"/>
    <w:rsid w:val="076A19B4"/>
    <w:rsid w:val="07727F9D"/>
    <w:rsid w:val="078608E3"/>
    <w:rsid w:val="078F1ED8"/>
    <w:rsid w:val="079D2C7B"/>
    <w:rsid w:val="079D3790"/>
    <w:rsid w:val="07A05C0E"/>
    <w:rsid w:val="07A2461A"/>
    <w:rsid w:val="07A33756"/>
    <w:rsid w:val="07A5520D"/>
    <w:rsid w:val="07A5586E"/>
    <w:rsid w:val="07AA45EC"/>
    <w:rsid w:val="07BF4EA6"/>
    <w:rsid w:val="07D04650"/>
    <w:rsid w:val="07DD5F1D"/>
    <w:rsid w:val="07DE2AF3"/>
    <w:rsid w:val="07DF79F3"/>
    <w:rsid w:val="07F67816"/>
    <w:rsid w:val="08000695"/>
    <w:rsid w:val="08110B3E"/>
    <w:rsid w:val="0812042C"/>
    <w:rsid w:val="08163548"/>
    <w:rsid w:val="081B0581"/>
    <w:rsid w:val="08357123"/>
    <w:rsid w:val="083B1631"/>
    <w:rsid w:val="084802CB"/>
    <w:rsid w:val="084B1D3D"/>
    <w:rsid w:val="084E61CA"/>
    <w:rsid w:val="08530956"/>
    <w:rsid w:val="085E716A"/>
    <w:rsid w:val="08DA2C94"/>
    <w:rsid w:val="08E8182B"/>
    <w:rsid w:val="08E92ED7"/>
    <w:rsid w:val="0905687E"/>
    <w:rsid w:val="09102B5A"/>
    <w:rsid w:val="09103F20"/>
    <w:rsid w:val="091A20DC"/>
    <w:rsid w:val="091F4B4B"/>
    <w:rsid w:val="09271C52"/>
    <w:rsid w:val="092E3EBD"/>
    <w:rsid w:val="0946657C"/>
    <w:rsid w:val="095B2C98"/>
    <w:rsid w:val="095D3BE3"/>
    <w:rsid w:val="096272F8"/>
    <w:rsid w:val="0975264D"/>
    <w:rsid w:val="09F00295"/>
    <w:rsid w:val="09F2225F"/>
    <w:rsid w:val="09FE0C04"/>
    <w:rsid w:val="0A1D05BF"/>
    <w:rsid w:val="0A20501F"/>
    <w:rsid w:val="0A3213D5"/>
    <w:rsid w:val="0A456833"/>
    <w:rsid w:val="0A5A5AE3"/>
    <w:rsid w:val="0A646B23"/>
    <w:rsid w:val="0A7B4003"/>
    <w:rsid w:val="0A932840"/>
    <w:rsid w:val="0A9E5C5B"/>
    <w:rsid w:val="0AA645FD"/>
    <w:rsid w:val="0AAF4A50"/>
    <w:rsid w:val="0B06101A"/>
    <w:rsid w:val="0B197307"/>
    <w:rsid w:val="0B3D461F"/>
    <w:rsid w:val="0B436851"/>
    <w:rsid w:val="0B4B645A"/>
    <w:rsid w:val="0B640DAA"/>
    <w:rsid w:val="0B696551"/>
    <w:rsid w:val="0BA146E2"/>
    <w:rsid w:val="0BB57568"/>
    <w:rsid w:val="0BB738DF"/>
    <w:rsid w:val="0BC717E3"/>
    <w:rsid w:val="0BD23B79"/>
    <w:rsid w:val="0BD54F1B"/>
    <w:rsid w:val="0BE175F2"/>
    <w:rsid w:val="0BE616E7"/>
    <w:rsid w:val="0C1A0207"/>
    <w:rsid w:val="0C1C5981"/>
    <w:rsid w:val="0C216E2C"/>
    <w:rsid w:val="0C2A3F33"/>
    <w:rsid w:val="0C377BC7"/>
    <w:rsid w:val="0C385D69"/>
    <w:rsid w:val="0C605BA6"/>
    <w:rsid w:val="0C873133"/>
    <w:rsid w:val="0C8B1228"/>
    <w:rsid w:val="0CAF4438"/>
    <w:rsid w:val="0CB41A4E"/>
    <w:rsid w:val="0CB75678"/>
    <w:rsid w:val="0CB85725"/>
    <w:rsid w:val="0CCC6D53"/>
    <w:rsid w:val="0CCF5D53"/>
    <w:rsid w:val="0CD27998"/>
    <w:rsid w:val="0CD4509B"/>
    <w:rsid w:val="0CDF2A41"/>
    <w:rsid w:val="0CE36D83"/>
    <w:rsid w:val="0CFB2D23"/>
    <w:rsid w:val="0D0C37AB"/>
    <w:rsid w:val="0D20178D"/>
    <w:rsid w:val="0D2E1801"/>
    <w:rsid w:val="0D3C44F0"/>
    <w:rsid w:val="0D52020E"/>
    <w:rsid w:val="0D5266DD"/>
    <w:rsid w:val="0D6250FA"/>
    <w:rsid w:val="0D8E6743"/>
    <w:rsid w:val="0D924597"/>
    <w:rsid w:val="0DA07F67"/>
    <w:rsid w:val="0DA27AF9"/>
    <w:rsid w:val="0DA334DC"/>
    <w:rsid w:val="0DA73361"/>
    <w:rsid w:val="0DB128A6"/>
    <w:rsid w:val="0DC17B4D"/>
    <w:rsid w:val="0DC83A03"/>
    <w:rsid w:val="0DD63C79"/>
    <w:rsid w:val="0DEB5944"/>
    <w:rsid w:val="0DEC2FDC"/>
    <w:rsid w:val="0DF026E6"/>
    <w:rsid w:val="0DF476ED"/>
    <w:rsid w:val="0E2D6DB1"/>
    <w:rsid w:val="0E363C84"/>
    <w:rsid w:val="0E484B44"/>
    <w:rsid w:val="0E4B6916"/>
    <w:rsid w:val="0E4E01AC"/>
    <w:rsid w:val="0E506753"/>
    <w:rsid w:val="0E6F54E0"/>
    <w:rsid w:val="0E72396F"/>
    <w:rsid w:val="0E763B0A"/>
    <w:rsid w:val="0E7B6CC7"/>
    <w:rsid w:val="0EFA03A8"/>
    <w:rsid w:val="0EFD750F"/>
    <w:rsid w:val="0F0740B7"/>
    <w:rsid w:val="0F126B7C"/>
    <w:rsid w:val="0F2131EB"/>
    <w:rsid w:val="0F2E7896"/>
    <w:rsid w:val="0F3375A2"/>
    <w:rsid w:val="0F3440AB"/>
    <w:rsid w:val="0F396E75"/>
    <w:rsid w:val="0F5045C3"/>
    <w:rsid w:val="0F5552D9"/>
    <w:rsid w:val="0F563FEC"/>
    <w:rsid w:val="0F600772"/>
    <w:rsid w:val="0F690CC5"/>
    <w:rsid w:val="0F6D4583"/>
    <w:rsid w:val="0F7B0F31"/>
    <w:rsid w:val="0F7B3402"/>
    <w:rsid w:val="0F81030D"/>
    <w:rsid w:val="0F851307"/>
    <w:rsid w:val="0F87344A"/>
    <w:rsid w:val="0F957915"/>
    <w:rsid w:val="0FCD5301"/>
    <w:rsid w:val="0FDB2367"/>
    <w:rsid w:val="0FED59A3"/>
    <w:rsid w:val="0FEF1D09"/>
    <w:rsid w:val="0FFA00C0"/>
    <w:rsid w:val="0FFE6036"/>
    <w:rsid w:val="10036F74"/>
    <w:rsid w:val="100E67A9"/>
    <w:rsid w:val="1010343F"/>
    <w:rsid w:val="10142F30"/>
    <w:rsid w:val="107E66AF"/>
    <w:rsid w:val="10802328"/>
    <w:rsid w:val="10875321"/>
    <w:rsid w:val="109337A1"/>
    <w:rsid w:val="10A77DC5"/>
    <w:rsid w:val="10BF05DD"/>
    <w:rsid w:val="10CA51CE"/>
    <w:rsid w:val="10D35D11"/>
    <w:rsid w:val="10DE48CA"/>
    <w:rsid w:val="10DF2E5F"/>
    <w:rsid w:val="10E941DA"/>
    <w:rsid w:val="10F16DCD"/>
    <w:rsid w:val="110F36F7"/>
    <w:rsid w:val="11185408"/>
    <w:rsid w:val="111B7950"/>
    <w:rsid w:val="11387EA5"/>
    <w:rsid w:val="115575CC"/>
    <w:rsid w:val="11637494"/>
    <w:rsid w:val="11755C50"/>
    <w:rsid w:val="119360D6"/>
    <w:rsid w:val="119D1304"/>
    <w:rsid w:val="11B80A78"/>
    <w:rsid w:val="11BB5FD7"/>
    <w:rsid w:val="11C45C63"/>
    <w:rsid w:val="11DC5CCF"/>
    <w:rsid w:val="12075B5D"/>
    <w:rsid w:val="12205938"/>
    <w:rsid w:val="122136E2"/>
    <w:rsid w:val="12330421"/>
    <w:rsid w:val="123824B3"/>
    <w:rsid w:val="1240455E"/>
    <w:rsid w:val="12435D4E"/>
    <w:rsid w:val="1261613D"/>
    <w:rsid w:val="12790EF9"/>
    <w:rsid w:val="12925B28"/>
    <w:rsid w:val="12975DFF"/>
    <w:rsid w:val="12AC282E"/>
    <w:rsid w:val="12AD766B"/>
    <w:rsid w:val="12BE3627"/>
    <w:rsid w:val="12CF45EB"/>
    <w:rsid w:val="12CF68F8"/>
    <w:rsid w:val="12D76496"/>
    <w:rsid w:val="12DC3469"/>
    <w:rsid w:val="13165693"/>
    <w:rsid w:val="13331943"/>
    <w:rsid w:val="1338209E"/>
    <w:rsid w:val="13441D7E"/>
    <w:rsid w:val="1350428E"/>
    <w:rsid w:val="13775F92"/>
    <w:rsid w:val="137D0DEC"/>
    <w:rsid w:val="13924063"/>
    <w:rsid w:val="13946135"/>
    <w:rsid w:val="139A3EF6"/>
    <w:rsid w:val="13B011C1"/>
    <w:rsid w:val="13C06F2A"/>
    <w:rsid w:val="14027543"/>
    <w:rsid w:val="140432BB"/>
    <w:rsid w:val="14076BA8"/>
    <w:rsid w:val="14302A0B"/>
    <w:rsid w:val="14353475"/>
    <w:rsid w:val="1439793E"/>
    <w:rsid w:val="145C0862"/>
    <w:rsid w:val="14620B7A"/>
    <w:rsid w:val="14885C9A"/>
    <w:rsid w:val="14A5640D"/>
    <w:rsid w:val="14A71BDC"/>
    <w:rsid w:val="14C05491"/>
    <w:rsid w:val="14C41C33"/>
    <w:rsid w:val="14CF2A54"/>
    <w:rsid w:val="14E530ED"/>
    <w:rsid w:val="14E82D7E"/>
    <w:rsid w:val="14F926F4"/>
    <w:rsid w:val="14FA57F5"/>
    <w:rsid w:val="15007F26"/>
    <w:rsid w:val="150A46B8"/>
    <w:rsid w:val="150E5713"/>
    <w:rsid w:val="151E65FF"/>
    <w:rsid w:val="15421B43"/>
    <w:rsid w:val="15607C46"/>
    <w:rsid w:val="15631819"/>
    <w:rsid w:val="15925469"/>
    <w:rsid w:val="159A3ED7"/>
    <w:rsid w:val="159B7C4F"/>
    <w:rsid w:val="15B463FC"/>
    <w:rsid w:val="15B900D5"/>
    <w:rsid w:val="15C070BB"/>
    <w:rsid w:val="15C22BD8"/>
    <w:rsid w:val="15CB57AC"/>
    <w:rsid w:val="15CE3B81"/>
    <w:rsid w:val="15D13671"/>
    <w:rsid w:val="15D32F45"/>
    <w:rsid w:val="15D34412"/>
    <w:rsid w:val="15D60A76"/>
    <w:rsid w:val="15DD675C"/>
    <w:rsid w:val="160841DF"/>
    <w:rsid w:val="16113A6D"/>
    <w:rsid w:val="161C210D"/>
    <w:rsid w:val="162A61AE"/>
    <w:rsid w:val="16334B86"/>
    <w:rsid w:val="163C6D3C"/>
    <w:rsid w:val="1674297A"/>
    <w:rsid w:val="16841C35"/>
    <w:rsid w:val="16847CCC"/>
    <w:rsid w:val="16924BAE"/>
    <w:rsid w:val="169E23FD"/>
    <w:rsid w:val="16A41CF3"/>
    <w:rsid w:val="16AC59D6"/>
    <w:rsid w:val="16AD180E"/>
    <w:rsid w:val="16AD3796"/>
    <w:rsid w:val="16B56AEF"/>
    <w:rsid w:val="16C44F84"/>
    <w:rsid w:val="16CB1E6E"/>
    <w:rsid w:val="16D01B7A"/>
    <w:rsid w:val="16D36371"/>
    <w:rsid w:val="16D50F3F"/>
    <w:rsid w:val="16DB46AC"/>
    <w:rsid w:val="16DB47A7"/>
    <w:rsid w:val="16E55626"/>
    <w:rsid w:val="16F371D0"/>
    <w:rsid w:val="16FA0730"/>
    <w:rsid w:val="170331D9"/>
    <w:rsid w:val="1705788A"/>
    <w:rsid w:val="1706559C"/>
    <w:rsid w:val="1720665E"/>
    <w:rsid w:val="172A6C08"/>
    <w:rsid w:val="172F01EE"/>
    <w:rsid w:val="173D7210"/>
    <w:rsid w:val="174D511E"/>
    <w:rsid w:val="17525E52"/>
    <w:rsid w:val="177E5132"/>
    <w:rsid w:val="17C641A9"/>
    <w:rsid w:val="17D12233"/>
    <w:rsid w:val="17D32096"/>
    <w:rsid w:val="17F555C0"/>
    <w:rsid w:val="180E155C"/>
    <w:rsid w:val="18106DB8"/>
    <w:rsid w:val="18143D15"/>
    <w:rsid w:val="1839048A"/>
    <w:rsid w:val="18477C1A"/>
    <w:rsid w:val="1856296E"/>
    <w:rsid w:val="185C1EE0"/>
    <w:rsid w:val="18627CDB"/>
    <w:rsid w:val="188D1AD1"/>
    <w:rsid w:val="189B4CE2"/>
    <w:rsid w:val="18C24ABD"/>
    <w:rsid w:val="18CB2317"/>
    <w:rsid w:val="18D0495C"/>
    <w:rsid w:val="18D771F0"/>
    <w:rsid w:val="190478B9"/>
    <w:rsid w:val="19113069"/>
    <w:rsid w:val="19324427"/>
    <w:rsid w:val="19435101"/>
    <w:rsid w:val="195B5ABF"/>
    <w:rsid w:val="197113F3"/>
    <w:rsid w:val="197F1956"/>
    <w:rsid w:val="198A7DBF"/>
    <w:rsid w:val="198D5B01"/>
    <w:rsid w:val="19A60971"/>
    <w:rsid w:val="19C76EF5"/>
    <w:rsid w:val="19CF1C75"/>
    <w:rsid w:val="19E21D3F"/>
    <w:rsid w:val="19F16504"/>
    <w:rsid w:val="1A1F5268"/>
    <w:rsid w:val="1A3A284F"/>
    <w:rsid w:val="1A6527F6"/>
    <w:rsid w:val="1A694830"/>
    <w:rsid w:val="1A9F789A"/>
    <w:rsid w:val="1AA43102"/>
    <w:rsid w:val="1AAC1FB7"/>
    <w:rsid w:val="1AAF43C2"/>
    <w:rsid w:val="1AB20A27"/>
    <w:rsid w:val="1AC60382"/>
    <w:rsid w:val="1AE41750"/>
    <w:rsid w:val="1AEB75E6"/>
    <w:rsid w:val="1AFF658A"/>
    <w:rsid w:val="1B0F3AFD"/>
    <w:rsid w:val="1B1A37B1"/>
    <w:rsid w:val="1B24250F"/>
    <w:rsid w:val="1B560DFA"/>
    <w:rsid w:val="1B56242C"/>
    <w:rsid w:val="1B694D12"/>
    <w:rsid w:val="1B6F7A79"/>
    <w:rsid w:val="1B813443"/>
    <w:rsid w:val="1B87101F"/>
    <w:rsid w:val="1BB211BC"/>
    <w:rsid w:val="1BBB45BA"/>
    <w:rsid w:val="1BC51AD2"/>
    <w:rsid w:val="1BC752FA"/>
    <w:rsid w:val="1BC87785"/>
    <w:rsid w:val="1BE22CFA"/>
    <w:rsid w:val="1BF00B53"/>
    <w:rsid w:val="1C156909"/>
    <w:rsid w:val="1C163B8C"/>
    <w:rsid w:val="1C167792"/>
    <w:rsid w:val="1C2A0B69"/>
    <w:rsid w:val="1C3B7A96"/>
    <w:rsid w:val="1C3C07FD"/>
    <w:rsid w:val="1C466AD3"/>
    <w:rsid w:val="1C5446B4"/>
    <w:rsid w:val="1C791070"/>
    <w:rsid w:val="1C8419F2"/>
    <w:rsid w:val="1CD55808"/>
    <w:rsid w:val="1CF9414C"/>
    <w:rsid w:val="1CFA525B"/>
    <w:rsid w:val="1D103BB5"/>
    <w:rsid w:val="1D104A7F"/>
    <w:rsid w:val="1D1125A5"/>
    <w:rsid w:val="1D171713"/>
    <w:rsid w:val="1D1A6B60"/>
    <w:rsid w:val="1D2E3157"/>
    <w:rsid w:val="1D305121"/>
    <w:rsid w:val="1D517433"/>
    <w:rsid w:val="1D617141"/>
    <w:rsid w:val="1D7D56DF"/>
    <w:rsid w:val="1D7F5FC9"/>
    <w:rsid w:val="1D8075EC"/>
    <w:rsid w:val="1D81597C"/>
    <w:rsid w:val="1DBE78CB"/>
    <w:rsid w:val="1DC0183F"/>
    <w:rsid w:val="1DC046F7"/>
    <w:rsid w:val="1DC65566"/>
    <w:rsid w:val="1DD60DAC"/>
    <w:rsid w:val="1DD7758F"/>
    <w:rsid w:val="1DDE692B"/>
    <w:rsid w:val="1DE008F5"/>
    <w:rsid w:val="1DF223D6"/>
    <w:rsid w:val="1DF52CF8"/>
    <w:rsid w:val="1E0068A1"/>
    <w:rsid w:val="1E18008F"/>
    <w:rsid w:val="1E2210EC"/>
    <w:rsid w:val="1E236208"/>
    <w:rsid w:val="1E335527"/>
    <w:rsid w:val="1E4C5F8A"/>
    <w:rsid w:val="1E5817D5"/>
    <w:rsid w:val="1E5A4652"/>
    <w:rsid w:val="1E611110"/>
    <w:rsid w:val="1E62755C"/>
    <w:rsid w:val="1E6E7EF3"/>
    <w:rsid w:val="1E822C14"/>
    <w:rsid w:val="1EA9518B"/>
    <w:rsid w:val="1EC5432C"/>
    <w:rsid w:val="1EE267D0"/>
    <w:rsid w:val="1EE71CC4"/>
    <w:rsid w:val="1EF81C6E"/>
    <w:rsid w:val="1F074574"/>
    <w:rsid w:val="1F0D5C9D"/>
    <w:rsid w:val="1F130423"/>
    <w:rsid w:val="1F1F5B75"/>
    <w:rsid w:val="1F815676"/>
    <w:rsid w:val="1F857016"/>
    <w:rsid w:val="1F947BE9"/>
    <w:rsid w:val="1FB10702"/>
    <w:rsid w:val="1FBC2C9C"/>
    <w:rsid w:val="1FBE2D85"/>
    <w:rsid w:val="1FBF1E16"/>
    <w:rsid w:val="1FCA360B"/>
    <w:rsid w:val="1FE426A0"/>
    <w:rsid w:val="1FF24D88"/>
    <w:rsid w:val="1FF5744C"/>
    <w:rsid w:val="20041B05"/>
    <w:rsid w:val="20043C15"/>
    <w:rsid w:val="201725C8"/>
    <w:rsid w:val="20394660"/>
    <w:rsid w:val="204E33E1"/>
    <w:rsid w:val="205B2F3F"/>
    <w:rsid w:val="20633B36"/>
    <w:rsid w:val="20684BD2"/>
    <w:rsid w:val="20735512"/>
    <w:rsid w:val="20831A0C"/>
    <w:rsid w:val="20856287"/>
    <w:rsid w:val="20887EF5"/>
    <w:rsid w:val="20891D4B"/>
    <w:rsid w:val="20AA343C"/>
    <w:rsid w:val="20AF44F6"/>
    <w:rsid w:val="20B0050F"/>
    <w:rsid w:val="20B51A11"/>
    <w:rsid w:val="20BD316F"/>
    <w:rsid w:val="20C22221"/>
    <w:rsid w:val="20CE350F"/>
    <w:rsid w:val="20D1686A"/>
    <w:rsid w:val="20D179B5"/>
    <w:rsid w:val="20DC2A65"/>
    <w:rsid w:val="21073A8F"/>
    <w:rsid w:val="21265292"/>
    <w:rsid w:val="21373159"/>
    <w:rsid w:val="2144119B"/>
    <w:rsid w:val="21447C5E"/>
    <w:rsid w:val="21466CC1"/>
    <w:rsid w:val="21537630"/>
    <w:rsid w:val="215C4736"/>
    <w:rsid w:val="215D04AF"/>
    <w:rsid w:val="21600CBF"/>
    <w:rsid w:val="216B4602"/>
    <w:rsid w:val="217B2551"/>
    <w:rsid w:val="217D794B"/>
    <w:rsid w:val="21845A3B"/>
    <w:rsid w:val="219F0AF3"/>
    <w:rsid w:val="21AB2FC8"/>
    <w:rsid w:val="21B35D09"/>
    <w:rsid w:val="21B856E5"/>
    <w:rsid w:val="21C445B4"/>
    <w:rsid w:val="21C72E5E"/>
    <w:rsid w:val="21C95959"/>
    <w:rsid w:val="21CF4F08"/>
    <w:rsid w:val="21F25DF0"/>
    <w:rsid w:val="220311B7"/>
    <w:rsid w:val="220F3557"/>
    <w:rsid w:val="22117BFE"/>
    <w:rsid w:val="22162B37"/>
    <w:rsid w:val="221E379A"/>
    <w:rsid w:val="221F1C9E"/>
    <w:rsid w:val="222362C6"/>
    <w:rsid w:val="22327245"/>
    <w:rsid w:val="22361059"/>
    <w:rsid w:val="223A5954"/>
    <w:rsid w:val="22555A05"/>
    <w:rsid w:val="22560FBE"/>
    <w:rsid w:val="227316DC"/>
    <w:rsid w:val="227A46F6"/>
    <w:rsid w:val="22B45EAC"/>
    <w:rsid w:val="22E20C6B"/>
    <w:rsid w:val="22EF6B24"/>
    <w:rsid w:val="22F37B3A"/>
    <w:rsid w:val="23015FD6"/>
    <w:rsid w:val="23016F7A"/>
    <w:rsid w:val="230E380E"/>
    <w:rsid w:val="23161F7E"/>
    <w:rsid w:val="231F62CC"/>
    <w:rsid w:val="23237914"/>
    <w:rsid w:val="233F66E9"/>
    <w:rsid w:val="2344609A"/>
    <w:rsid w:val="235F572C"/>
    <w:rsid w:val="23647A3F"/>
    <w:rsid w:val="236621A9"/>
    <w:rsid w:val="2369767D"/>
    <w:rsid w:val="23897339"/>
    <w:rsid w:val="23B0586E"/>
    <w:rsid w:val="23B94A71"/>
    <w:rsid w:val="23C74A2A"/>
    <w:rsid w:val="23C860B3"/>
    <w:rsid w:val="23D028AF"/>
    <w:rsid w:val="23DA7B95"/>
    <w:rsid w:val="2407370E"/>
    <w:rsid w:val="240F02DC"/>
    <w:rsid w:val="243058F1"/>
    <w:rsid w:val="243E0123"/>
    <w:rsid w:val="24503715"/>
    <w:rsid w:val="245E09C4"/>
    <w:rsid w:val="247578BD"/>
    <w:rsid w:val="24BA0E0D"/>
    <w:rsid w:val="24D93D3F"/>
    <w:rsid w:val="24DC1A33"/>
    <w:rsid w:val="24FD454C"/>
    <w:rsid w:val="2505521B"/>
    <w:rsid w:val="25230DD3"/>
    <w:rsid w:val="2523145B"/>
    <w:rsid w:val="252C4420"/>
    <w:rsid w:val="25322DDD"/>
    <w:rsid w:val="25364733"/>
    <w:rsid w:val="2551032A"/>
    <w:rsid w:val="25614090"/>
    <w:rsid w:val="257302A1"/>
    <w:rsid w:val="25782CB7"/>
    <w:rsid w:val="257A6407"/>
    <w:rsid w:val="259D70CC"/>
    <w:rsid w:val="259F1096"/>
    <w:rsid w:val="25A246E2"/>
    <w:rsid w:val="25B3069D"/>
    <w:rsid w:val="25B56652"/>
    <w:rsid w:val="25B77709"/>
    <w:rsid w:val="25BC57A4"/>
    <w:rsid w:val="25CB3738"/>
    <w:rsid w:val="25D32AED"/>
    <w:rsid w:val="25D444C1"/>
    <w:rsid w:val="25F72072"/>
    <w:rsid w:val="260932B7"/>
    <w:rsid w:val="260B76E6"/>
    <w:rsid w:val="26304FF4"/>
    <w:rsid w:val="264F731C"/>
    <w:rsid w:val="26633E71"/>
    <w:rsid w:val="26675484"/>
    <w:rsid w:val="266A1901"/>
    <w:rsid w:val="26784FC8"/>
    <w:rsid w:val="26793695"/>
    <w:rsid w:val="267E0CAB"/>
    <w:rsid w:val="26804680"/>
    <w:rsid w:val="269C67AD"/>
    <w:rsid w:val="26A207D3"/>
    <w:rsid w:val="26A61FB0"/>
    <w:rsid w:val="26CA78D4"/>
    <w:rsid w:val="26D978C9"/>
    <w:rsid w:val="26FC7E22"/>
    <w:rsid w:val="270A3887"/>
    <w:rsid w:val="270F5E15"/>
    <w:rsid w:val="27150E70"/>
    <w:rsid w:val="271D4D8D"/>
    <w:rsid w:val="27393F89"/>
    <w:rsid w:val="27447C3E"/>
    <w:rsid w:val="274F0AD9"/>
    <w:rsid w:val="275017AA"/>
    <w:rsid w:val="27535D5F"/>
    <w:rsid w:val="275D2FB6"/>
    <w:rsid w:val="27634E89"/>
    <w:rsid w:val="277072C8"/>
    <w:rsid w:val="277B1447"/>
    <w:rsid w:val="27924C6E"/>
    <w:rsid w:val="27AE55C0"/>
    <w:rsid w:val="27C54D4F"/>
    <w:rsid w:val="27CB0E50"/>
    <w:rsid w:val="27DB07C4"/>
    <w:rsid w:val="27E5180D"/>
    <w:rsid w:val="27F42B67"/>
    <w:rsid w:val="2801515C"/>
    <w:rsid w:val="28153891"/>
    <w:rsid w:val="281A6D74"/>
    <w:rsid w:val="28246CCB"/>
    <w:rsid w:val="28421DCD"/>
    <w:rsid w:val="284657F9"/>
    <w:rsid w:val="284F3F7B"/>
    <w:rsid w:val="2870181B"/>
    <w:rsid w:val="2874680A"/>
    <w:rsid w:val="2886653D"/>
    <w:rsid w:val="28A661CE"/>
    <w:rsid w:val="28BC5ABB"/>
    <w:rsid w:val="28CF57EE"/>
    <w:rsid w:val="28DD12C3"/>
    <w:rsid w:val="28E60D8A"/>
    <w:rsid w:val="2901329B"/>
    <w:rsid w:val="290B3759"/>
    <w:rsid w:val="2912392D"/>
    <w:rsid w:val="29125D2C"/>
    <w:rsid w:val="291E49C7"/>
    <w:rsid w:val="2920429C"/>
    <w:rsid w:val="29235B3A"/>
    <w:rsid w:val="29262C2A"/>
    <w:rsid w:val="29306D25"/>
    <w:rsid w:val="29332221"/>
    <w:rsid w:val="2935509C"/>
    <w:rsid w:val="29515A10"/>
    <w:rsid w:val="297256D1"/>
    <w:rsid w:val="29946A38"/>
    <w:rsid w:val="299642A4"/>
    <w:rsid w:val="29A12475"/>
    <w:rsid w:val="29A22F02"/>
    <w:rsid w:val="29A547A1"/>
    <w:rsid w:val="29AB3CBF"/>
    <w:rsid w:val="29AC535C"/>
    <w:rsid w:val="29B45ED9"/>
    <w:rsid w:val="29D530A8"/>
    <w:rsid w:val="29D878F7"/>
    <w:rsid w:val="29EA13DF"/>
    <w:rsid w:val="2A19034C"/>
    <w:rsid w:val="2A2658E2"/>
    <w:rsid w:val="2A273406"/>
    <w:rsid w:val="2A2D4EC2"/>
    <w:rsid w:val="2A375AA7"/>
    <w:rsid w:val="2A5C3D7C"/>
    <w:rsid w:val="2A6D4233"/>
    <w:rsid w:val="2A781EB5"/>
    <w:rsid w:val="2A7E4593"/>
    <w:rsid w:val="2A8E3487"/>
    <w:rsid w:val="2AC25E51"/>
    <w:rsid w:val="2AD25A69"/>
    <w:rsid w:val="2AE35141"/>
    <w:rsid w:val="2AE8703B"/>
    <w:rsid w:val="2AE914ED"/>
    <w:rsid w:val="2AEA2DB3"/>
    <w:rsid w:val="2AFF793D"/>
    <w:rsid w:val="2B1C1A5C"/>
    <w:rsid w:val="2B2142FB"/>
    <w:rsid w:val="2B4E4A8E"/>
    <w:rsid w:val="2B595843"/>
    <w:rsid w:val="2B6E5792"/>
    <w:rsid w:val="2B772A8E"/>
    <w:rsid w:val="2B8E2DAA"/>
    <w:rsid w:val="2B922C93"/>
    <w:rsid w:val="2B96231B"/>
    <w:rsid w:val="2BC14D3C"/>
    <w:rsid w:val="2BC2269F"/>
    <w:rsid w:val="2BDB7C6F"/>
    <w:rsid w:val="2BE36DB2"/>
    <w:rsid w:val="2C333F8C"/>
    <w:rsid w:val="2C351E0C"/>
    <w:rsid w:val="2C372E39"/>
    <w:rsid w:val="2C3D6F12"/>
    <w:rsid w:val="2C3F72CB"/>
    <w:rsid w:val="2C477D91"/>
    <w:rsid w:val="2C5C383D"/>
    <w:rsid w:val="2C6B295C"/>
    <w:rsid w:val="2C8843DA"/>
    <w:rsid w:val="2CAB642E"/>
    <w:rsid w:val="2CBA0563"/>
    <w:rsid w:val="2CBE2DC2"/>
    <w:rsid w:val="2CC3566A"/>
    <w:rsid w:val="2CD57BB9"/>
    <w:rsid w:val="2CE44D3D"/>
    <w:rsid w:val="2CFD263D"/>
    <w:rsid w:val="2D031F0A"/>
    <w:rsid w:val="2D0A14C6"/>
    <w:rsid w:val="2D14516D"/>
    <w:rsid w:val="2D19766B"/>
    <w:rsid w:val="2D2828D0"/>
    <w:rsid w:val="2D396E2B"/>
    <w:rsid w:val="2D4542D1"/>
    <w:rsid w:val="2D4A453F"/>
    <w:rsid w:val="2D513C5E"/>
    <w:rsid w:val="2D7B23E8"/>
    <w:rsid w:val="2D821D81"/>
    <w:rsid w:val="2D9E1C33"/>
    <w:rsid w:val="2DAF3E40"/>
    <w:rsid w:val="2DCC0DF3"/>
    <w:rsid w:val="2DD76962"/>
    <w:rsid w:val="2DF16206"/>
    <w:rsid w:val="2DF61F79"/>
    <w:rsid w:val="2E0C6EED"/>
    <w:rsid w:val="2E19750B"/>
    <w:rsid w:val="2E1A58A5"/>
    <w:rsid w:val="2E1B3283"/>
    <w:rsid w:val="2E220AB6"/>
    <w:rsid w:val="2E4834CF"/>
    <w:rsid w:val="2E523FAF"/>
    <w:rsid w:val="2E620EB2"/>
    <w:rsid w:val="2E805FBF"/>
    <w:rsid w:val="2E9574DA"/>
    <w:rsid w:val="2EB678A6"/>
    <w:rsid w:val="2EEF2217"/>
    <w:rsid w:val="2EF06A0F"/>
    <w:rsid w:val="2EF609BA"/>
    <w:rsid w:val="2F261EE0"/>
    <w:rsid w:val="2F6738B0"/>
    <w:rsid w:val="2F6B3D97"/>
    <w:rsid w:val="2F6F7D2B"/>
    <w:rsid w:val="2F753FA1"/>
    <w:rsid w:val="2F7964B4"/>
    <w:rsid w:val="2F8077F6"/>
    <w:rsid w:val="2F866E22"/>
    <w:rsid w:val="2F8E30AF"/>
    <w:rsid w:val="2FBB2F70"/>
    <w:rsid w:val="2FCF2577"/>
    <w:rsid w:val="2FE31C01"/>
    <w:rsid w:val="2FEC68B9"/>
    <w:rsid w:val="300F506A"/>
    <w:rsid w:val="30314FE0"/>
    <w:rsid w:val="306071DC"/>
    <w:rsid w:val="306332B5"/>
    <w:rsid w:val="30850B9F"/>
    <w:rsid w:val="3089704F"/>
    <w:rsid w:val="309D2F86"/>
    <w:rsid w:val="30BA0FFB"/>
    <w:rsid w:val="30C15BB8"/>
    <w:rsid w:val="30C6397A"/>
    <w:rsid w:val="30D541D4"/>
    <w:rsid w:val="30E12562"/>
    <w:rsid w:val="30E52918"/>
    <w:rsid w:val="30E744BA"/>
    <w:rsid w:val="30EE4236"/>
    <w:rsid w:val="30EF66A1"/>
    <w:rsid w:val="30F80FF0"/>
    <w:rsid w:val="310B3A83"/>
    <w:rsid w:val="31157494"/>
    <w:rsid w:val="314C38B6"/>
    <w:rsid w:val="314E3E43"/>
    <w:rsid w:val="315E1E05"/>
    <w:rsid w:val="3168314E"/>
    <w:rsid w:val="31717242"/>
    <w:rsid w:val="31853836"/>
    <w:rsid w:val="31915EB1"/>
    <w:rsid w:val="31A14952"/>
    <w:rsid w:val="31C0200B"/>
    <w:rsid w:val="31CF22A3"/>
    <w:rsid w:val="31DB695A"/>
    <w:rsid w:val="31F13E7E"/>
    <w:rsid w:val="3207424B"/>
    <w:rsid w:val="321861F4"/>
    <w:rsid w:val="3220355E"/>
    <w:rsid w:val="3232366B"/>
    <w:rsid w:val="32470AEB"/>
    <w:rsid w:val="32530AF4"/>
    <w:rsid w:val="32590B33"/>
    <w:rsid w:val="325A3C70"/>
    <w:rsid w:val="326042E7"/>
    <w:rsid w:val="3271353A"/>
    <w:rsid w:val="32755658"/>
    <w:rsid w:val="328251D1"/>
    <w:rsid w:val="32A510F7"/>
    <w:rsid w:val="32C97752"/>
    <w:rsid w:val="32DA017D"/>
    <w:rsid w:val="32EC28E3"/>
    <w:rsid w:val="32F7668A"/>
    <w:rsid w:val="32FB3683"/>
    <w:rsid w:val="33265EB1"/>
    <w:rsid w:val="334D3EDF"/>
    <w:rsid w:val="334D4B73"/>
    <w:rsid w:val="335C05C6"/>
    <w:rsid w:val="33634F62"/>
    <w:rsid w:val="336851BD"/>
    <w:rsid w:val="338059C1"/>
    <w:rsid w:val="338564B0"/>
    <w:rsid w:val="338D077F"/>
    <w:rsid w:val="33AA6EA7"/>
    <w:rsid w:val="33B232B7"/>
    <w:rsid w:val="33B91F4C"/>
    <w:rsid w:val="33B927A7"/>
    <w:rsid w:val="33DF70AE"/>
    <w:rsid w:val="33E31EB4"/>
    <w:rsid w:val="33E5680D"/>
    <w:rsid w:val="33F62AEE"/>
    <w:rsid w:val="342C15DE"/>
    <w:rsid w:val="34A264AC"/>
    <w:rsid w:val="34A9783B"/>
    <w:rsid w:val="34AE6BFF"/>
    <w:rsid w:val="34D605C6"/>
    <w:rsid w:val="34D643A8"/>
    <w:rsid w:val="34DB7FBB"/>
    <w:rsid w:val="34F749D0"/>
    <w:rsid w:val="34FD4468"/>
    <w:rsid w:val="35011425"/>
    <w:rsid w:val="35355A03"/>
    <w:rsid w:val="353D5303"/>
    <w:rsid w:val="355879C5"/>
    <w:rsid w:val="35685EFB"/>
    <w:rsid w:val="356D6E72"/>
    <w:rsid w:val="3571067D"/>
    <w:rsid w:val="35741EA9"/>
    <w:rsid w:val="35866FEE"/>
    <w:rsid w:val="358F16B4"/>
    <w:rsid w:val="359F2B34"/>
    <w:rsid w:val="35A5566E"/>
    <w:rsid w:val="35AD5AF3"/>
    <w:rsid w:val="35C67F79"/>
    <w:rsid w:val="35D11918"/>
    <w:rsid w:val="35DE5915"/>
    <w:rsid w:val="36267B40"/>
    <w:rsid w:val="36270A9E"/>
    <w:rsid w:val="36375D56"/>
    <w:rsid w:val="36462E68"/>
    <w:rsid w:val="36492153"/>
    <w:rsid w:val="36494389"/>
    <w:rsid w:val="364C7C4C"/>
    <w:rsid w:val="36530D42"/>
    <w:rsid w:val="36605BC7"/>
    <w:rsid w:val="36617CA1"/>
    <w:rsid w:val="36684155"/>
    <w:rsid w:val="36713A10"/>
    <w:rsid w:val="36743E79"/>
    <w:rsid w:val="367479D5"/>
    <w:rsid w:val="36786872"/>
    <w:rsid w:val="3679148F"/>
    <w:rsid w:val="36864F1A"/>
    <w:rsid w:val="368816D2"/>
    <w:rsid w:val="36890788"/>
    <w:rsid w:val="368F6DB0"/>
    <w:rsid w:val="36B91CC9"/>
    <w:rsid w:val="36BA5D2F"/>
    <w:rsid w:val="36DF30F2"/>
    <w:rsid w:val="36F66786"/>
    <w:rsid w:val="373C3D5D"/>
    <w:rsid w:val="373D426B"/>
    <w:rsid w:val="373F46A3"/>
    <w:rsid w:val="37406BE8"/>
    <w:rsid w:val="374B6987"/>
    <w:rsid w:val="37691503"/>
    <w:rsid w:val="376D2DA2"/>
    <w:rsid w:val="377C0DFC"/>
    <w:rsid w:val="379C514A"/>
    <w:rsid w:val="379F0A81"/>
    <w:rsid w:val="37A4565D"/>
    <w:rsid w:val="37B81B43"/>
    <w:rsid w:val="37DF550C"/>
    <w:rsid w:val="37E61F73"/>
    <w:rsid w:val="37EC6507"/>
    <w:rsid w:val="380454FC"/>
    <w:rsid w:val="380C01B0"/>
    <w:rsid w:val="38123949"/>
    <w:rsid w:val="381C67F8"/>
    <w:rsid w:val="382A532A"/>
    <w:rsid w:val="38384D04"/>
    <w:rsid w:val="38434DE2"/>
    <w:rsid w:val="384673CB"/>
    <w:rsid w:val="3862042D"/>
    <w:rsid w:val="38766325"/>
    <w:rsid w:val="38792410"/>
    <w:rsid w:val="388D2FD0"/>
    <w:rsid w:val="389A7E27"/>
    <w:rsid w:val="389C7553"/>
    <w:rsid w:val="38D12D00"/>
    <w:rsid w:val="38D429AD"/>
    <w:rsid w:val="3905700A"/>
    <w:rsid w:val="39231E84"/>
    <w:rsid w:val="39396773"/>
    <w:rsid w:val="39477622"/>
    <w:rsid w:val="395D72F1"/>
    <w:rsid w:val="395F094E"/>
    <w:rsid w:val="398E0DAD"/>
    <w:rsid w:val="399436D2"/>
    <w:rsid w:val="39BA405E"/>
    <w:rsid w:val="39BD65FA"/>
    <w:rsid w:val="39C131B5"/>
    <w:rsid w:val="39D013C6"/>
    <w:rsid w:val="39D55441"/>
    <w:rsid w:val="39DD136A"/>
    <w:rsid w:val="39DF71FE"/>
    <w:rsid w:val="39F96B6F"/>
    <w:rsid w:val="3A2852BB"/>
    <w:rsid w:val="3A485400"/>
    <w:rsid w:val="3A5244D1"/>
    <w:rsid w:val="3A6B2B99"/>
    <w:rsid w:val="3A897B78"/>
    <w:rsid w:val="3A8F18EB"/>
    <w:rsid w:val="3A997FE4"/>
    <w:rsid w:val="3AC32107"/>
    <w:rsid w:val="3AD604B2"/>
    <w:rsid w:val="3AF45588"/>
    <w:rsid w:val="3AF51585"/>
    <w:rsid w:val="3B181272"/>
    <w:rsid w:val="3B334302"/>
    <w:rsid w:val="3B3E6803"/>
    <w:rsid w:val="3B424545"/>
    <w:rsid w:val="3B4C233B"/>
    <w:rsid w:val="3B4E433B"/>
    <w:rsid w:val="3B5C3425"/>
    <w:rsid w:val="3B5D3BE4"/>
    <w:rsid w:val="3B633697"/>
    <w:rsid w:val="3B686D34"/>
    <w:rsid w:val="3B806E1C"/>
    <w:rsid w:val="3B890572"/>
    <w:rsid w:val="3B954675"/>
    <w:rsid w:val="3BBE70A5"/>
    <w:rsid w:val="3BC857A7"/>
    <w:rsid w:val="3BD96239"/>
    <w:rsid w:val="3BF34A1D"/>
    <w:rsid w:val="3BFF2436"/>
    <w:rsid w:val="3C0B4937"/>
    <w:rsid w:val="3C145EE2"/>
    <w:rsid w:val="3C1B03FB"/>
    <w:rsid w:val="3C270B87"/>
    <w:rsid w:val="3C2B4FD9"/>
    <w:rsid w:val="3C2B6D87"/>
    <w:rsid w:val="3C5F350F"/>
    <w:rsid w:val="3C6C6E18"/>
    <w:rsid w:val="3C945625"/>
    <w:rsid w:val="3C9859BB"/>
    <w:rsid w:val="3C9E2314"/>
    <w:rsid w:val="3CA05E24"/>
    <w:rsid w:val="3CA42737"/>
    <w:rsid w:val="3CCC056A"/>
    <w:rsid w:val="3D0C0967"/>
    <w:rsid w:val="3D161B99"/>
    <w:rsid w:val="3D1768F0"/>
    <w:rsid w:val="3D2E6523"/>
    <w:rsid w:val="3D672041"/>
    <w:rsid w:val="3D8B68F1"/>
    <w:rsid w:val="3D927240"/>
    <w:rsid w:val="3D95265F"/>
    <w:rsid w:val="3D9848F1"/>
    <w:rsid w:val="3DA663C4"/>
    <w:rsid w:val="3DAE5EC2"/>
    <w:rsid w:val="3DBC57B5"/>
    <w:rsid w:val="3DCE24A8"/>
    <w:rsid w:val="3DD1395F"/>
    <w:rsid w:val="3DDE1DAD"/>
    <w:rsid w:val="3E1D0952"/>
    <w:rsid w:val="3E467EA9"/>
    <w:rsid w:val="3E470B05"/>
    <w:rsid w:val="3E5638B9"/>
    <w:rsid w:val="3E5D5396"/>
    <w:rsid w:val="3E691DE9"/>
    <w:rsid w:val="3E6964DB"/>
    <w:rsid w:val="3E6A467E"/>
    <w:rsid w:val="3E7B23ED"/>
    <w:rsid w:val="3E944AFE"/>
    <w:rsid w:val="3EA845E0"/>
    <w:rsid w:val="3EB145C7"/>
    <w:rsid w:val="3EBA2645"/>
    <w:rsid w:val="3EBB7679"/>
    <w:rsid w:val="3EC3774B"/>
    <w:rsid w:val="3ECC0643"/>
    <w:rsid w:val="3ECD05CA"/>
    <w:rsid w:val="3EE6113C"/>
    <w:rsid w:val="3EEF0540"/>
    <w:rsid w:val="3EFC21F1"/>
    <w:rsid w:val="3F012A96"/>
    <w:rsid w:val="3F133A85"/>
    <w:rsid w:val="3F483869"/>
    <w:rsid w:val="3F695128"/>
    <w:rsid w:val="3F787373"/>
    <w:rsid w:val="3F930775"/>
    <w:rsid w:val="3FA41E9B"/>
    <w:rsid w:val="3FB5178A"/>
    <w:rsid w:val="3FBF5890"/>
    <w:rsid w:val="3FC47D32"/>
    <w:rsid w:val="3FD271A0"/>
    <w:rsid w:val="3FE94F8F"/>
    <w:rsid w:val="3FF658FE"/>
    <w:rsid w:val="40041DC9"/>
    <w:rsid w:val="401B7A6E"/>
    <w:rsid w:val="401D2E8B"/>
    <w:rsid w:val="402D5DC0"/>
    <w:rsid w:val="40307ED7"/>
    <w:rsid w:val="4044560B"/>
    <w:rsid w:val="40493C80"/>
    <w:rsid w:val="404C03A7"/>
    <w:rsid w:val="404F1AC9"/>
    <w:rsid w:val="40516350"/>
    <w:rsid w:val="405420A9"/>
    <w:rsid w:val="405745EF"/>
    <w:rsid w:val="40907B01"/>
    <w:rsid w:val="40A74F20"/>
    <w:rsid w:val="40A83D8E"/>
    <w:rsid w:val="40A91F40"/>
    <w:rsid w:val="40B61873"/>
    <w:rsid w:val="40BD1987"/>
    <w:rsid w:val="40D341E5"/>
    <w:rsid w:val="40E01B42"/>
    <w:rsid w:val="40E63BC5"/>
    <w:rsid w:val="40E8793D"/>
    <w:rsid w:val="410C1F33"/>
    <w:rsid w:val="412E79AC"/>
    <w:rsid w:val="413904B7"/>
    <w:rsid w:val="41497FD8"/>
    <w:rsid w:val="41515384"/>
    <w:rsid w:val="4153125A"/>
    <w:rsid w:val="41742F7F"/>
    <w:rsid w:val="41894C7C"/>
    <w:rsid w:val="41AA074E"/>
    <w:rsid w:val="41B63597"/>
    <w:rsid w:val="41C0099D"/>
    <w:rsid w:val="420267DC"/>
    <w:rsid w:val="420B7071"/>
    <w:rsid w:val="42156111"/>
    <w:rsid w:val="422B02CE"/>
    <w:rsid w:val="42504965"/>
    <w:rsid w:val="428258FD"/>
    <w:rsid w:val="42853ACD"/>
    <w:rsid w:val="428A3DC6"/>
    <w:rsid w:val="42965DDF"/>
    <w:rsid w:val="42990E8B"/>
    <w:rsid w:val="429C7D63"/>
    <w:rsid w:val="42B11027"/>
    <w:rsid w:val="42B21FB1"/>
    <w:rsid w:val="42CE66BF"/>
    <w:rsid w:val="42DF20B9"/>
    <w:rsid w:val="42F77ABC"/>
    <w:rsid w:val="42FC76D0"/>
    <w:rsid w:val="430C59FD"/>
    <w:rsid w:val="4321151E"/>
    <w:rsid w:val="43212C92"/>
    <w:rsid w:val="433A64B5"/>
    <w:rsid w:val="434370AD"/>
    <w:rsid w:val="43554D70"/>
    <w:rsid w:val="435725A1"/>
    <w:rsid w:val="435A14A9"/>
    <w:rsid w:val="435A7156"/>
    <w:rsid w:val="4377406A"/>
    <w:rsid w:val="4381111A"/>
    <w:rsid w:val="439B275C"/>
    <w:rsid w:val="43D84B60"/>
    <w:rsid w:val="43EA39CC"/>
    <w:rsid w:val="440804CB"/>
    <w:rsid w:val="441404F5"/>
    <w:rsid w:val="441E5E65"/>
    <w:rsid w:val="444430DC"/>
    <w:rsid w:val="4451687F"/>
    <w:rsid w:val="445D7CFA"/>
    <w:rsid w:val="446D1973"/>
    <w:rsid w:val="44886FA7"/>
    <w:rsid w:val="44896D41"/>
    <w:rsid w:val="448E4357"/>
    <w:rsid w:val="449D6E3E"/>
    <w:rsid w:val="44AE67A8"/>
    <w:rsid w:val="44B111CA"/>
    <w:rsid w:val="44F92119"/>
    <w:rsid w:val="450A3670"/>
    <w:rsid w:val="451B0980"/>
    <w:rsid w:val="4527538D"/>
    <w:rsid w:val="452C0D9A"/>
    <w:rsid w:val="45386EEE"/>
    <w:rsid w:val="45417763"/>
    <w:rsid w:val="45430328"/>
    <w:rsid w:val="45517E97"/>
    <w:rsid w:val="456504A4"/>
    <w:rsid w:val="456A150E"/>
    <w:rsid w:val="457056A8"/>
    <w:rsid w:val="458C1F06"/>
    <w:rsid w:val="458F482B"/>
    <w:rsid w:val="45962FFB"/>
    <w:rsid w:val="45A51535"/>
    <w:rsid w:val="45C81AEB"/>
    <w:rsid w:val="45EB5E6C"/>
    <w:rsid w:val="45F527D5"/>
    <w:rsid w:val="45F75F2C"/>
    <w:rsid w:val="461A2AB3"/>
    <w:rsid w:val="46364CA7"/>
    <w:rsid w:val="46804174"/>
    <w:rsid w:val="468A4BEC"/>
    <w:rsid w:val="46917F16"/>
    <w:rsid w:val="46933C70"/>
    <w:rsid w:val="46965745"/>
    <w:rsid w:val="46A36564"/>
    <w:rsid w:val="46BA1BCF"/>
    <w:rsid w:val="46C93D6D"/>
    <w:rsid w:val="46D71FE6"/>
    <w:rsid w:val="471B36B5"/>
    <w:rsid w:val="47321B18"/>
    <w:rsid w:val="473F7B8B"/>
    <w:rsid w:val="47525B10"/>
    <w:rsid w:val="475C72FB"/>
    <w:rsid w:val="478B23DE"/>
    <w:rsid w:val="478D2CB4"/>
    <w:rsid w:val="478E75DE"/>
    <w:rsid w:val="47AB60C7"/>
    <w:rsid w:val="47AF51C8"/>
    <w:rsid w:val="47B42327"/>
    <w:rsid w:val="47D91D8D"/>
    <w:rsid w:val="47F46BC7"/>
    <w:rsid w:val="48196B23"/>
    <w:rsid w:val="48246D7E"/>
    <w:rsid w:val="482B4A2C"/>
    <w:rsid w:val="48353BC2"/>
    <w:rsid w:val="48383A8C"/>
    <w:rsid w:val="48390A7E"/>
    <w:rsid w:val="483A5C59"/>
    <w:rsid w:val="483E7E42"/>
    <w:rsid w:val="48435459"/>
    <w:rsid w:val="484641FC"/>
    <w:rsid w:val="485B58B0"/>
    <w:rsid w:val="485D476D"/>
    <w:rsid w:val="48807943"/>
    <w:rsid w:val="488302A0"/>
    <w:rsid w:val="488346C0"/>
    <w:rsid w:val="48864BE0"/>
    <w:rsid w:val="489A0C4E"/>
    <w:rsid w:val="48A979B2"/>
    <w:rsid w:val="48B14AB8"/>
    <w:rsid w:val="48B65B6A"/>
    <w:rsid w:val="48B87E46"/>
    <w:rsid w:val="48CB0A2C"/>
    <w:rsid w:val="48CF2E52"/>
    <w:rsid w:val="48F409BD"/>
    <w:rsid w:val="48F5255C"/>
    <w:rsid w:val="48FF3A76"/>
    <w:rsid w:val="4907292A"/>
    <w:rsid w:val="490C05A8"/>
    <w:rsid w:val="492928A1"/>
    <w:rsid w:val="493078C5"/>
    <w:rsid w:val="49350064"/>
    <w:rsid w:val="49397A7F"/>
    <w:rsid w:val="493F0316"/>
    <w:rsid w:val="493F76C8"/>
    <w:rsid w:val="4957740E"/>
    <w:rsid w:val="495A0CAC"/>
    <w:rsid w:val="495D66FF"/>
    <w:rsid w:val="49774158"/>
    <w:rsid w:val="49891591"/>
    <w:rsid w:val="498D31C6"/>
    <w:rsid w:val="499A72FA"/>
    <w:rsid w:val="499E56ED"/>
    <w:rsid w:val="49B524CE"/>
    <w:rsid w:val="49B9400E"/>
    <w:rsid w:val="49BF30B5"/>
    <w:rsid w:val="49C6736D"/>
    <w:rsid w:val="49D12F9B"/>
    <w:rsid w:val="49D55BA7"/>
    <w:rsid w:val="49D6274E"/>
    <w:rsid w:val="49D6392E"/>
    <w:rsid w:val="49EF34AE"/>
    <w:rsid w:val="4A0C3FEF"/>
    <w:rsid w:val="4A1872FF"/>
    <w:rsid w:val="4A286FFC"/>
    <w:rsid w:val="4A3459A1"/>
    <w:rsid w:val="4A4142DC"/>
    <w:rsid w:val="4A583413"/>
    <w:rsid w:val="4A623049"/>
    <w:rsid w:val="4A7F4E6E"/>
    <w:rsid w:val="4A800BE6"/>
    <w:rsid w:val="4AB56AE2"/>
    <w:rsid w:val="4ABF170F"/>
    <w:rsid w:val="4AD00929"/>
    <w:rsid w:val="4AFF4C34"/>
    <w:rsid w:val="4B1B26BD"/>
    <w:rsid w:val="4B3208DC"/>
    <w:rsid w:val="4B4B748E"/>
    <w:rsid w:val="4B55797D"/>
    <w:rsid w:val="4B670B02"/>
    <w:rsid w:val="4B6F69AD"/>
    <w:rsid w:val="4BA04482"/>
    <w:rsid w:val="4BA07CD0"/>
    <w:rsid w:val="4BA62E09"/>
    <w:rsid w:val="4BC64F25"/>
    <w:rsid w:val="4BC95A65"/>
    <w:rsid w:val="4BCE772F"/>
    <w:rsid w:val="4BDA4326"/>
    <w:rsid w:val="4BDC2D24"/>
    <w:rsid w:val="4BE31185"/>
    <w:rsid w:val="4BEA1A66"/>
    <w:rsid w:val="4C0E34FC"/>
    <w:rsid w:val="4C0F07B7"/>
    <w:rsid w:val="4C1037AC"/>
    <w:rsid w:val="4C1971CE"/>
    <w:rsid w:val="4C325F10"/>
    <w:rsid w:val="4C3F0075"/>
    <w:rsid w:val="4C4874E2"/>
    <w:rsid w:val="4C5E10A4"/>
    <w:rsid w:val="4C6B0D41"/>
    <w:rsid w:val="4C903B1D"/>
    <w:rsid w:val="4C9E4899"/>
    <w:rsid w:val="4CA034BC"/>
    <w:rsid w:val="4CAB5B4A"/>
    <w:rsid w:val="4CB85809"/>
    <w:rsid w:val="4CC017AB"/>
    <w:rsid w:val="4CC46918"/>
    <w:rsid w:val="4CDA49F3"/>
    <w:rsid w:val="4CF576E6"/>
    <w:rsid w:val="4D000BDA"/>
    <w:rsid w:val="4D005B8D"/>
    <w:rsid w:val="4D007DBC"/>
    <w:rsid w:val="4D1442A5"/>
    <w:rsid w:val="4D167942"/>
    <w:rsid w:val="4D1A2C2C"/>
    <w:rsid w:val="4D253065"/>
    <w:rsid w:val="4D265A75"/>
    <w:rsid w:val="4D2C3904"/>
    <w:rsid w:val="4D36558C"/>
    <w:rsid w:val="4D386F9E"/>
    <w:rsid w:val="4D422183"/>
    <w:rsid w:val="4D583754"/>
    <w:rsid w:val="4D5B4266"/>
    <w:rsid w:val="4D8945D3"/>
    <w:rsid w:val="4D994B3D"/>
    <w:rsid w:val="4D9F660C"/>
    <w:rsid w:val="4DAF5285"/>
    <w:rsid w:val="4DB7491F"/>
    <w:rsid w:val="4DDA060D"/>
    <w:rsid w:val="4DDE1EAC"/>
    <w:rsid w:val="4DE60D60"/>
    <w:rsid w:val="4DE96C85"/>
    <w:rsid w:val="4DF0307F"/>
    <w:rsid w:val="4E092CA1"/>
    <w:rsid w:val="4E0C0BD4"/>
    <w:rsid w:val="4E3918B0"/>
    <w:rsid w:val="4E396E86"/>
    <w:rsid w:val="4E610F19"/>
    <w:rsid w:val="4E67519C"/>
    <w:rsid w:val="4E676345"/>
    <w:rsid w:val="4E7F1A99"/>
    <w:rsid w:val="4E964534"/>
    <w:rsid w:val="4EA30A98"/>
    <w:rsid w:val="4EAD187E"/>
    <w:rsid w:val="4EBB21ED"/>
    <w:rsid w:val="4EBC4E46"/>
    <w:rsid w:val="4EE03A01"/>
    <w:rsid w:val="4EE84EB3"/>
    <w:rsid w:val="4F1503EB"/>
    <w:rsid w:val="4F201784"/>
    <w:rsid w:val="4F22401A"/>
    <w:rsid w:val="4F53428E"/>
    <w:rsid w:val="4F5A1D04"/>
    <w:rsid w:val="4F7D74A2"/>
    <w:rsid w:val="4F8A385D"/>
    <w:rsid w:val="4F9B0FDE"/>
    <w:rsid w:val="4FB010C7"/>
    <w:rsid w:val="4FC11FFF"/>
    <w:rsid w:val="4FD76827"/>
    <w:rsid w:val="4FDA6C5E"/>
    <w:rsid w:val="500B0F52"/>
    <w:rsid w:val="50153262"/>
    <w:rsid w:val="50197D53"/>
    <w:rsid w:val="502E4997"/>
    <w:rsid w:val="50416722"/>
    <w:rsid w:val="5043117B"/>
    <w:rsid w:val="504F0E3F"/>
    <w:rsid w:val="504F2F1D"/>
    <w:rsid w:val="5079410E"/>
    <w:rsid w:val="507B60D8"/>
    <w:rsid w:val="50853EFA"/>
    <w:rsid w:val="50924920"/>
    <w:rsid w:val="5094134D"/>
    <w:rsid w:val="50966A6E"/>
    <w:rsid w:val="509A59E8"/>
    <w:rsid w:val="50D852D8"/>
    <w:rsid w:val="50DB448D"/>
    <w:rsid w:val="50DD28EE"/>
    <w:rsid w:val="50E357F0"/>
    <w:rsid w:val="50E64AE4"/>
    <w:rsid w:val="50EF617E"/>
    <w:rsid w:val="512439E3"/>
    <w:rsid w:val="512C67D5"/>
    <w:rsid w:val="51330760"/>
    <w:rsid w:val="513A1AEF"/>
    <w:rsid w:val="51484888"/>
    <w:rsid w:val="515813B2"/>
    <w:rsid w:val="515B1EAB"/>
    <w:rsid w:val="516B5C90"/>
    <w:rsid w:val="51821F5E"/>
    <w:rsid w:val="51986815"/>
    <w:rsid w:val="51B211F1"/>
    <w:rsid w:val="51B55619"/>
    <w:rsid w:val="51C30881"/>
    <w:rsid w:val="51C70EA9"/>
    <w:rsid w:val="51CD7DBD"/>
    <w:rsid w:val="51F31FFB"/>
    <w:rsid w:val="520470E0"/>
    <w:rsid w:val="520D7A89"/>
    <w:rsid w:val="520E4D2A"/>
    <w:rsid w:val="5248023B"/>
    <w:rsid w:val="524E3378"/>
    <w:rsid w:val="52616303"/>
    <w:rsid w:val="526B59F8"/>
    <w:rsid w:val="52952D55"/>
    <w:rsid w:val="52992845"/>
    <w:rsid w:val="529F6F42"/>
    <w:rsid w:val="52AB0355"/>
    <w:rsid w:val="52BB3073"/>
    <w:rsid w:val="52D95337"/>
    <w:rsid w:val="530D2305"/>
    <w:rsid w:val="53121138"/>
    <w:rsid w:val="531C6FD2"/>
    <w:rsid w:val="532D533B"/>
    <w:rsid w:val="535B7AFB"/>
    <w:rsid w:val="53874076"/>
    <w:rsid w:val="538C5F06"/>
    <w:rsid w:val="53A722AD"/>
    <w:rsid w:val="53BC7A37"/>
    <w:rsid w:val="53CE3EC7"/>
    <w:rsid w:val="54136627"/>
    <w:rsid w:val="541F1DAD"/>
    <w:rsid w:val="54287211"/>
    <w:rsid w:val="542C1497"/>
    <w:rsid w:val="5430572D"/>
    <w:rsid w:val="54322298"/>
    <w:rsid w:val="54336E15"/>
    <w:rsid w:val="543551B2"/>
    <w:rsid w:val="54380447"/>
    <w:rsid w:val="544667B3"/>
    <w:rsid w:val="547215A0"/>
    <w:rsid w:val="54774ABF"/>
    <w:rsid w:val="54806105"/>
    <w:rsid w:val="548D6236"/>
    <w:rsid w:val="549A35B5"/>
    <w:rsid w:val="54A5345E"/>
    <w:rsid w:val="54BF1FCD"/>
    <w:rsid w:val="54CC5154"/>
    <w:rsid w:val="54CD7B84"/>
    <w:rsid w:val="54D47189"/>
    <w:rsid w:val="54D62497"/>
    <w:rsid w:val="54EA382C"/>
    <w:rsid w:val="54F10A4B"/>
    <w:rsid w:val="5520724E"/>
    <w:rsid w:val="552276FE"/>
    <w:rsid w:val="5533734C"/>
    <w:rsid w:val="553C1544"/>
    <w:rsid w:val="553C1C95"/>
    <w:rsid w:val="55473E78"/>
    <w:rsid w:val="555C0208"/>
    <w:rsid w:val="557135FE"/>
    <w:rsid w:val="55794BB0"/>
    <w:rsid w:val="55850C4A"/>
    <w:rsid w:val="558D11DB"/>
    <w:rsid w:val="55925D1D"/>
    <w:rsid w:val="55B300C2"/>
    <w:rsid w:val="55C951EF"/>
    <w:rsid w:val="55D102A5"/>
    <w:rsid w:val="55D231E5"/>
    <w:rsid w:val="55D32512"/>
    <w:rsid w:val="55F84A4B"/>
    <w:rsid w:val="56396ED3"/>
    <w:rsid w:val="564E7DEA"/>
    <w:rsid w:val="566413BC"/>
    <w:rsid w:val="56645E61"/>
    <w:rsid w:val="56674A08"/>
    <w:rsid w:val="566903DB"/>
    <w:rsid w:val="569945BB"/>
    <w:rsid w:val="56C65BD3"/>
    <w:rsid w:val="56D51988"/>
    <w:rsid w:val="56DD18C2"/>
    <w:rsid w:val="56E65DAC"/>
    <w:rsid w:val="56F3081B"/>
    <w:rsid w:val="56FF33EE"/>
    <w:rsid w:val="571D00BA"/>
    <w:rsid w:val="5729778D"/>
    <w:rsid w:val="577928CC"/>
    <w:rsid w:val="578F6397"/>
    <w:rsid w:val="579B2A9A"/>
    <w:rsid w:val="57A801C2"/>
    <w:rsid w:val="57AA0DFE"/>
    <w:rsid w:val="57AA1051"/>
    <w:rsid w:val="57D936E4"/>
    <w:rsid w:val="57DB13D1"/>
    <w:rsid w:val="57E03BD0"/>
    <w:rsid w:val="57E91B79"/>
    <w:rsid w:val="57F04A08"/>
    <w:rsid w:val="57F329F7"/>
    <w:rsid w:val="580239A1"/>
    <w:rsid w:val="58340256"/>
    <w:rsid w:val="586002EA"/>
    <w:rsid w:val="5886170D"/>
    <w:rsid w:val="58883F2F"/>
    <w:rsid w:val="589B1CC7"/>
    <w:rsid w:val="589D1A2B"/>
    <w:rsid w:val="58B54185"/>
    <w:rsid w:val="58B95755"/>
    <w:rsid w:val="58BF1981"/>
    <w:rsid w:val="58D32977"/>
    <w:rsid w:val="58DE50A6"/>
    <w:rsid w:val="58E54F31"/>
    <w:rsid w:val="58E6255C"/>
    <w:rsid w:val="58F44C79"/>
    <w:rsid w:val="58F76517"/>
    <w:rsid w:val="58FC4C45"/>
    <w:rsid w:val="58FE78A6"/>
    <w:rsid w:val="59096787"/>
    <w:rsid w:val="590C18DE"/>
    <w:rsid w:val="59217D7A"/>
    <w:rsid w:val="594C2116"/>
    <w:rsid w:val="59515641"/>
    <w:rsid w:val="596746B3"/>
    <w:rsid w:val="597F31B6"/>
    <w:rsid w:val="59861538"/>
    <w:rsid w:val="598A015B"/>
    <w:rsid w:val="59B67FCD"/>
    <w:rsid w:val="59BC3650"/>
    <w:rsid w:val="59D4110B"/>
    <w:rsid w:val="59ED58D3"/>
    <w:rsid w:val="59EE1D15"/>
    <w:rsid w:val="5A045295"/>
    <w:rsid w:val="5A0E58C7"/>
    <w:rsid w:val="5A6000EC"/>
    <w:rsid w:val="5A6202C7"/>
    <w:rsid w:val="5A717F54"/>
    <w:rsid w:val="5A731BCE"/>
    <w:rsid w:val="5A7B0847"/>
    <w:rsid w:val="5A81679B"/>
    <w:rsid w:val="5A8E1CEA"/>
    <w:rsid w:val="5A987886"/>
    <w:rsid w:val="5AC465E0"/>
    <w:rsid w:val="5AE359FA"/>
    <w:rsid w:val="5AE8624D"/>
    <w:rsid w:val="5AF67B2C"/>
    <w:rsid w:val="5AF96577"/>
    <w:rsid w:val="5B0E28CB"/>
    <w:rsid w:val="5B1024BB"/>
    <w:rsid w:val="5B127349"/>
    <w:rsid w:val="5B156152"/>
    <w:rsid w:val="5B20105C"/>
    <w:rsid w:val="5B266C40"/>
    <w:rsid w:val="5B3550D5"/>
    <w:rsid w:val="5B433C96"/>
    <w:rsid w:val="5B444178"/>
    <w:rsid w:val="5B5E3054"/>
    <w:rsid w:val="5B615ECA"/>
    <w:rsid w:val="5B86309B"/>
    <w:rsid w:val="5B9B13DC"/>
    <w:rsid w:val="5BA81F6B"/>
    <w:rsid w:val="5BC76D3F"/>
    <w:rsid w:val="5BCC2246"/>
    <w:rsid w:val="5BEF7366"/>
    <w:rsid w:val="5BFE2871"/>
    <w:rsid w:val="5C1631F6"/>
    <w:rsid w:val="5C164F06"/>
    <w:rsid w:val="5C25339C"/>
    <w:rsid w:val="5C270EC2"/>
    <w:rsid w:val="5C2A1931"/>
    <w:rsid w:val="5C2C78B8"/>
    <w:rsid w:val="5C2F5FC8"/>
    <w:rsid w:val="5C411BA8"/>
    <w:rsid w:val="5C537F09"/>
    <w:rsid w:val="5C5617A7"/>
    <w:rsid w:val="5C5E4709"/>
    <w:rsid w:val="5C69772C"/>
    <w:rsid w:val="5C72583E"/>
    <w:rsid w:val="5C8133A7"/>
    <w:rsid w:val="5C8370DF"/>
    <w:rsid w:val="5C867CC5"/>
    <w:rsid w:val="5C9B567B"/>
    <w:rsid w:val="5CB548E7"/>
    <w:rsid w:val="5CB87D6C"/>
    <w:rsid w:val="5CC34D70"/>
    <w:rsid w:val="5CC36294"/>
    <w:rsid w:val="5CC43E95"/>
    <w:rsid w:val="5CC84515"/>
    <w:rsid w:val="5CD8040E"/>
    <w:rsid w:val="5CF76AE6"/>
    <w:rsid w:val="5D015BB7"/>
    <w:rsid w:val="5D0A075D"/>
    <w:rsid w:val="5D0B7F00"/>
    <w:rsid w:val="5D104363"/>
    <w:rsid w:val="5D262BB7"/>
    <w:rsid w:val="5D281BF4"/>
    <w:rsid w:val="5D2B6790"/>
    <w:rsid w:val="5D5A52C7"/>
    <w:rsid w:val="5D5D6660"/>
    <w:rsid w:val="5D6174AE"/>
    <w:rsid w:val="5D685645"/>
    <w:rsid w:val="5D7653AB"/>
    <w:rsid w:val="5D7A3273"/>
    <w:rsid w:val="5D9A196D"/>
    <w:rsid w:val="5D9E6676"/>
    <w:rsid w:val="5DA327CA"/>
    <w:rsid w:val="5DA6559F"/>
    <w:rsid w:val="5DAA448C"/>
    <w:rsid w:val="5DB22A0D"/>
    <w:rsid w:val="5DB26EB1"/>
    <w:rsid w:val="5DC832BE"/>
    <w:rsid w:val="5DCD4076"/>
    <w:rsid w:val="5DDA257C"/>
    <w:rsid w:val="5DED3C01"/>
    <w:rsid w:val="5E08087F"/>
    <w:rsid w:val="5E1B6804"/>
    <w:rsid w:val="5E2C6C63"/>
    <w:rsid w:val="5E3C09B0"/>
    <w:rsid w:val="5E5416A1"/>
    <w:rsid w:val="5E631301"/>
    <w:rsid w:val="5E631F59"/>
    <w:rsid w:val="5E655CD1"/>
    <w:rsid w:val="5E816FDD"/>
    <w:rsid w:val="5EB2125D"/>
    <w:rsid w:val="5EB46D05"/>
    <w:rsid w:val="5EBD48E2"/>
    <w:rsid w:val="5EDD3F73"/>
    <w:rsid w:val="5F033A5D"/>
    <w:rsid w:val="5F046CF9"/>
    <w:rsid w:val="5F11429A"/>
    <w:rsid w:val="5F1C2834"/>
    <w:rsid w:val="5F3128C9"/>
    <w:rsid w:val="5F441643"/>
    <w:rsid w:val="5F5B5A84"/>
    <w:rsid w:val="5F6661A5"/>
    <w:rsid w:val="5F6F44BE"/>
    <w:rsid w:val="5F726518"/>
    <w:rsid w:val="5F772160"/>
    <w:rsid w:val="5F906D7E"/>
    <w:rsid w:val="5F914BAB"/>
    <w:rsid w:val="5F9510A6"/>
    <w:rsid w:val="5FA85086"/>
    <w:rsid w:val="5FB763F1"/>
    <w:rsid w:val="5FD31A80"/>
    <w:rsid w:val="5FDF4A74"/>
    <w:rsid w:val="5FF9673D"/>
    <w:rsid w:val="60031C46"/>
    <w:rsid w:val="60371E60"/>
    <w:rsid w:val="6046631B"/>
    <w:rsid w:val="60477A6E"/>
    <w:rsid w:val="605B55DE"/>
    <w:rsid w:val="605F3475"/>
    <w:rsid w:val="6061371C"/>
    <w:rsid w:val="60714E01"/>
    <w:rsid w:val="607D1456"/>
    <w:rsid w:val="607F3A87"/>
    <w:rsid w:val="608E59B3"/>
    <w:rsid w:val="609656CF"/>
    <w:rsid w:val="60CB162F"/>
    <w:rsid w:val="60D649D5"/>
    <w:rsid w:val="60DD30B1"/>
    <w:rsid w:val="60E406F3"/>
    <w:rsid w:val="60F11E42"/>
    <w:rsid w:val="60F670B5"/>
    <w:rsid w:val="60FE25E7"/>
    <w:rsid w:val="61012423"/>
    <w:rsid w:val="61072042"/>
    <w:rsid w:val="614C4B7F"/>
    <w:rsid w:val="61665FE8"/>
    <w:rsid w:val="616C3E03"/>
    <w:rsid w:val="616F1F6E"/>
    <w:rsid w:val="6170330B"/>
    <w:rsid w:val="6171498D"/>
    <w:rsid w:val="61A82BC6"/>
    <w:rsid w:val="61B22911"/>
    <w:rsid w:val="61B34FA6"/>
    <w:rsid w:val="61BC02FE"/>
    <w:rsid w:val="61BC79B7"/>
    <w:rsid w:val="61BE2520"/>
    <w:rsid w:val="61CF077E"/>
    <w:rsid w:val="61F636C4"/>
    <w:rsid w:val="62052000"/>
    <w:rsid w:val="620F72E3"/>
    <w:rsid w:val="621719D8"/>
    <w:rsid w:val="621A0F33"/>
    <w:rsid w:val="622540F5"/>
    <w:rsid w:val="624A590A"/>
    <w:rsid w:val="624C4EB5"/>
    <w:rsid w:val="62595B4D"/>
    <w:rsid w:val="626562A0"/>
    <w:rsid w:val="6277665F"/>
    <w:rsid w:val="627A19DB"/>
    <w:rsid w:val="62B749A1"/>
    <w:rsid w:val="62C751AC"/>
    <w:rsid w:val="62D524B3"/>
    <w:rsid w:val="62E25B42"/>
    <w:rsid w:val="630932C0"/>
    <w:rsid w:val="630C7132"/>
    <w:rsid w:val="63190B09"/>
    <w:rsid w:val="631F0B45"/>
    <w:rsid w:val="632E0D88"/>
    <w:rsid w:val="633E40B5"/>
    <w:rsid w:val="634B3AE7"/>
    <w:rsid w:val="6356208C"/>
    <w:rsid w:val="63592306"/>
    <w:rsid w:val="636703F6"/>
    <w:rsid w:val="637D5D46"/>
    <w:rsid w:val="637E5499"/>
    <w:rsid w:val="637F7835"/>
    <w:rsid w:val="63952AAC"/>
    <w:rsid w:val="639A641D"/>
    <w:rsid w:val="63B10C53"/>
    <w:rsid w:val="63BA261B"/>
    <w:rsid w:val="63D4042E"/>
    <w:rsid w:val="63E41BEA"/>
    <w:rsid w:val="640E4F6F"/>
    <w:rsid w:val="64183E80"/>
    <w:rsid w:val="641A5754"/>
    <w:rsid w:val="641C32D6"/>
    <w:rsid w:val="642076CF"/>
    <w:rsid w:val="64207E08"/>
    <w:rsid w:val="64213A33"/>
    <w:rsid w:val="64287ECD"/>
    <w:rsid w:val="642C1715"/>
    <w:rsid w:val="64506B1E"/>
    <w:rsid w:val="6469701B"/>
    <w:rsid w:val="648D1ADE"/>
    <w:rsid w:val="64B452BD"/>
    <w:rsid w:val="64C24FAF"/>
    <w:rsid w:val="64CC2A37"/>
    <w:rsid w:val="64E8010F"/>
    <w:rsid w:val="64F66EBB"/>
    <w:rsid w:val="65105E90"/>
    <w:rsid w:val="65491EA9"/>
    <w:rsid w:val="65623C4A"/>
    <w:rsid w:val="65670581"/>
    <w:rsid w:val="656C3DE9"/>
    <w:rsid w:val="656D37B1"/>
    <w:rsid w:val="656F1260"/>
    <w:rsid w:val="6573240E"/>
    <w:rsid w:val="658F7E46"/>
    <w:rsid w:val="65B27536"/>
    <w:rsid w:val="65BB7B8B"/>
    <w:rsid w:val="65D8478F"/>
    <w:rsid w:val="65DD0843"/>
    <w:rsid w:val="65EB6196"/>
    <w:rsid w:val="65F85430"/>
    <w:rsid w:val="65FE0EE5"/>
    <w:rsid w:val="65FF69B2"/>
    <w:rsid w:val="66122BBC"/>
    <w:rsid w:val="66264AE6"/>
    <w:rsid w:val="66285F62"/>
    <w:rsid w:val="662F729B"/>
    <w:rsid w:val="66402D0B"/>
    <w:rsid w:val="66430FEE"/>
    <w:rsid w:val="664F7993"/>
    <w:rsid w:val="665126FC"/>
    <w:rsid w:val="66955165"/>
    <w:rsid w:val="66A6332B"/>
    <w:rsid w:val="66A865D3"/>
    <w:rsid w:val="66CB7FF9"/>
    <w:rsid w:val="66E56677"/>
    <w:rsid w:val="66F347C2"/>
    <w:rsid w:val="670A1811"/>
    <w:rsid w:val="670A5668"/>
    <w:rsid w:val="672A5B7A"/>
    <w:rsid w:val="673F51E4"/>
    <w:rsid w:val="675114E9"/>
    <w:rsid w:val="676377C2"/>
    <w:rsid w:val="6780592A"/>
    <w:rsid w:val="679179C8"/>
    <w:rsid w:val="679F7D30"/>
    <w:rsid w:val="67A76058"/>
    <w:rsid w:val="67D91316"/>
    <w:rsid w:val="67DD03AF"/>
    <w:rsid w:val="67DD212F"/>
    <w:rsid w:val="67DD73C6"/>
    <w:rsid w:val="67E10ABE"/>
    <w:rsid w:val="6803795C"/>
    <w:rsid w:val="681724DB"/>
    <w:rsid w:val="681A5D7E"/>
    <w:rsid w:val="682E35D8"/>
    <w:rsid w:val="68390C12"/>
    <w:rsid w:val="68773BBF"/>
    <w:rsid w:val="687B4D52"/>
    <w:rsid w:val="687C45B1"/>
    <w:rsid w:val="68892386"/>
    <w:rsid w:val="689A0C6D"/>
    <w:rsid w:val="68AB2361"/>
    <w:rsid w:val="68F16ADF"/>
    <w:rsid w:val="691911DD"/>
    <w:rsid w:val="691E53FA"/>
    <w:rsid w:val="692B43DE"/>
    <w:rsid w:val="69313380"/>
    <w:rsid w:val="69766FE4"/>
    <w:rsid w:val="69951A33"/>
    <w:rsid w:val="69A200AE"/>
    <w:rsid w:val="69CF0722"/>
    <w:rsid w:val="69D0701B"/>
    <w:rsid w:val="69ED2126"/>
    <w:rsid w:val="6A072D8D"/>
    <w:rsid w:val="6A074A72"/>
    <w:rsid w:val="6A0B01C4"/>
    <w:rsid w:val="6A1A3E14"/>
    <w:rsid w:val="6A220F1A"/>
    <w:rsid w:val="6A232853"/>
    <w:rsid w:val="6A2C4D50"/>
    <w:rsid w:val="6A3B3D8A"/>
    <w:rsid w:val="6A722E5A"/>
    <w:rsid w:val="6A781315"/>
    <w:rsid w:val="6A7F011B"/>
    <w:rsid w:val="6AB23D97"/>
    <w:rsid w:val="6AB51E3F"/>
    <w:rsid w:val="6ACD71EB"/>
    <w:rsid w:val="6AE17D81"/>
    <w:rsid w:val="6AE27D0F"/>
    <w:rsid w:val="6AEF52A0"/>
    <w:rsid w:val="6B1378B5"/>
    <w:rsid w:val="6B146AB5"/>
    <w:rsid w:val="6B165650"/>
    <w:rsid w:val="6B2968F7"/>
    <w:rsid w:val="6B353241"/>
    <w:rsid w:val="6B7F1EA3"/>
    <w:rsid w:val="6BA240C1"/>
    <w:rsid w:val="6BBB0FCC"/>
    <w:rsid w:val="6BD82A45"/>
    <w:rsid w:val="6BEA5A68"/>
    <w:rsid w:val="6C060AF4"/>
    <w:rsid w:val="6C197051"/>
    <w:rsid w:val="6C255150"/>
    <w:rsid w:val="6C316827"/>
    <w:rsid w:val="6C3D028D"/>
    <w:rsid w:val="6C4046DD"/>
    <w:rsid w:val="6C4530AB"/>
    <w:rsid w:val="6C474208"/>
    <w:rsid w:val="6C4823EA"/>
    <w:rsid w:val="6C506213"/>
    <w:rsid w:val="6C6E7C47"/>
    <w:rsid w:val="6C871509"/>
    <w:rsid w:val="6C8B25BF"/>
    <w:rsid w:val="6C922387"/>
    <w:rsid w:val="6C932FB9"/>
    <w:rsid w:val="6C9500C9"/>
    <w:rsid w:val="6C95333D"/>
    <w:rsid w:val="6CC8517E"/>
    <w:rsid w:val="6CCB5899"/>
    <w:rsid w:val="6CD72490"/>
    <w:rsid w:val="6CE4167D"/>
    <w:rsid w:val="6CE65AB8"/>
    <w:rsid w:val="6CEA7A1B"/>
    <w:rsid w:val="6CEF5734"/>
    <w:rsid w:val="6CFA1EAB"/>
    <w:rsid w:val="6D0843F7"/>
    <w:rsid w:val="6D351BC8"/>
    <w:rsid w:val="6D392803"/>
    <w:rsid w:val="6D486B3D"/>
    <w:rsid w:val="6D4C44E9"/>
    <w:rsid w:val="6D747CDF"/>
    <w:rsid w:val="6D7F6345"/>
    <w:rsid w:val="6D82064E"/>
    <w:rsid w:val="6D8B2F13"/>
    <w:rsid w:val="6DB4611F"/>
    <w:rsid w:val="6DB91B96"/>
    <w:rsid w:val="6DEB6993"/>
    <w:rsid w:val="6DEB78FE"/>
    <w:rsid w:val="6DF25F3D"/>
    <w:rsid w:val="6E027099"/>
    <w:rsid w:val="6E071CA7"/>
    <w:rsid w:val="6E6762E9"/>
    <w:rsid w:val="6E8B2698"/>
    <w:rsid w:val="6EC151A6"/>
    <w:rsid w:val="6EDA0016"/>
    <w:rsid w:val="6F0A731D"/>
    <w:rsid w:val="6F280D81"/>
    <w:rsid w:val="6F2D1DE0"/>
    <w:rsid w:val="6F2D6397"/>
    <w:rsid w:val="6F410196"/>
    <w:rsid w:val="6F4D4C8B"/>
    <w:rsid w:val="6F5B5767"/>
    <w:rsid w:val="6F5F03D4"/>
    <w:rsid w:val="6F7B04C9"/>
    <w:rsid w:val="6FC52A74"/>
    <w:rsid w:val="6FC73E3A"/>
    <w:rsid w:val="6FED4B97"/>
    <w:rsid w:val="6FF4607D"/>
    <w:rsid w:val="6FF46EB5"/>
    <w:rsid w:val="6FFD045F"/>
    <w:rsid w:val="70003A0E"/>
    <w:rsid w:val="70044037"/>
    <w:rsid w:val="70064D9E"/>
    <w:rsid w:val="70167DED"/>
    <w:rsid w:val="70187047"/>
    <w:rsid w:val="701A030F"/>
    <w:rsid w:val="704B11CB"/>
    <w:rsid w:val="704C0A9F"/>
    <w:rsid w:val="706157ED"/>
    <w:rsid w:val="706B63E0"/>
    <w:rsid w:val="708E730A"/>
    <w:rsid w:val="70931138"/>
    <w:rsid w:val="70981F36"/>
    <w:rsid w:val="70AF2468"/>
    <w:rsid w:val="70B7060E"/>
    <w:rsid w:val="70C25205"/>
    <w:rsid w:val="70C2704E"/>
    <w:rsid w:val="70C76378"/>
    <w:rsid w:val="70D53553"/>
    <w:rsid w:val="70D56CE6"/>
    <w:rsid w:val="70E433CD"/>
    <w:rsid w:val="70F116CB"/>
    <w:rsid w:val="70FE0055"/>
    <w:rsid w:val="71031AA6"/>
    <w:rsid w:val="710E636D"/>
    <w:rsid w:val="71213CDA"/>
    <w:rsid w:val="713D1A97"/>
    <w:rsid w:val="71467A72"/>
    <w:rsid w:val="71493231"/>
    <w:rsid w:val="71551866"/>
    <w:rsid w:val="716709D5"/>
    <w:rsid w:val="717946F8"/>
    <w:rsid w:val="717F5F7A"/>
    <w:rsid w:val="718524BB"/>
    <w:rsid w:val="71964699"/>
    <w:rsid w:val="71AB5C99"/>
    <w:rsid w:val="71AD31EB"/>
    <w:rsid w:val="71B303F4"/>
    <w:rsid w:val="71C54519"/>
    <w:rsid w:val="71D85727"/>
    <w:rsid w:val="71D963A4"/>
    <w:rsid w:val="71DF766A"/>
    <w:rsid w:val="720F0649"/>
    <w:rsid w:val="7219387A"/>
    <w:rsid w:val="721B4BCD"/>
    <w:rsid w:val="722133BC"/>
    <w:rsid w:val="7228274E"/>
    <w:rsid w:val="7243340D"/>
    <w:rsid w:val="72563BFF"/>
    <w:rsid w:val="725E620C"/>
    <w:rsid w:val="726E2F4F"/>
    <w:rsid w:val="727E6B0B"/>
    <w:rsid w:val="728E2630"/>
    <w:rsid w:val="72995FF8"/>
    <w:rsid w:val="72B15531"/>
    <w:rsid w:val="72C159AA"/>
    <w:rsid w:val="72DC4E4C"/>
    <w:rsid w:val="72E079C4"/>
    <w:rsid w:val="72FD42D3"/>
    <w:rsid w:val="73004332"/>
    <w:rsid w:val="73071100"/>
    <w:rsid w:val="730C2768"/>
    <w:rsid w:val="731B04C8"/>
    <w:rsid w:val="734F413E"/>
    <w:rsid w:val="735D50CC"/>
    <w:rsid w:val="7367613B"/>
    <w:rsid w:val="7390329A"/>
    <w:rsid w:val="739F6FC8"/>
    <w:rsid w:val="73AE7220"/>
    <w:rsid w:val="73B5537E"/>
    <w:rsid w:val="73C978F4"/>
    <w:rsid w:val="73CC57F7"/>
    <w:rsid w:val="73E21E46"/>
    <w:rsid w:val="73FC23C5"/>
    <w:rsid w:val="74081181"/>
    <w:rsid w:val="741A65D3"/>
    <w:rsid w:val="741D45F0"/>
    <w:rsid w:val="74367E68"/>
    <w:rsid w:val="743B33FB"/>
    <w:rsid w:val="7445090D"/>
    <w:rsid w:val="744856E9"/>
    <w:rsid w:val="7470651F"/>
    <w:rsid w:val="74777BC4"/>
    <w:rsid w:val="7490676C"/>
    <w:rsid w:val="74BF5767"/>
    <w:rsid w:val="74CB0B2C"/>
    <w:rsid w:val="74CB6502"/>
    <w:rsid w:val="74D120CE"/>
    <w:rsid w:val="74DB4EF0"/>
    <w:rsid w:val="74DD0860"/>
    <w:rsid w:val="74DE1AB1"/>
    <w:rsid w:val="74FA75E3"/>
    <w:rsid w:val="750443DC"/>
    <w:rsid w:val="752B3379"/>
    <w:rsid w:val="755D0CB2"/>
    <w:rsid w:val="75857B5E"/>
    <w:rsid w:val="758646C2"/>
    <w:rsid w:val="7589009F"/>
    <w:rsid w:val="758E3908"/>
    <w:rsid w:val="75A44E30"/>
    <w:rsid w:val="75BA294F"/>
    <w:rsid w:val="75C851C8"/>
    <w:rsid w:val="75CA1ADA"/>
    <w:rsid w:val="75D02172"/>
    <w:rsid w:val="75E86FC4"/>
    <w:rsid w:val="760D2A7F"/>
    <w:rsid w:val="76175A6E"/>
    <w:rsid w:val="76197675"/>
    <w:rsid w:val="762B511D"/>
    <w:rsid w:val="762B5982"/>
    <w:rsid w:val="76375D4D"/>
    <w:rsid w:val="763C59E5"/>
    <w:rsid w:val="764D505D"/>
    <w:rsid w:val="76523896"/>
    <w:rsid w:val="76576D27"/>
    <w:rsid w:val="766052A4"/>
    <w:rsid w:val="766760F0"/>
    <w:rsid w:val="767C79F5"/>
    <w:rsid w:val="768A574F"/>
    <w:rsid w:val="76962A74"/>
    <w:rsid w:val="76A159CD"/>
    <w:rsid w:val="76B949B4"/>
    <w:rsid w:val="76BC2512"/>
    <w:rsid w:val="76BC7CCD"/>
    <w:rsid w:val="76DA7B09"/>
    <w:rsid w:val="76E26484"/>
    <w:rsid w:val="76FB3C44"/>
    <w:rsid w:val="770965F1"/>
    <w:rsid w:val="77133DE7"/>
    <w:rsid w:val="77297D8C"/>
    <w:rsid w:val="772A6B6C"/>
    <w:rsid w:val="772E53A2"/>
    <w:rsid w:val="773A1F90"/>
    <w:rsid w:val="774279C4"/>
    <w:rsid w:val="774A34BA"/>
    <w:rsid w:val="775841CD"/>
    <w:rsid w:val="775D3592"/>
    <w:rsid w:val="776E05AF"/>
    <w:rsid w:val="776F1B42"/>
    <w:rsid w:val="7771068C"/>
    <w:rsid w:val="77874E12"/>
    <w:rsid w:val="77905D1A"/>
    <w:rsid w:val="779D4750"/>
    <w:rsid w:val="779F50A1"/>
    <w:rsid w:val="77BF5C0D"/>
    <w:rsid w:val="77DB744B"/>
    <w:rsid w:val="77DD3684"/>
    <w:rsid w:val="77E141C3"/>
    <w:rsid w:val="77E52C3C"/>
    <w:rsid w:val="77F739E6"/>
    <w:rsid w:val="7808174F"/>
    <w:rsid w:val="780F0D30"/>
    <w:rsid w:val="78197E01"/>
    <w:rsid w:val="781E0CC6"/>
    <w:rsid w:val="78247A60"/>
    <w:rsid w:val="78324A1E"/>
    <w:rsid w:val="785901FD"/>
    <w:rsid w:val="78773A28"/>
    <w:rsid w:val="78804122"/>
    <w:rsid w:val="78825C26"/>
    <w:rsid w:val="788D5894"/>
    <w:rsid w:val="78C53C45"/>
    <w:rsid w:val="78C8071E"/>
    <w:rsid w:val="78D12FC9"/>
    <w:rsid w:val="78D75B36"/>
    <w:rsid w:val="78DA2BF0"/>
    <w:rsid w:val="78DE1E21"/>
    <w:rsid w:val="78F85C68"/>
    <w:rsid w:val="78F87A16"/>
    <w:rsid w:val="79055E20"/>
    <w:rsid w:val="79062EC2"/>
    <w:rsid w:val="79097CED"/>
    <w:rsid w:val="790E7239"/>
    <w:rsid w:val="79166583"/>
    <w:rsid w:val="791E4FA3"/>
    <w:rsid w:val="79501BB1"/>
    <w:rsid w:val="79556C16"/>
    <w:rsid w:val="795F1BAA"/>
    <w:rsid w:val="797379A2"/>
    <w:rsid w:val="797A667D"/>
    <w:rsid w:val="79854AB3"/>
    <w:rsid w:val="799A6D1F"/>
    <w:rsid w:val="79AB7DDC"/>
    <w:rsid w:val="79D12DB4"/>
    <w:rsid w:val="79D74AC1"/>
    <w:rsid w:val="79E24222"/>
    <w:rsid w:val="79E32474"/>
    <w:rsid w:val="79E42378"/>
    <w:rsid w:val="79E836BE"/>
    <w:rsid w:val="79F276B8"/>
    <w:rsid w:val="79F41A84"/>
    <w:rsid w:val="7A0F3269"/>
    <w:rsid w:val="7A1A19DD"/>
    <w:rsid w:val="7A2A3483"/>
    <w:rsid w:val="7A3236BF"/>
    <w:rsid w:val="7A3B4196"/>
    <w:rsid w:val="7A3D5C5B"/>
    <w:rsid w:val="7A4E3F43"/>
    <w:rsid w:val="7A4F7B0A"/>
    <w:rsid w:val="7A584081"/>
    <w:rsid w:val="7A7628D5"/>
    <w:rsid w:val="7A880EF6"/>
    <w:rsid w:val="7A9338E9"/>
    <w:rsid w:val="7AB61937"/>
    <w:rsid w:val="7ABB0CFB"/>
    <w:rsid w:val="7ACC115A"/>
    <w:rsid w:val="7AD51F08"/>
    <w:rsid w:val="7B207DD6"/>
    <w:rsid w:val="7B2A585C"/>
    <w:rsid w:val="7B352E0A"/>
    <w:rsid w:val="7B603710"/>
    <w:rsid w:val="7B6B0AAC"/>
    <w:rsid w:val="7B6F3D44"/>
    <w:rsid w:val="7B722792"/>
    <w:rsid w:val="7B767318"/>
    <w:rsid w:val="7B7B048A"/>
    <w:rsid w:val="7B8E2BBC"/>
    <w:rsid w:val="7B9C4B6C"/>
    <w:rsid w:val="7BA30286"/>
    <w:rsid w:val="7BAD61AC"/>
    <w:rsid w:val="7BC167E5"/>
    <w:rsid w:val="7BC43D95"/>
    <w:rsid w:val="7BFA2079"/>
    <w:rsid w:val="7C291002"/>
    <w:rsid w:val="7C3D0F4B"/>
    <w:rsid w:val="7C3E1BE4"/>
    <w:rsid w:val="7C58454B"/>
    <w:rsid w:val="7C635AEE"/>
    <w:rsid w:val="7C684EB3"/>
    <w:rsid w:val="7C6A75F5"/>
    <w:rsid w:val="7C786C56"/>
    <w:rsid w:val="7C812AF0"/>
    <w:rsid w:val="7C857813"/>
    <w:rsid w:val="7C9932BE"/>
    <w:rsid w:val="7CAB5D38"/>
    <w:rsid w:val="7CB15B29"/>
    <w:rsid w:val="7CC97451"/>
    <w:rsid w:val="7CD275C8"/>
    <w:rsid w:val="7CF03860"/>
    <w:rsid w:val="7CF75F77"/>
    <w:rsid w:val="7D0B4F7B"/>
    <w:rsid w:val="7D305807"/>
    <w:rsid w:val="7D667F23"/>
    <w:rsid w:val="7D740346"/>
    <w:rsid w:val="7D796561"/>
    <w:rsid w:val="7DC97CEA"/>
    <w:rsid w:val="7DC97D4B"/>
    <w:rsid w:val="7DDE7F6E"/>
    <w:rsid w:val="7DE20C95"/>
    <w:rsid w:val="7DE515CD"/>
    <w:rsid w:val="7E0A558D"/>
    <w:rsid w:val="7E180F77"/>
    <w:rsid w:val="7E1A7ACF"/>
    <w:rsid w:val="7E2272E3"/>
    <w:rsid w:val="7E244E09"/>
    <w:rsid w:val="7E2F3DB5"/>
    <w:rsid w:val="7E4773CE"/>
    <w:rsid w:val="7E843EA1"/>
    <w:rsid w:val="7E927FC5"/>
    <w:rsid w:val="7E9700A4"/>
    <w:rsid w:val="7E9C7095"/>
    <w:rsid w:val="7EAD12A3"/>
    <w:rsid w:val="7EB02B41"/>
    <w:rsid w:val="7EB65D35"/>
    <w:rsid w:val="7EB73895"/>
    <w:rsid w:val="7EC34622"/>
    <w:rsid w:val="7ED72C67"/>
    <w:rsid w:val="7ED92FD1"/>
    <w:rsid w:val="7F0E1C68"/>
    <w:rsid w:val="7F12075D"/>
    <w:rsid w:val="7F163DDD"/>
    <w:rsid w:val="7F164813"/>
    <w:rsid w:val="7F313C82"/>
    <w:rsid w:val="7F35300B"/>
    <w:rsid w:val="7F39266E"/>
    <w:rsid w:val="7F4E1D30"/>
    <w:rsid w:val="7F673200"/>
    <w:rsid w:val="7F6D27E0"/>
    <w:rsid w:val="7F8F0902"/>
    <w:rsid w:val="7FB43FBC"/>
    <w:rsid w:val="7FBA4863"/>
    <w:rsid w:val="7FBC31A1"/>
    <w:rsid w:val="7FC549B4"/>
    <w:rsid w:val="7FD457FA"/>
    <w:rsid w:val="7FDA6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5"/>
    <w:qFormat/>
    <w:uiPriority w:val="9"/>
    <w:pPr>
      <w:keepNext/>
      <w:keepLines/>
      <w:jc w:val="center"/>
      <w:outlineLvl w:val="0"/>
    </w:pPr>
    <w:rPr>
      <w:b/>
      <w:bCs/>
      <w:kern w:val="44"/>
      <w:sz w:val="30"/>
      <w:szCs w:val="30"/>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b/>
      <w:bCs/>
      <w:kern w:val="0"/>
      <w:sz w:val="36"/>
      <w:szCs w:val="36"/>
    </w:rPr>
  </w:style>
  <w:style w:type="paragraph" w:styleId="4">
    <w:name w:val="heading 3"/>
    <w:basedOn w:val="1"/>
    <w:next w:val="1"/>
    <w:qFormat/>
    <w:uiPriority w:val="0"/>
    <w:pPr>
      <w:keepNext/>
      <w:widowControl/>
      <w:spacing w:line="400" w:lineRule="atLeast"/>
      <w:outlineLvl w:val="2"/>
    </w:pPr>
    <w:rPr>
      <w:b/>
      <w:bCs/>
      <w:sz w:val="32"/>
      <w:szCs w:val="32"/>
    </w:rPr>
  </w:style>
  <w:style w:type="paragraph" w:styleId="5">
    <w:name w:val="heading 4"/>
    <w:basedOn w:val="1"/>
    <w:next w:val="1"/>
    <w:qFormat/>
    <w:uiPriority w:val="0"/>
    <w:pPr>
      <w:spacing w:line="360" w:lineRule="auto"/>
      <w:ind w:firstLine="1440" w:firstLineChars="200"/>
      <w:outlineLvl w:val="3"/>
    </w:pPr>
    <w:rPr>
      <w:rFonts w:ascii="宋体" w:hAnsi="宋体"/>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6">
    <w:name w:val="Normal Indent"/>
    <w:basedOn w:val="1"/>
    <w:unhideWhenUsed/>
    <w:qFormat/>
    <w:uiPriority w:val="99"/>
    <w:pPr>
      <w:adjustRightInd w:val="0"/>
      <w:ind w:firstLine="420"/>
      <w:jc w:val="left"/>
      <w:textAlignment w:val="baseline"/>
    </w:pPr>
    <w:rPr>
      <w:szCs w:val="21"/>
    </w:rPr>
  </w:style>
  <w:style w:type="paragraph" w:styleId="7">
    <w:name w:val="caption"/>
    <w:basedOn w:val="1"/>
    <w:next w:val="8"/>
    <w:unhideWhenUsed/>
    <w:qFormat/>
    <w:uiPriority w:val="0"/>
    <w:pPr>
      <w:jc w:val="center"/>
    </w:pPr>
    <w:rPr>
      <w:b/>
    </w:rPr>
  </w:style>
  <w:style w:type="paragraph" w:customStyle="1" w:styleId="8">
    <w:name w:val="..正文格式"/>
    <w:basedOn w:val="1"/>
    <w:qFormat/>
    <w:uiPriority w:val="0"/>
    <w:pPr>
      <w:spacing w:line="500" w:lineRule="exact"/>
      <w:ind w:firstLine="480" w:firstLineChars="200"/>
    </w:pPr>
    <w:rPr>
      <w:snapToGrid w:val="0"/>
      <w:kern w:val="0"/>
    </w:rPr>
  </w:style>
  <w:style w:type="paragraph" w:styleId="9">
    <w:name w:val="annotation text"/>
    <w:basedOn w:val="1"/>
    <w:link w:val="97"/>
    <w:semiHidden/>
    <w:unhideWhenUsed/>
    <w:qFormat/>
    <w:uiPriority w:val="99"/>
    <w:pPr>
      <w:jc w:val="left"/>
    </w:pPr>
  </w:style>
  <w:style w:type="paragraph" w:styleId="10">
    <w:name w:val="Body Text"/>
    <w:basedOn w:val="1"/>
    <w:next w:val="11"/>
    <w:unhideWhenUsed/>
    <w:qFormat/>
    <w:uiPriority w:val="99"/>
    <w:pPr>
      <w:jc w:val="center"/>
    </w:pPr>
    <w:rPr>
      <w:sz w:val="21"/>
    </w:rPr>
  </w:style>
  <w:style w:type="paragraph" w:customStyle="1" w:styleId="11">
    <w:name w:val="Normal (Web)1"/>
    <w:basedOn w:val="1"/>
    <w:next w:val="12"/>
    <w:qFormat/>
    <w:uiPriority w:val="0"/>
    <w:pPr>
      <w:widowControl/>
      <w:jc w:val="left"/>
    </w:pPr>
    <w:rPr>
      <w:rFonts w:ascii="宋体"/>
      <w:kern w:val="0"/>
      <w:szCs w:val="21"/>
    </w:rPr>
  </w:style>
  <w:style w:type="paragraph" w:customStyle="1" w:styleId="12">
    <w:name w:val="Date1"/>
    <w:basedOn w:val="1"/>
    <w:next w:val="1"/>
    <w:qFormat/>
    <w:uiPriority w:val="0"/>
    <w:pPr>
      <w:ind w:left="2500" w:leftChars="2500"/>
    </w:pPr>
  </w:style>
  <w:style w:type="paragraph" w:styleId="13">
    <w:name w:val="Body Text Indent"/>
    <w:basedOn w:val="1"/>
    <w:next w:val="14"/>
    <w:qFormat/>
    <w:uiPriority w:val="0"/>
    <w:pPr>
      <w:spacing w:after="120"/>
      <w:ind w:left="420" w:leftChars="200"/>
    </w:pPr>
    <w:rPr>
      <w:kern w:val="0"/>
      <w:szCs w:val="20"/>
    </w:rPr>
  </w:style>
  <w:style w:type="paragraph" w:styleId="14">
    <w:name w:val="header"/>
    <w:basedOn w:val="1"/>
    <w:next w:val="15"/>
    <w:link w:val="43"/>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customStyle="1" w:styleId="15">
    <w:name w:val="样式5"/>
    <w:basedOn w:val="16"/>
    <w:next w:val="1"/>
    <w:qFormat/>
    <w:uiPriority w:val="0"/>
    <w:pPr>
      <w:spacing w:before="100" w:beforeAutospacing="1" w:after="100" w:afterAutospacing="1" w:line="360" w:lineRule="auto"/>
    </w:pPr>
    <w:rPr>
      <w:rFonts w:ascii="Times New Roman"/>
      <w:szCs w:val="24"/>
    </w:rPr>
  </w:style>
  <w:style w:type="paragraph" w:customStyle="1" w:styleId="16">
    <w:name w:val="正文1"/>
    <w:basedOn w:val="1"/>
    <w:next w:val="1"/>
    <w:qFormat/>
    <w:uiPriority w:val="0"/>
    <w:pPr>
      <w:adjustRightInd w:val="0"/>
      <w:spacing w:line="360" w:lineRule="atLeast"/>
      <w:jc w:val="left"/>
      <w:textAlignment w:val="baseline"/>
    </w:pPr>
    <w:rPr>
      <w:rFonts w:ascii="宋体"/>
      <w:kern w:val="0"/>
      <w:szCs w:val="20"/>
    </w:rPr>
  </w:style>
  <w:style w:type="paragraph" w:styleId="17">
    <w:name w:val="toc 5"/>
    <w:basedOn w:val="1"/>
    <w:next w:val="1"/>
    <w:qFormat/>
    <w:uiPriority w:val="39"/>
    <w:pPr>
      <w:ind w:left="1680" w:leftChars="800"/>
    </w:pPr>
  </w:style>
  <w:style w:type="paragraph" w:styleId="18">
    <w:name w:val="toc 3"/>
    <w:basedOn w:val="1"/>
    <w:next w:val="1"/>
    <w:semiHidden/>
    <w:unhideWhenUsed/>
    <w:qFormat/>
    <w:uiPriority w:val="39"/>
    <w:pPr>
      <w:ind w:left="840" w:leftChars="400"/>
    </w:pPr>
  </w:style>
  <w:style w:type="paragraph" w:styleId="19">
    <w:name w:val="Plain Text"/>
    <w:basedOn w:val="1"/>
    <w:qFormat/>
    <w:uiPriority w:val="0"/>
    <w:pPr>
      <w:adjustRightInd w:val="0"/>
      <w:snapToGrid w:val="0"/>
      <w:jc w:val="center"/>
    </w:pPr>
    <w:rPr>
      <w:sz w:val="21"/>
      <w:szCs w:val="21"/>
    </w:rPr>
  </w:style>
  <w:style w:type="paragraph" w:styleId="20">
    <w:name w:val="List Bullet 5"/>
    <w:basedOn w:val="1"/>
    <w:semiHidden/>
    <w:unhideWhenUsed/>
    <w:qFormat/>
    <w:uiPriority w:val="99"/>
    <w:pPr>
      <w:numPr>
        <w:ilvl w:val="0"/>
        <w:numId w:val="1"/>
      </w:numPr>
    </w:pPr>
  </w:style>
  <w:style w:type="paragraph" w:styleId="21">
    <w:name w:val="Body Text Indent 2"/>
    <w:basedOn w:val="1"/>
    <w:next w:val="1"/>
    <w:qFormat/>
    <w:uiPriority w:val="0"/>
    <w:pPr>
      <w:spacing w:after="120" w:line="480" w:lineRule="auto"/>
      <w:ind w:left="420" w:leftChars="200"/>
    </w:pPr>
  </w:style>
  <w:style w:type="paragraph" w:styleId="22">
    <w:name w:val="Balloon Text"/>
    <w:basedOn w:val="1"/>
    <w:link w:val="47"/>
    <w:semiHidden/>
    <w:unhideWhenUsed/>
    <w:qFormat/>
    <w:uiPriority w:val="99"/>
    <w:rPr>
      <w:sz w:val="18"/>
      <w:szCs w:val="18"/>
    </w:rPr>
  </w:style>
  <w:style w:type="paragraph" w:styleId="23">
    <w:name w:val="footer"/>
    <w:basedOn w:val="1"/>
    <w:link w:val="4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4">
    <w:name w:val="toc 1"/>
    <w:basedOn w:val="1"/>
    <w:next w:val="1"/>
    <w:qFormat/>
    <w:uiPriority w:val="39"/>
  </w:style>
  <w:style w:type="paragraph" w:styleId="25">
    <w:name w:val="List"/>
    <w:basedOn w:val="1"/>
    <w:qFormat/>
    <w:uiPriority w:val="0"/>
    <w:pPr>
      <w:ind w:left="200" w:hanging="200" w:hangingChars="200"/>
    </w:pPr>
    <w:rPr>
      <w:rFonts w:ascii="宋体"/>
      <w:kern w:val="0"/>
      <w:szCs w:val="20"/>
    </w:rPr>
  </w:style>
  <w:style w:type="paragraph" w:styleId="26">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7">
    <w:name w:val="Message Header"/>
    <w:basedOn w:val="1"/>
    <w:qFormat/>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olor w:val="000000"/>
      <w:kern w:val="0"/>
      <w:lang w:val="zh-CN"/>
    </w:rPr>
  </w:style>
  <w:style w:type="paragraph" w:styleId="2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9"/>
    <w:next w:val="9"/>
    <w:link w:val="98"/>
    <w:semiHidden/>
    <w:unhideWhenUsed/>
    <w:qFormat/>
    <w:uiPriority w:val="99"/>
    <w:rPr>
      <w:b/>
      <w:bCs/>
    </w:rPr>
  </w:style>
  <w:style w:type="paragraph" w:styleId="30">
    <w:name w:val="Body Text First Indent"/>
    <w:basedOn w:val="10"/>
    <w:next w:val="1"/>
    <w:qFormat/>
    <w:uiPriority w:val="0"/>
    <w:pPr>
      <w:ind w:firstLine="420" w:firstLineChars="100"/>
    </w:pPr>
  </w:style>
  <w:style w:type="paragraph" w:styleId="31">
    <w:name w:val="Body Text First Indent 2"/>
    <w:basedOn w:val="13"/>
    <w:next w:val="1"/>
    <w:qFormat/>
    <w:uiPriority w:val="0"/>
    <w:pPr>
      <w:ind w:firstLine="420" w:firstLineChars="200"/>
    </w:p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5">
    <w:name w:val="page number"/>
    <w:basedOn w:val="34"/>
    <w:qFormat/>
    <w:uiPriority w:val="0"/>
  </w:style>
  <w:style w:type="character" w:styleId="36">
    <w:name w:val="Hyperlink"/>
    <w:basedOn w:val="34"/>
    <w:unhideWhenUsed/>
    <w:qFormat/>
    <w:uiPriority w:val="99"/>
    <w:rPr>
      <w:color w:val="0000FF" w:themeColor="hyperlink"/>
      <w:u w:val="single"/>
      <w14:textFill>
        <w14:solidFill>
          <w14:schemeClr w14:val="hlink"/>
        </w14:solidFill>
      </w14:textFill>
    </w:rPr>
  </w:style>
  <w:style w:type="character" w:styleId="37">
    <w:name w:val="annotation reference"/>
    <w:basedOn w:val="34"/>
    <w:semiHidden/>
    <w:unhideWhenUsed/>
    <w:qFormat/>
    <w:uiPriority w:val="99"/>
    <w:rPr>
      <w:sz w:val="21"/>
      <w:szCs w:val="21"/>
    </w:rPr>
  </w:style>
  <w:style w:type="paragraph" w:customStyle="1" w:styleId="38">
    <w:name w:val="Default"/>
    <w:basedOn w:val="39"/>
    <w:next w:val="1"/>
    <w:qFormat/>
    <w:uiPriority w:val="0"/>
    <w:pPr>
      <w:widowControl w:val="0"/>
      <w:autoSpaceDE w:val="0"/>
      <w:autoSpaceDN w:val="0"/>
    </w:pPr>
    <w:rPr>
      <w:rFonts w:hAnsi="Times New Roman"/>
      <w:color w:val="000000"/>
      <w:szCs w:val="24"/>
    </w:rPr>
  </w:style>
  <w:style w:type="paragraph" w:customStyle="1" w:styleId="39">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40">
    <w:name w:val="样式 正文首行缩进 + 首行缩进:  1 字符"/>
    <w:basedOn w:val="1"/>
    <w:next w:val="1"/>
    <w:qFormat/>
    <w:uiPriority w:val="0"/>
    <w:pPr>
      <w:spacing w:after="120" w:line="360" w:lineRule="auto"/>
      <w:ind w:firstLine="480" w:firstLineChars="200"/>
    </w:pPr>
    <w:rPr>
      <w:rFonts w:cs="宋体"/>
    </w:rPr>
  </w:style>
  <w:style w:type="paragraph" w:customStyle="1" w:styleId="41">
    <w:name w:val="报告书正文"/>
    <w:basedOn w:val="1"/>
    <w:qFormat/>
    <w:uiPriority w:val="0"/>
    <w:pPr>
      <w:adjustRightInd w:val="0"/>
      <w:snapToGrid w:val="0"/>
      <w:spacing w:line="360" w:lineRule="auto"/>
      <w:ind w:firstLine="425"/>
      <w:textAlignment w:val="baseline"/>
    </w:pPr>
    <w:rPr>
      <w:rFonts w:ascii="Arial" w:hAnsi="Arial"/>
      <w:kern w:val="0"/>
    </w:rPr>
  </w:style>
  <w:style w:type="paragraph" w:customStyle="1" w:styleId="42">
    <w:name w:val="_Style 4"/>
    <w:qFormat/>
    <w:uiPriority w:val="0"/>
    <w:pPr>
      <w:widowControl w:val="0"/>
      <w:spacing w:line="360" w:lineRule="auto"/>
      <w:ind w:firstLine="480" w:firstLineChars="200"/>
      <w:jc w:val="both"/>
    </w:pPr>
    <w:rPr>
      <w:rFonts w:ascii="Times New Roman" w:hAnsi="Times New Roman" w:eastAsia="宋体" w:cs="Times New Roman"/>
      <w:color w:val="FF0000"/>
      <w:kern w:val="2"/>
      <w:sz w:val="24"/>
      <w:szCs w:val="21"/>
      <w:lang w:val="en-US" w:eastAsia="zh-CN" w:bidi="ar-SA"/>
    </w:rPr>
  </w:style>
  <w:style w:type="character" w:customStyle="1" w:styleId="43">
    <w:name w:val="页眉 字符"/>
    <w:basedOn w:val="34"/>
    <w:link w:val="14"/>
    <w:qFormat/>
    <w:uiPriority w:val="0"/>
    <w:rPr>
      <w:sz w:val="18"/>
      <w:szCs w:val="18"/>
    </w:rPr>
  </w:style>
  <w:style w:type="character" w:customStyle="1" w:styleId="44">
    <w:name w:val="页脚 字符"/>
    <w:basedOn w:val="34"/>
    <w:link w:val="23"/>
    <w:qFormat/>
    <w:uiPriority w:val="99"/>
    <w:rPr>
      <w:sz w:val="18"/>
      <w:szCs w:val="18"/>
    </w:rPr>
  </w:style>
  <w:style w:type="character" w:customStyle="1" w:styleId="45">
    <w:name w:val="标题 1 字符"/>
    <w:link w:val="2"/>
    <w:qFormat/>
    <w:uiPriority w:val="9"/>
    <w:rPr>
      <w:rFonts w:ascii="Times New Roman" w:hAnsi="Times New Roman" w:eastAsia="宋体" w:cs="Times New Roman"/>
      <w:b/>
      <w:bCs/>
      <w:kern w:val="44"/>
      <w:sz w:val="30"/>
      <w:szCs w:val="30"/>
      <w:lang w:val="en-US" w:eastAsia="zh-CN" w:bidi="ar-SA"/>
    </w:rPr>
  </w:style>
  <w:style w:type="paragraph" w:customStyle="1" w:styleId="46">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7">
    <w:name w:val="批注框文本 字符"/>
    <w:basedOn w:val="34"/>
    <w:link w:val="22"/>
    <w:semiHidden/>
    <w:qFormat/>
    <w:uiPriority w:val="99"/>
    <w:rPr>
      <w:rFonts w:ascii="Times New Roman" w:hAnsi="Times New Roman" w:eastAsia="宋体" w:cs="Times New Roman"/>
      <w:sz w:val="18"/>
      <w:szCs w:val="18"/>
    </w:rPr>
  </w:style>
  <w:style w:type="character" w:customStyle="1" w:styleId="48">
    <w:name w:val="表格 Char"/>
    <w:link w:val="49"/>
    <w:qFormat/>
    <w:locked/>
    <w:uiPriority w:val="0"/>
    <w:rPr>
      <w:rFonts w:ascii="宋体"/>
    </w:rPr>
  </w:style>
  <w:style w:type="paragraph" w:customStyle="1" w:styleId="49">
    <w:name w:val="表格"/>
    <w:basedOn w:val="1"/>
    <w:next w:val="1"/>
    <w:link w:val="48"/>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50">
    <w:name w:val="表中文字"/>
    <w:basedOn w:val="51"/>
    <w:qFormat/>
    <w:uiPriority w:val="0"/>
    <w:rPr>
      <w:sz w:val="18"/>
      <w:szCs w:val="18"/>
    </w:rPr>
  </w:style>
  <w:style w:type="paragraph" w:customStyle="1" w:styleId="51">
    <w:name w:val="表头"/>
    <w:basedOn w:val="25"/>
    <w:next w:val="1"/>
    <w:qFormat/>
    <w:uiPriority w:val="0"/>
    <w:pPr>
      <w:ind w:firstLine="0" w:firstLineChars="0"/>
      <w:jc w:val="center"/>
    </w:pPr>
    <w:rPr>
      <w:rFonts w:hAnsi="宋体" w:eastAsia="黑体"/>
      <w:b/>
      <w:kern w:val="2"/>
      <w:szCs w:val="24"/>
    </w:rPr>
  </w:style>
  <w:style w:type="paragraph" w:customStyle="1" w:styleId="52">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53">
    <w:name w:val="样式4"/>
    <w:basedOn w:val="1"/>
    <w:qFormat/>
    <w:uiPriority w:val="0"/>
    <w:pPr>
      <w:adjustRightInd w:val="0"/>
      <w:snapToGrid w:val="0"/>
      <w:jc w:val="center"/>
    </w:pPr>
  </w:style>
  <w:style w:type="paragraph" w:customStyle="1" w:styleId="54">
    <w:name w:val="首行缩进表格正文"/>
    <w:basedOn w:val="1"/>
    <w:qFormat/>
    <w:uiPriority w:val="0"/>
    <w:pPr>
      <w:spacing w:line="360" w:lineRule="auto"/>
      <w:ind w:firstLine="720" w:firstLineChars="200"/>
      <w:jc w:val="left"/>
    </w:pPr>
  </w:style>
  <w:style w:type="paragraph" w:customStyle="1" w:styleId="55">
    <w:name w:val="【表头】"/>
    <w:basedOn w:val="1"/>
    <w:qFormat/>
    <w:uiPriority w:val="0"/>
    <w:pPr>
      <w:adjustRightInd w:val="0"/>
      <w:snapToGrid w:val="0"/>
      <w:jc w:val="center"/>
    </w:pPr>
    <w:rPr>
      <w:rFonts w:eastAsia="黑体"/>
    </w:rPr>
  </w:style>
  <w:style w:type="paragraph" w:customStyle="1" w:styleId="56">
    <w:name w:val="【表中文字】-"/>
    <w:basedOn w:val="1"/>
    <w:qFormat/>
    <w:uiPriority w:val="0"/>
    <w:pPr>
      <w:adjustRightInd w:val="0"/>
      <w:snapToGrid w:val="0"/>
      <w:jc w:val="center"/>
    </w:pPr>
    <w:rPr>
      <w:kern w:val="0"/>
      <w:sz w:val="18"/>
      <w:szCs w:val="20"/>
    </w:rPr>
  </w:style>
  <w:style w:type="paragraph" w:customStyle="1" w:styleId="57">
    <w:name w:val="【表中文字】"/>
    <w:basedOn w:val="58"/>
    <w:qFormat/>
    <w:uiPriority w:val="0"/>
    <w:pPr>
      <w:adjustRightInd w:val="0"/>
      <w:snapToGrid w:val="0"/>
      <w:jc w:val="center"/>
    </w:pPr>
    <w:rPr>
      <w:szCs w:val="20"/>
    </w:rPr>
  </w:style>
  <w:style w:type="paragraph" w:customStyle="1" w:styleId="58">
    <w:name w:val="表格字"/>
    <w:basedOn w:val="25"/>
    <w:qFormat/>
    <w:uiPriority w:val="0"/>
    <w:pPr>
      <w:ind w:left="0" w:firstLine="0" w:firstLineChars="0"/>
      <w:jc w:val="center"/>
    </w:pPr>
  </w:style>
  <w:style w:type="paragraph" w:customStyle="1" w:styleId="59">
    <w:name w:val=".表1-1-1内容"/>
    <w:basedOn w:val="1"/>
    <w:qFormat/>
    <w:uiPriority w:val="0"/>
    <w:pPr>
      <w:spacing w:line="300" w:lineRule="exact"/>
      <w:jc w:val="center"/>
    </w:pPr>
    <w:rPr>
      <w:kern w:val="0"/>
      <w:szCs w:val="21"/>
    </w:rPr>
  </w:style>
  <w:style w:type="paragraph" w:customStyle="1" w:styleId="60">
    <w:name w:val="表格标题"/>
    <w:next w:val="1"/>
    <w:qFormat/>
    <w:uiPriority w:val="0"/>
    <w:pPr>
      <w:numPr>
        <w:ilvl w:val="0"/>
        <w:numId w:val="2"/>
      </w:numPr>
      <w:jc w:val="center"/>
    </w:pPr>
    <w:rPr>
      <w:rFonts w:ascii="Times New Roman" w:hAnsi="Times New Roman" w:eastAsia="宋体" w:cs="Times New Roman"/>
      <w:b/>
      <w:sz w:val="24"/>
      <w:lang w:val="en-US" w:eastAsia="zh-CN" w:bidi="ar-SA"/>
    </w:rPr>
  </w:style>
  <w:style w:type="paragraph" w:customStyle="1" w:styleId="61">
    <w:name w:val="表格内容"/>
    <w:basedOn w:val="62"/>
    <w:qFormat/>
    <w:uiPriority w:val="0"/>
    <w:pPr>
      <w:ind w:left="-44" w:leftChars="-20" w:right="-65" w:rightChars="-27" w:hanging="4" w:hangingChars="2"/>
    </w:pPr>
    <w:rPr>
      <w:rFonts w:hAnsi="宋体" w:eastAsia="宋体" w:cs="Times New Roman"/>
      <w:color w:val="000000"/>
      <w:szCs w:val="24"/>
    </w:rPr>
  </w:style>
  <w:style w:type="paragraph" w:customStyle="1" w:styleId="62">
    <w:name w:val="封皮-证书编号"/>
    <w:basedOn w:val="1"/>
    <w:qFormat/>
    <w:uiPriority w:val="0"/>
    <w:pPr>
      <w:jc w:val="center"/>
    </w:pPr>
    <w:rPr>
      <w:rFonts w:eastAsia="黑体"/>
      <w:sz w:val="28"/>
    </w:rPr>
  </w:style>
  <w:style w:type="paragraph" w:customStyle="1" w:styleId="63">
    <w:name w:val="文本正文"/>
    <w:basedOn w:val="1"/>
    <w:qFormat/>
    <w:uiPriority w:val="0"/>
    <w:pPr>
      <w:spacing w:line="360" w:lineRule="auto"/>
      <w:ind w:firstLine="200" w:firstLineChars="200"/>
    </w:pPr>
  </w:style>
  <w:style w:type="character" w:customStyle="1" w:styleId="64">
    <w:name w:val="【正文】 Char1"/>
    <w:link w:val="65"/>
    <w:qFormat/>
    <w:locked/>
    <w:uiPriority w:val="0"/>
    <w:rPr>
      <w:rFonts w:ascii="Times New Roman" w:hAnsi="Times New Roman"/>
      <w:b/>
      <w:kern w:val="2"/>
      <w:szCs w:val="24"/>
    </w:rPr>
  </w:style>
  <w:style w:type="paragraph" w:customStyle="1" w:styleId="65">
    <w:name w:val="【正文】"/>
    <w:basedOn w:val="1"/>
    <w:link w:val="64"/>
    <w:qFormat/>
    <w:uiPriority w:val="0"/>
    <w:pPr>
      <w:spacing w:before="50" w:beforeLines="50"/>
    </w:pPr>
    <w:rPr>
      <w:b/>
    </w:rPr>
  </w:style>
  <w:style w:type="paragraph" w:customStyle="1" w:styleId="66">
    <w:name w:val="2表中文字"/>
    <w:qFormat/>
    <w:uiPriority w:val="0"/>
    <w:pPr>
      <w:jc w:val="center"/>
    </w:pPr>
    <w:rPr>
      <w:rFonts w:ascii="Calibri" w:hAnsi="Calibri" w:eastAsia="宋体" w:cs="Times New Roman"/>
      <w:kern w:val="2"/>
      <w:sz w:val="21"/>
      <w:szCs w:val="21"/>
      <w:lang w:val="en-US" w:eastAsia="zh-CN" w:bidi="ar-SA"/>
    </w:rPr>
  </w:style>
  <w:style w:type="character" w:customStyle="1" w:styleId="67">
    <w:name w:val="font11"/>
    <w:basedOn w:val="34"/>
    <w:qFormat/>
    <w:uiPriority w:val="0"/>
    <w:rPr>
      <w:rFonts w:hint="eastAsia" w:ascii="宋体" w:hAnsi="宋体" w:eastAsia="宋体" w:cs="宋体"/>
      <w:b/>
      <w:bCs/>
      <w:color w:val="000000"/>
      <w:sz w:val="18"/>
      <w:szCs w:val="18"/>
      <w:u w:val="none"/>
    </w:rPr>
  </w:style>
  <w:style w:type="character" w:customStyle="1" w:styleId="68">
    <w:name w:val="font51"/>
    <w:basedOn w:val="34"/>
    <w:qFormat/>
    <w:uiPriority w:val="0"/>
    <w:rPr>
      <w:rFonts w:hint="default" w:ascii="Times New Roman" w:hAnsi="Times New Roman" w:cs="Times New Roman"/>
      <w:b/>
      <w:bCs/>
      <w:color w:val="000000"/>
      <w:sz w:val="18"/>
      <w:szCs w:val="18"/>
      <w:u w:val="none"/>
    </w:rPr>
  </w:style>
  <w:style w:type="character" w:customStyle="1" w:styleId="69">
    <w:name w:val="font31"/>
    <w:basedOn w:val="34"/>
    <w:qFormat/>
    <w:uiPriority w:val="0"/>
    <w:rPr>
      <w:rFonts w:hint="eastAsia" w:ascii="宋体" w:hAnsi="宋体" w:eastAsia="宋体" w:cs="宋体"/>
      <w:color w:val="000000"/>
      <w:sz w:val="18"/>
      <w:szCs w:val="18"/>
      <w:u w:val="none"/>
    </w:rPr>
  </w:style>
  <w:style w:type="character" w:customStyle="1" w:styleId="70">
    <w:name w:val="font21"/>
    <w:basedOn w:val="34"/>
    <w:qFormat/>
    <w:uiPriority w:val="0"/>
    <w:rPr>
      <w:rFonts w:hint="default" w:ascii="Times New Roman" w:hAnsi="Times New Roman" w:cs="Times New Roman"/>
      <w:color w:val="000000"/>
      <w:sz w:val="18"/>
      <w:szCs w:val="18"/>
      <w:u w:val="none"/>
    </w:rPr>
  </w:style>
  <w:style w:type="paragraph" w:customStyle="1" w:styleId="71">
    <w:name w:val="报告表图标题"/>
    <w:basedOn w:val="1"/>
    <w:qFormat/>
    <w:uiPriority w:val="0"/>
    <w:pPr>
      <w:numPr>
        <w:ilvl w:val="0"/>
        <w:numId w:val="3"/>
      </w:numPr>
      <w:spacing w:line="360" w:lineRule="auto"/>
      <w:jc w:val="center"/>
    </w:pPr>
    <w:rPr>
      <w:b/>
      <w:kern w:val="0"/>
      <w:szCs w:val="22"/>
    </w:rPr>
  </w:style>
  <w:style w:type="paragraph" w:customStyle="1" w:styleId="72">
    <w:name w:val="无间隔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73">
    <w:name w:val="Char Char Char Char Char Char Char1"/>
    <w:basedOn w:val="1"/>
    <w:qFormat/>
    <w:uiPriority w:val="0"/>
    <w:pPr>
      <w:spacing w:line="360" w:lineRule="auto"/>
      <w:ind w:firstLine="200" w:firstLineChars="200"/>
    </w:pPr>
    <w:rPr>
      <w:rFonts w:ascii="宋体" w:hAnsi="宋体" w:cs="宋体"/>
    </w:rPr>
  </w:style>
  <w:style w:type="character" w:customStyle="1" w:styleId="74">
    <w:name w:val="font41"/>
    <w:basedOn w:val="34"/>
    <w:qFormat/>
    <w:uiPriority w:val="0"/>
    <w:rPr>
      <w:rFonts w:hint="default" w:ascii="Times New Roman" w:hAnsi="Times New Roman" w:cs="Times New Roman"/>
      <w:b/>
      <w:bCs/>
      <w:color w:val="000000"/>
      <w:sz w:val="18"/>
      <w:szCs w:val="18"/>
      <w:u w:val="none"/>
    </w:rPr>
  </w:style>
  <w:style w:type="character" w:customStyle="1" w:styleId="75">
    <w:name w:val="font61"/>
    <w:basedOn w:val="34"/>
    <w:qFormat/>
    <w:uiPriority w:val="0"/>
    <w:rPr>
      <w:rFonts w:hint="default" w:ascii="Times New Roman" w:hAnsi="Times New Roman" w:cs="Times New Roman"/>
      <w:color w:val="000000"/>
      <w:sz w:val="18"/>
      <w:szCs w:val="18"/>
      <w:u w:val="none"/>
      <w:vertAlign w:val="subscript"/>
    </w:rPr>
  </w:style>
  <w:style w:type="paragraph" w:customStyle="1" w:styleId="76">
    <w:name w:val="a正文"/>
    <w:basedOn w:val="77"/>
    <w:qFormat/>
    <w:uiPriority w:val="0"/>
    <w:pPr>
      <w:spacing w:line="520" w:lineRule="exact"/>
      <w:ind w:firstLine="200"/>
    </w:pPr>
  </w:style>
  <w:style w:type="paragraph" w:customStyle="1" w:styleId="77">
    <w:name w:val="正文格式"/>
    <w:basedOn w:val="1"/>
    <w:qFormat/>
    <w:uiPriority w:val="0"/>
    <w:pPr>
      <w:spacing w:line="360" w:lineRule="auto"/>
      <w:ind w:firstLine="420" w:firstLineChars="200"/>
    </w:pPr>
    <w:rPr>
      <w:kern w:val="0"/>
      <w:szCs w:val="21"/>
    </w:rPr>
  </w:style>
  <w:style w:type="paragraph" w:customStyle="1" w:styleId="78">
    <w:name w:val="C【表中文字】-"/>
    <w:basedOn w:val="1"/>
    <w:qFormat/>
    <w:uiPriority w:val="0"/>
    <w:pPr>
      <w:adjustRightInd w:val="0"/>
      <w:snapToGrid w:val="0"/>
      <w:spacing w:line="360" w:lineRule="auto"/>
      <w:ind w:firstLine="480" w:firstLineChars="200"/>
      <w:jc w:val="center"/>
    </w:pPr>
    <w:rPr>
      <w:rFonts w:ascii="宋体" w:hAnsi="宋体" w:cs="宋体"/>
      <w:bCs/>
      <w:kern w:val="0"/>
      <w:sz w:val="18"/>
      <w:szCs w:val="20"/>
    </w:rPr>
  </w:style>
  <w:style w:type="paragraph" w:customStyle="1" w:styleId="79">
    <w:name w:val="填表样式"/>
    <w:basedOn w:val="1"/>
    <w:qFormat/>
    <w:uiPriority w:val="0"/>
    <w:pPr>
      <w:adjustRightInd w:val="0"/>
      <w:snapToGrid w:val="0"/>
      <w:spacing w:line="360" w:lineRule="auto"/>
      <w:ind w:firstLine="720" w:firstLineChars="200"/>
    </w:pPr>
  </w:style>
  <w:style w:type="paragraph" w:customStyle="1" w:styleId="80">
    <w:name w:val="L首行缩进正文"/>
    <w:basedOn w:val="65"/>
    <w:qFormat/>
    <w:uiPriority w:val="0"/>
    <w:pPr>
      <w:ind w:firstLine="480"/>
    </w:pPr>
  </w:style>
  <w:style w:type="paragraph" w:customStyle="1" w:styleId="81">
    <w:name w:val="UserStyle_0"/>
    <w:basedOn w:val="82"/>
    <w:next w:val="83"/>
    <w:qFormat/>
    <w:uiPriority w:val="0"/>
    <w:pPr>
      <w:spacing w:line="360" w:lineRule="auto"/>
      <w:ind w:firstLine="480" w:firstLineChars="200"/>
    </w:pPr>
    <w:rPr>
      <w:rFonts w:ascii="Calibri" w:hAnsi="Calibri"/>
      <w:szCs w:val="22"/>
    </w:rPr>
  </w:style>
  <w:style w:type="paragraph" w:customStyle="1" w:styleId="82">
    <w:name w:val="UserStyle_1"/>
    <w:basedOn w:val="1"/>
    <w:next w:val="1"/>
    <w:qFormat/>
    <w:uiPriority w:val="0"/>
    <w:pPr>
      <w:spacing w:after="120"/>
      <w:textAlignment w:val="baseline"/>
    </w:pPr>
  </w:style>
  <w:style w:type="paragraph" w:customStyle="1" w:styleId="83">
    <w:name w:val="TOC1"/>
    <w:basedOn w:val="1"/>
    <w:next w:val="1"/>
    <w:qFormat/>
    <w:uiPriority w:val="0"/>
    <w:pPr>
      <w:spacing w:line="360" w:lineRule="auto"/>
      <w:textAlignment w:val="baseline"/>
    </w:pPr>
    <w:rPr>
      <w:rFonts w:ascii="Calibri" w:hAnsi="Calibri"/>
      <w:b/>
      <w:szCs w:val="22"/>
    </w:rPr>
  </w:style>
  <w:style w:type="table" w:customStyle="1" w:styleId="84">
    <w:name w:val="Table Normal"/>
    <w:unhideWhenUsed/>
    <w:qFormat/>
    <w:uiPriority w:val="2"/>
    <w:tblPr>
      <w:tblLayout w:type="fixed"/>
      <w:tblCellMar>
        <w:top w:w="0" w:type="dxa"/>
        <w:left w:w="0" w:type="dxa"/>
        <w:bottom w:w="0" w:type="dxa"/>
        <w:right w:w="0" w:type="dxa"/>
      </w:tblCellMar>
    </w:tblPr>
  </w:style>
  <w:style w:type="paragraph" w:customStyle="1" w:styleId="85">
    <w:name w:val="设计表格"/>
    <w:basedOn w:val="1"/>
    <w:qFormat/>
    <w:uiPriority w:val="0"/>
    <w:pPr>
      <w:adjustRightInd w:val="0"/>
      <w:jc w:val="center"/>
    </w:pPr>
    <w:rPr>
      <w:kern w:val="0"/>
    </w:rPr>
  </w:style>
  <w:style w:type="paragraph" w:customStyle="1" w:styleId="86">
    <w:name w:val="表格内"/>
    <w:qFormat/>
    <w:uiPriority w:val="0"/>
    <w:pPr>
      <w:adjustRightInd w:val="0"/>
      <w:snapToGrid w:val="0"/>
      <w:jc w:val="center"/>
    </w:pPr>
    <w:rPr>
      <w:rFonts w:ascii="Times New Roman" w:hAnsi="Times New Roman" w:eastAsia="宋体" w:cs="Times New Roman"/>
      <w:snapToGrid w:val="0"/>
      <w:sz w:val="18"/>
      <w:szCs w:val="21"/>
      <w:lang w:val="en-US" w:eastAsia="zh-CN" w:bidi="ar-SA"/>
    </w:rPr>
  </w:style>
  <w:style w:type="paragraph" w:customStyle="1" w:styleId="87">
    <w:name w:val="我的表格"/>
    <w:basedOn w:val="1"/>
    <w:next w:val="1"/>
    <w:qFormat/>
    <w:uiPriority w:val="0"/>
    <w:pPr>
      <w:adjustRightInd w:val="0"/>
      <w:snapToGrid w:val="0"/>
      <w:spacing w:beforeLines="10" w:afterLines="10" w:line="240" w:lineRule="atLeast"/>
      <w:jc w:val="center"/>
    </w:pPr>
    <w:rPr>
      <w:kern w:val="0"/>
      <w:szCs w:val="20"/>
    </w:rPr>
  </w:style>
  <w:style w:type="paragraph" w:customStyle="1" w:styleId="88">
    <w:name w:val="报告表正文"/>
    <w:basedOn w:val="89"/>
    <w:qFormat/>
    <w:uiPriority w:val="0"/>
    <w:pPr>
      <w:widowControl/>
      <w:spacing w:line="360" w:lineRule="auto"/>
      <w:ind w:firstLine="720" w:firstLineChars="200"/>
      <w:jc w:val="both"/>
    </w:pPr>
    <w:rPr>
      <w:rFonts w:hint="eastAsia"/>
      <w:snapToGrid w:val="0"/>
      <w:color w:val="000000"/>
      <w:kern w:val="44"/>
      <w:szCs w:val="30"/>
    </w:rPr>
  </w:style>
  <w:style w:type="paragraph" w:customStyle="1" w:styleId="89">
    <w:name w:val="CM4"/>
    <w:basedOn w:val="1"/>
    <w:next w:val="1"/>
    <w:qFormat/>
    <w:uiPriority w:val="0"/>
    <w:pPr>
      <w:keepNext/>
      <w:spacing w:line="520" w:lineRule="exact"/>
      <w:jc w:val="center"/>
    </w:pPr>
    <w:rPr>
      <w:b/>
      <w:kern w:val="0"/>
      <w:szCs w:val="21"/>
    </w:rPr>
  </w:style>
  <w:style w:type="paragraph" w:customStyle="1" w:styleId="90">
    <w:name w:val="段落1"/>
    <w:basedOn w:val="1"/>
    <w:qFormat/>
    <w:uiPriority w:val="0"/>
    <w:pPr>
      <w:spacing w:before="120" w:after="120" w:line="440" w:lineRule="exact"/>
      <w:ind w:firstLine="200" w:firstLineChars="200"/>
    </w:pPr>
    <w:rPr>
      <w:spacing w:val="6"/>
    </w:rPr>
  </w:style>
  <w:style w:type="paragraph" w:styleId="91">
    <w:name w:val="List Paragraph"/>
    <w:basedOn w:val="1"/>
    <w:qFormat/>
    <w:uiPriority w:val="34"/>
    <w:pPr>
      <w:ind w:firstLine="420" w:firstLineChars="200"/>
    </w:pPr>
  </w:style>
  <w:style w:type="paragraph" w:customStyle="1" w:styleId="92">
    <w:name w:val="11111"/>
    <w:basedOn w:val="1"/>
    <w:next w:val="1"/>
    <w:qFormat/>
    <w:uiPriority w:val="0"/>
    <w:pPr>
      <w:spacing w:line="360" w:lineRule="auto"/>
      <w:ind w:firstLine="200" w:firstLineChars="200"/>
    </w:pPr>
    <w:rPr>
      <w:rFonts w:hAnsi="宋体" w:cs="宋体"/>
    </w:rPr>
  </w:style>
  <w:style w:type="paragraph" w:customStyle="1" w:styleId="93">
    <w:name w:val="表格文字"/>
    <w:basedOn w:val="10"/>
    <w:qFormat/>
    <w:uiPriority w:val="0"/>
    <w:pPr>
      <w:spacing w:before="31" w:beforeLines="10" w:after="31" w:afterLines="10" w:line="240" w:lineRule="atLeast"/>
      <w:jc w:val="center"/>
    </w:pPr>
    <w:rPr>
      <w:rFonts w:hint="eastAsia" w:ascii="Times New Roman" w:hAnsi="Times New Roman" w:eastAsia="宋体" w:cs="Times New Roman"/>
      <w:kern w:val="2"/>
      <w:sz w:val="18"/>
      <w:lang w:val="en-US" w:eastAsia="zh-CN" w:bidi="ar-SA"/>
    </w:rPr>
  </w:style>
  <w:style w:type="paragraph" w:customStyle="1" w:styleId="94">
    <w:name w:val="表格题目"/>
    <w:basedOn w:val="1"/>
    <w:unhideWhenUsed/>
    <w:qFormat/>
    <w:uiPriority w:val="0"/>
    <w:pPr>
      <w:spacing w:line="240" w:lineRule="atLeast"/>
      <w:jc w:val="center"/>
    </w:pPr>
    <w:rPr>
      <w:rFonts w:hint="eastAsia" w:ascii="黑体" w:hAnsi="宋体" w:eastAsia="黑体"/>
    </w:rPr>
  </w:style>
  <w:style w:type="paragraph" w:customStyle="1" w:styleId="95">
    <w:name w:val="正文2"/>
    <w:basedOn w:val="1"/>
    <w:qFormat/>
    <w:uiPriority w:val="0"/>
    <w:pPr>
      <w:spacing w:line="360" w:lineRule="auto"/>
      <w:ind w:firstLine="720" w:firstLineChars="200"/>
    </w:pPr>
    <w:rPr>
      <w:color w:val="1D41D5"/>
    </w:rPr>
  </w:style>
  <w:style w:type="paragraph" w:customStyle="1" w:styleId="96">
    <w:name w:val="我的正文"/>
    <w:basedOn w:val="1"/>
    <w:qFormat/>
    <w:uiPriority w:val="0"/>
    <w:pPr>
      <w:adjustRightInd w:val="0"/>
      <w:snapToGrid w:val="0"/>
      <w:spacing w:line="480" w:lineRule="exact"/>
      <w:ind w:firstLine="720" w:firstLineChars="200"/>
      <w:jc w:val="left"/>
    </w:pPr>
    <w:rPr>
      <w:rFonts w:cs="宋体"/>
      <w:bCs/>
      <w:szCs w:val="21"/>
    </w:rPr>
  </w:style>
  <w:style w:type="character" w:customStyle="1" w:styleId="97">
    <w:name w:val="批注文字 字符"/>
    <w:basedOn w:val="34"/>
    <w:link w:val="9"/>
    <w:semiHidden/>
    <w:qFormat/>
    <w:uiPriority w:val="99"/>
    <w:rPr>
      <w:kern w:val="2"/>
      <w:sz w:val="24"/>
      <w:szCs w:val="24"/>
    </w:rPr>
  </w:style>
  <w:style w:type="character" w:customStyle="1" w:styleId="98">
    <w:name w:val="批注主题 字符"/>
    <w:basedOn w:val="97"/>
    <w:link w:val="29"/>
    <w:semiHidden/>
    <w:qFormat/>
    <w:uiPriority w:val="99"/>
    <w:rPr>
      <w:b/>
      <w:bCs/>
      <w:kern w:val="2"/>
      <w:sz w:val="24"/>
      <w:szCs w:val="24"/>
    </w:rPr>
  </w:style>
  <w:style w:type="paragraph" w:customStyle="1" w:styleId="99">
    <w:name w:val="报告表专项情况正文"/>
    <w:qFormat/>
    <w:uiPriority w:val="0"/>
    <w:pPr>
      <w:autoSpaceDE w:val="0"/>
      <w:autoSpaceDN w:val="0"/>
      <w:adjustRightInd w:val="0"/>
      <w:snapToGrid w:val="0"/>
      <w:ind w:firstLine="720" w:firstLineChars="200"/>
      <w:jc w:val="both"/>
    </w:pPr>
    <w:rPr>
      <w:rFonts w:ascii="Times New Roman" w:hAnsi="Times New Roman" w:eastAsia="宋体" w:cs="宋体"/>
      <w:sz w:val="21"/>
      <w:szCs w:val="21"/>
      <w:lang w:val="en-US" w:eastAsia="zh-CN" w:bidi="ar-SA"/>
    </w:rPr>
  </w:style>
  <w:style w:type="character" w:customStyle="1" w:styleId="100">
    <w:name w:val="【图号】"/>
    <w:qFormat/>
    <w:uiPriority w:val="0"/>
    <w:rPr>
      <w:b/>
      <w:kern w:val="2"/>
      <w:sz w:val="21"/>
      <w:szCs w:val="24"/>
    </w:rPr>
  </w:style>
  <w:style w:type="paragraph" w:customStyle="1" w:styleId="101">
    <w:name w:val="p0"/>
    <w:basedOn w:val="1"/>
    <w:qFormat/>
    <w:uiPriority w:val="0"/>
    <w:pPr>
      <w:widowControl/>
    </w:pPr>
    <w:rPr>
      <w:kern w:val="0"/>
      <w:sz w:val="20"/>
      <w:szCs w:val="21"/>
    </w:rPr>
  </w:style>
  <w:style w:type="paragraph" w:customStyle="1" w:styleId="102">
    <w:name w:val="正文00"/>
    <w:basedOn w:val="1"/>
    <w:next w:val="103"/>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03">
    <w:name w:val="样式 Times New Roman 五号 居中1"/>
    <w:basedOn w:val="1"/>
    <w:next w:val="51"/>
    <w:qFormat/>
    <w:uiPriority w:val="99"/>
    <w:pPr>
      <w:jc w:val="center"/>
    </w:pPr>
    <w:rPr>
      <w:rFonts w:cs="宋体"/>
      <w:szCs w:val="21"/>
    </w:rPr>
  </w:style>
  <w:style w:type="paragraph" w:customStyle="1" w:styleId="104">
    <w:name w:val="列出段落1"/>
    <w:basedOn w:val="1"/>
    <w:qFormat/>
    <w:uiPriority w:val="34"/>
    <w:pPr>
      <w:ind w:firstLine="420" w:firstLineChars="200"/>
    </w:pPr>
  </w:style>
  <w:style w:type="paragraph" w:customStyle="1" w:styleId="105">
    <w:name w:val="Table Text"/>
    <w:basedOn w:val="1"/>
    <w:semiHidden/>
    <w:qFormat/>
    <w:uiPriority w:val="0"/>
    <w:rPr>
      <w:rFonts w:ascii="宋体" w:hAnsi="宋体" w:cs="宋体"/>
      <w:sz w:val="18"/>
      <w:szCs w:val="18"/>
      <w:lang w:eastAsia="en-US"/>
    </w:rPr>
  </w:style>
  <w:style w:type="paragraph" w:customStyle="1" w:styleId="106">
    <w:name w:val="bgb表头"/>
    <w:basedOn w:val="1"/>
    <w:next w:val="1"/>
    <w:qFormat/>
    <w:uiPriority w:val="0"/>
    <w:pPr>
      <w:adjustRightInd w:val="0"/>
      <w:snapToGrid w:val="0"/>
      <w:spacing w:line="480" w:lineRule="exact"/>
      <w:contextualSpacing/>
      <w:jc w:val="center"/>
    </w:pPr>
    <w:rPr>
      <w:color w:val="000000"/>
      <w:kern w:val="0"/>
      <w:sz w:val="24"/>
      <w:szCs w:val="21"/>
    </w:rPr>
  </w:style>
  <w:style w:type="paragraph" w:customStyle="1" w:styleId="107">
    <w:name w:val="内容"/>
    <w:basedOn w:val="1"/>
    <w:qFormat/>
    <w:uiPriority w:val="0"/>
    <w:pPr>
      <w:spacing w:before="156" w:beforeLines="50" w:after="156" w:afterLines="50"/>
      <w:ind w:firstLine="200" w:firstLineChars="200"/>
    </w:pPr>
    <w:rPr>
      <w:color w:val="000000"/>
      <w:sz w:val="24"/>
      <w:szCs w:val="20"/>
    </w:rPr>
  </w:style>
  <w:style w:type="paragraph" w:customStyle="1" w:styleId="108">
    <w:name w:val="图编号"/>
    <w:basedOn w:val="93"/>
    <w:qFormat/>
    <w:uiPriority w:val="0"/>
    <w:pPr>
      <w:tabs>
        <w:tab w:val="left" w:pos="1140"/>
      </w:tabs>
      <w:adjustRightInd/>
      <w:snapToGrid/>
      <w:spacing w:before="300" w:after="300" w:line="360" w:lineRule="auto"/>
      <w:ind w:left="1140" w:hanging="600"/>
    </w:pPr>
    <w:rPr>
      <w:rFonts w:ascii="Times New Roman" w:hAnsi="Times New Roman"/>
      <w:spacing w:val="0"/>
      <w:kern w:val="2"/>
      <w:sz w:val="24"/>
      <w:szCs w:val="20"/>
    </w:rPr>
  </w:style>
  <w:style w:type="paragraph" w:customStyle="1" w:styleId="109">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110">
    <w:name w:val="表内文字"/>
    <w:qFormat/>
    <w:uiPriority w:val="0"/>
    <w:pPr>
      <w:spacing w:line="300" w:lineRule="auto"/>
      <w:ind w:firstLine="200" w:firstLineChars="200"/>
      <w:jc w:val="both"/>
    </w:pPr>
    <w:rPr>
      <w:rFonts w:ascii="Times New Roman" w:hAnsi="Times New Roman" w:eastAsia="宋体" w:cs="Times New Roman"/>
      <w:color w:val="000000"/>
      <w:sz w:val="21"/>
      <w:lang w:val="en-US" w:eastAsia="zh-CN" w:bidi="ar-SA"/>
    </w:rPr>
  </w:style>
  <w:style w:type="paragraph" w:customStyle="1" w:styleId="111">
    <w:name w:val="Table Paragraph"/>
    <w:qFormat/>
    <w:uiPriority w:val="0"/>
    <w:pPr>
      <w:widowControl w:val="0"/>
      <w:autoSpaceDE w:val="0"/>
      <w:autoSpaceDN w:val="0"/>
      <w:jc w:val="center"/>
    </w:pPr>
    <w:rPr>
      <w:rFonts w:ascii="仿宋" w:hAnsi="仿宋" w:eastAsia="仿宋" w:cs="仿宋"/>
      <w:sz w:val="22"/>
      <w:szCs w:val="22"/>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A1EA45-A49B-4087-875E-4E73BC320D23}">
  <ds:schemaRefs/>
</ds:datastoreItem>
</file>

<file path=docProps/app.xml><?xml version="1.0" encoding="utf-8"?>
<Properties xmlns="http://schemas.openxmlformats.org/officeDocument/2006/extended-properties" xmlns:vt="http://schemas.openxmlformats.org/officeDocument/2006/docPropsVTypes">
  <Template>Normal.dotm</Template>
  <Pages>83</Pages>
  <Words>9279</Words>
  <Characters>9629</Characters>
  <Lines>294</Lines>
  <Paragraphs>82</Paragraphs>
  <TotalTime>1</TotalTime>
  <ScaleCrop>false</ScaleCrop>
  <LinksUpToDate>false</LinksUpToDate>
  <CharactersWithSpaces>9716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2025-07-15T03:19:00Z</dcterms:created>
  <dc:creator>pc</dc:creator>
  <cp:lastModifiedBy>Administrator</cp:lastModifiedBy>
  <cp:lastPrinted>2025-07-14T00:52:00Z</cp:lastPrinted>
  <dcterms:modified xsi:type="dcterms:W3CDTF">2026-06-17T08:41:43Z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3F761A66AC224023BD97CC8859B13589_13</vt:lpwstr>
  </property>
  <property fmtid="{D5CDD505-2E9C-101B-9397-08002B2CF9AE}" pid="4" name="KSOTemplateDocerSaveRecord">
    <vt:lpwstr>eyJoZGlkIjoiOWRjYmQ1NmMwZjk0OThiNzYxNmNkZjk5MDY2YmE3ZDAiLCJ1c2VySWQiOiI1Mjg4OTczNDEifQ==</vt:lpwstr>
  </property>
</Properties>
</file>