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cs="宋体" w:asciiTheme="majorEastAsia" w:hAnsiTheme="majorEastAsia" w:eastAsiaTheme="majorEastAsia"/>
          <w:b/>
          <w:kern w:val="1"/>
          <w:sz w:val="44"/>
          <w:szCs w:val="44"/>
        </w:rPr>
      </w:pPr>
      <w:r>
        <w:rPr>
          <w:rFonts w:hint="eastAsia" w:cs="宋体" w:asciiTheme="majorEastAsia" w:hAnsiTheme="majorEastAsia" w:eastAsiaTheme="majorEastAsia"/>
          <w:b/>
          <w:kern w:val="1"/>
          <w:sz w:val="44"/>
          <w:szCs w:val="44"/>
        </w:rPr>
        <w:t>关于《嘉荫县2022年度行政事业性</w:t>
      </w:r>
    </w:p>
    <w:p>
      <w:pPr>
        <w:spacing w:line="560" w:lineRule="exact"/>
        <w:jc w:val="center"/>
        <w:rPr>
          <w:rFonts w:hint="eastAsia" w:cs="宋体" w:asciiTheme="majorEastAsia" w:hAnsiTheme="majorEastAsia" w:eastAsiaTheme="majorEastAsia"/>
          <w:b/>
          <w:kern w:val="1"/>
          <w:sz w:val="44"/>
          <w:szCs w:val="44"/>
        </w:rPr>
      </w:pPr>
      <w:r>
        <w:rPr>
          <w:rFonts w:hint="eastAsia" w:cs="宋体" w:asciiTheme="majorEastAsia" w:hAnsiTheme="majorEastAsia" w:eastAsiaTheme="majorEastAsia"/>
          <w:b/>
          <w:kern w:val="1"/>
          <w:sz w:val="44"/>
          <w:szCs w:val="44"/>
        </w:rPr>
        <w:t>国有资产管理情况报告》和《嘉荫县人民政府</w:t>
      </w:r>
    </w:p>
    <w:p>
      <w:pPr>
        <w:spacing w:line="560" w:lineRule="exact"/>
        <w:jc w:val="center"/>
        <w:rPr>
          <w:rFonts w:hint="eastAsia" w:cs="宋体" w:asciiTheme="majorEastAsia" w:hAnsiTheme="majorEastAsia" w:eastAsiaTheme="majorEastAsia"/>
          <w:b/>
          <w:kern w:val="1"/>
          <w:sz w:val="44"/>
          <w:szCs w:val="44"/>
        </w:rPr>
      </w:pPr>
      <w:r>
        <w:rPr>
          <w:rFonts w:hint="eastAsia" w:cs="宋体" w:asciiTheme="majorEastAsia" w:hAnsiTheme="majorEastAsia" w:eastAsiaTheme="majorEastAsia"/>
          <w:b/>
          <w:kern w:val="1"/>
          <w:sz w:val="44"/>
          <w:szCs w:val="44"/>
        </w:rPr>
        <w:t>关于2022年度全县国有资产管理情况的</w:t>
      </w:r>
    </w:p>
    <w:p>
      <w:pPr>
        <w:spacing w:line="560" w:lineRule="exact"/>
        <w:jc w:val="center"/>
        <w:rPr>
          <w:rFonts w:ascii="楷体" w:hAnsi="楷体" w:eastAsia="楷体" w:cs="宋体"/>
          <w:b/>
          <w:kern w:val="1"/>
          <w:sz w:val="32"/>
          <w:szCs w:val="32"/>
        </w:rPr>
      </w:pPr>
      <w:r>
        <w:rPr>
          <w:rFonts w:hint="eastAsia" w:cs="宋体" w:asciiTheme="majorEastAsia" w:hAnsiTheme="majorEastAsia" w:eastAsiaTheme="majorEastAsia"/>
          <w:b/>
          <w:kern w:val="1"/>
          <w:sz w:val="44"/>
          <w:szCs w:val="44"/>
        </w:rPr>
        <w:t>综合报告》的审议意见</w:t>
      </w:r>
    </w:p>
    <w:p>
      <w:pPr>
        <w:spacing w:line="560" w:lineRule="exact"/>
        <w:ind w:firstLine="643" w:firstLineChars="200"/>
        <w:jc w:val="center"/>
        <w:rPr>
          <w:rFonts w:hint="eastAsia" w:ascii="楷体" w:hAnsi="楷体" w:eastAsia="楷体" w:cs="宋体"/>
          <w:b/>
          <w:kern w:val="1"/>
          <w:sz w:val="32"/>
          <w:szCs w:val="32"/>
        </w:rPr>
      </w:pPr>
      <w:bookmarkStart w:id="0" w:name="_GoBack"/>
    </w:p>
    <w:p>
      <w:pPr>
        <w:spacing w:line="560" w:lineRule="exact"/>
        <w:ind w:firstLine="643" w:firstLineChars="200"/>
        <w:jc w:val="center"/>
        <w:rPr>
          <w:rFonts w:ascii="楷体" w:hAnsi="楷体" w:eastAsia="楷体" w:cs="宋体"/>
          <w:b/>
          <w:kern w:val="1"/>
          <w:sz w:val="32"/>
          <w:szCs w:val="32"/>
        </w:rPr>
      </w:pPr>
      <w:r>
        <w:rPr>
          <w:rFonts w:hint="eastAsia" w:ascii="楷体" w:hAnsi="楷体" w:eastAsia="楷体" w:cs="宋体"/>
          <w:b/>
          <w:kern w:val="1"/>
          <w:sz w:val="32"/>
          <w:szCs w:val="32"/>
        </w:rPr>
        <w:t>（2023年9月15日）</w:t>
      </w:r>
    </w:p>
    <w:p>
      <w:pPr>
        <w:spacing w:line="560" w:lineRule="exact"/>
        <w:ind w:firstLine="640"/>
        <w:rPr>
          <w:rFonts w:ascii="黑体" w:hAnsi="黑体" w:eastAsia="黑体" w:cs="宋体"/>
          <w:kern w:val="1"/>
          <w:sz w:val="32"/>
          <w:szCs w:val="32"/>
        </w:rPr>
      </w:pPr>
    </w:p>
    <w:p>
      <w:pPr>
        <w:spacing w:line="560" w:lineRule="exact"/>
        <w:ind w:firstLine="640"/>
        <w:rPr>
          <w:rFonts w:ascii="仿宋_GB2312" w:eastAsia="仿宋_GB2312"/>
          <w:sz w:val="32"/>
          <w:szCs w:val="32"/>
        </w:rPr>
      </w:pPr>
      <w:r>
        <w:rPr>
          <w:rFonts w:hint="eastAsia" w:ascii="仿宋_GB2312" w:hAnsi="仿宋" w:eastAsia="仿宋_GB2312" w:cs="仿宋"/>
          <w:color w:val="000000"/>
          <w:sz w:val="32"/>
          <w:szCs w:val="32"/>
        </w:rPr>
        <w:t>嘉荫县第十八届人大常委会第十二次会议听取审议了嘉荫县人民政府《关于嘉荫县2022年度行政事业性国有资产管理情况的报告》和《嘉荫县人民政府关于2022年度全县国有资产管理情况的综合报告》。会议认为：</w:t>
      </w:r>
      <w:r>
        <w:rPr>
          <w:rFonts w:hint="eastAsia" w:ascii="仿宋_GB2312" w:eastAsia="仿宋_GB2312"/>
          <w:sz w:val="32"/>
          <w:szCs w:val="32"/>
        </w:rPr>
        <w:t>县政府及相关部门认真贯彻落实国有资产管理的各项规定和政策要求，扎实推进国有企业和国有自然资源资产重点领域改革，行政事业性国有资产配置和运行效率进一步提高。这两个报告坚持全口径、全覆盖，重点突出，反映情况客观，问题分析到位。</w:t>
      </w:r>
    </w:p>
    <w:bookmarkEnd w:id="0"/>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会议</w:t>
      </w:r>
      <w:r>
        <w:rPr>
          <w:rFonts w:hint="eastAsia" w:ascii="仿宋_GB2312" w:eastAsia="仿宋_GB2312"/>
          <w:sz w:val="32"/>
          <w:szCs w:val="32"/>
        </w:rPr>
        <w:t>同时对政府国有资产管理工作也提出了一些意见和建议，主要是：</w:t>
      </w:r>
    </w:p>
    <w:p>
      <w:pPr>
        <w:spacing w:line="560" w:lineRule="exact"/>
        <w:ind w:firstLine="640" w:firstLineChars="200"/>
      </w:pPr>
      <w:r>
        <w:rPr>
          <w:rFonts w:hint="eastAsia" w:ascii="仿宋_GB2312" w:hAnsi="仿宋_GB2312" w:eastAsia="仿宋_GB2312" w:cs="仿宋_GB2312"/>
          <w:sz w:val="32"/>
          <w:szCs w:val="32"/>
        </w:rPr>
        <w:t>（一）着力推动国有资本做大做强做优，逐步实现国有企业高质量发展。一是推动各项改革任务走深走实，有效推进国企改革三年行动取得实质进展。二是推动国有资本配置效率提升，加大重点项目建设力度，鼓励科技创新发展。三是明确监管重点，提升监管效能。全力推进监管企业信息化建设，切实有效防范化解重大风险。四是鼓励国企党建与生产经营相结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持续夯实资产管理基础，助力行政事业单位高效履职和事业发展。一是全面推进资产管理信息系统，实行资产的网络动态监管。按照国家财政部关于加快将资产管理纳入预算一体化的要求，进一步优化完善资产信息化管理功能，推动资产管理嵌入预算管理业务环节，实现资产全生命周期精细化管理。二是强化公共基础设施资产管理。进一步明确部门和单位管理责任，强化资产会计核算，推动管理单位按照“谁承担管理维护职责由谁入账”要求，不断夯实资产报告编报基础。三是提升资产出租、处置管理能效。充分发挥主管部门行业管理优势，建立高效的处置流程，保障资产安全完整。四是推动闲置资产盘活利用和共享共用。进一步梳理我县行政事业单位闲置资产，通过公开招租、拍卖、调剂使用方式，盘活利用闲置资产。</w:t>
      </w:r>
    </w:p>
    <w:p>
      <w:pPr>
        <w:pStyle w:val="2"/>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健全自然资源管理体系。按照县委工作安排部署，运用“四个体系”工作机制扎实推进自然资源各项工作开展，持续推进自然资源资产所有权委托代理及清查工作，有效摸清我县全民所有自然资源资产底数，推动自然资源资产产权制度改革，准确掌握国有资源资产的变化情况，让自然资源清单的内容更加明晰。</w:t>
      </w:r>
    </w:p>
    <w:p>
      <w:pPr>
        <w:widowControl/>
        <w:snapToGrid w:val="0"/>
        <w:spacing w:line="610" w:lineRule="exact"/>
        <w:ind w:firstLine="627"/>
        <w:rPr>
          <w:rFonts w:ascii="仿宋_GB2312" w:hAnsi="仿宋_GB2312" w:eastAsia="仿宋_GB2312" w:cs="仿宋_GB2312"/>
          <w:color w:val="383838"/>
          <w:sz w:val="32"/>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870688"/>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1OWFhZDJkMGJiZWYwMDhkMDFiODczY2MyZDhmYTgifQ=="/>
  </w:docVars>
  <w:rsids>
    <w:rsidRoot w:val="00AE6A93"/>
    <w:rsid w:val="00003DE0"/>
    <w:rsid w:val="000B58B5"/>
    <w:rsid w:val="000E3C59"/>
    <w:rsid w:val="00103B39"/>
    <w:rsid w:val="00114D24"/>
    <w:rsid w:val="00131F3A"/>
    <w:rsid w:val="00190A65"/>
    <w:rsid w:val="001A436D"/>
    <w:rsid w:val="001F48EB"/>
    <w:rsid w:val="001F76E8"/>
    <w:rsid w:val="00242D1A"/>
    <w:rsid w:val="002D3F4A"/>
    <w:rsid w:val="002E4EC8"/>
    <w:rsid w:val="0032069F"/>
    <w:rsid w:val="00321C87"/>
    <w:rsid w:val="00334C30"/>
    <w:rsid w:val="00342E9E"/>
    <w:rsid w:val="00344F41"/>
    <w:rsid w:val="00352C5C"/>
    <w:rsid w:val="003C59E8"/>
    <w:rsid w:val="003D7DCC"/>
    <w:rsid w:val="0042142D"/>
    <w:rsid w:val="00432CBF"/>
    <w:rsid w:val="004720DF"/>
    <w:rsid w:val="0049530D"/>
    <w:rsid w:val="00513490"/>
    <w:rsid w:val="0051667E"/>
    <w:rsid w:val="005C679D"/>
    <w:rsid w:val="005D045D"/>
    <w:rsid w:val="005D2807"/>
    <w:rsid w:val="005F6D5B"/>
    <w:rsid w:val="00651CD0"/>
    <w:rsid w:val="006575DD"/>
    <w:rsid w:val="0065776C"/>
    <w:rsid w:val="006673F0"/>
    <w:rsid w:val="00695578"/>
    <w:rsid w:val="006C09F2"/>
    <w:rsid w:val="006F1169"/>
    <w:rsid w:val="00716252"/>
    <w:rsid w:val="00762F21"/>
    <w:rsid w:val="00774C18"/>
    <w:rsid w:val="00784C9D"/>
    <w:rsid w:val="007D14A3"/>
    <w:rsid w:val="008A6390"/>
    <w:rsid w:val="008D0277"/>
    <w:rsid w:val="00931EF9"/>
    <w:rsid w:val="009637AF"/>
    <w:rsid w:val="00963D8A"/>
    <w:rsid w:val="009A0002"/>
    <w:rsid w:val="009A0ABC"/>
    <w:rsid w:val="00A52262"/>
    <w:rsid w:val="00A94B15"/>
    <w:rsid w:val="00AC0C7D"/>
    <w:rsid w:val="00AD2078"/>
    <w:rsid w:val="00AE6A93"/>
    <w:rsid w:val="00AE7A43"/>
    <w:rsid w:val="00B1652E"/>
    <w:rsid w:val="00B33E23"/>
    <w:rsid w:val="00B5135B"/>
    <w:rsid w:val="00B62D74"/>
    <w:rsid w:val="00B8390F"/>
    <w:rsid w:val="00BB774E"/>
    <w:rsid w:val="00BC741C"/>
    <w:rsid w:val="00BD7776"/>
    <w:rsid w:val="00BF0C68"/>
    <w:rsid w:val="00C442F2"/>
    <w:rsid w:val="00C52465"/>
    <w:rsid w:val="00CA3174"/>
    <w:rsid w:val="00CC40AF"/>
    <w:rsid w:val="00CD0A8B"/>
    <w:rsid w:val="00D075BE"/>
    <w:rsid w:val="00D3325E"/>
    <w:rsid w:val="00D83042"/>
    <w:rsid w:val="00E37650"/>
    <w:rsid w:val="00E62268"/>
    <w:rsid w:val="00E9434B"/>
    <w:rsid w:val="00EB2A8E"/>
    <w:rsid w:val="00EF45B4"/>
    <w:rsid w:val="00EF5F28"/>
    <w:rsid w:val="00F233C4"/>
    <w:rsid w:val="00F36F40"/>
    <w:rsid w:val="00F9740C"/>
    <w:rsid w:val="00FD00E2"/>
    <w:rsid w:val="01C5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jc w:val="center"/>
    </w:pPr>
    <w:rPr>
      <w:rFonts w:ascii="宋体" w:hAnsi="宋体"/>
      <w:b/>
      <w:bCs/>
      <w:sz w:val="44"/>
      <w:szCs w:val="24"/>
    </w:rPr>
  </w:style>
  <w:style w:type="paragraph" w:styleId="3">
    <w:name w:val="toc 3"/>
    <w:basedOn w:val="1"/>
    <w:next w:val="1"/>
    <w:semiHidden/>
    <w:unhideWhenUsed/>
    <w:qFormat/>
    <w:uiPriority w:val="39"/>
    <w:pPr>
      <w:ind w:left="840" w:leftChars="4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2"/>
    <w:qFormat/>
    <w:uiPriority w:val="0"/>
    <w:rPr>
      <w:rFonts w:ascii="宋体" w:hAnsi="宋体"/>
      <w:b/>
      <w:bCs/>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928</Words>
  <Characters>944</Characters>
  <Lines>6</Lines>
  <Paragraphs>1</Paragraphs>
  <TotalTime>132</TotalTime>
  <ScaleCrop>false</ScaleCrop>
  <LinksUpToDate>false</LinksUpToDate>
  <CharactersWithSpaces>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2017-11-19T06:15:00Z</dcterms:created>
  <dc:creator>rd9</dc:creator>
  <cp:lastModifiedBy>Mr.GeneraL</cp:lastModifiedBy>
  <dcterms:modified xsi:type="dcterms:W3CDTF">2023-11-22T05:59:54Z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D493334D7E3840D68D1006C642B7DE4C_12</vt:lpwstr>
  </property>
</Properties>
</file>