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嘉荫县人民政府关于2022年度</w:t>
      </w:r>
    </w:p>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全县国有资产管理情况的综合报告</w:t>
      </w:r>
    </w:p>
    <w:p>
      <w:pPr>
        <w:pStyle w:val="2"/>
        <w:spacing w:after="0" w:line="560" w:lineRule="exact"/>
        <w:ind w:left="0" w:leftChars="0" w:firstLine="0" w:firstLineChars="0"/>
        <w:jc w:val="center"/>
        <w:rPr>
          <w:rFonts w:ascii="楷体_GB2312" w:hAnsi="楷体_GB2312" w:eastAsia="楷体_GB2312" w:cs="楷体_GB2312"/>
          <w:sz w:val="32"/>
          <w:szCs w:val="32"/>
        </w:rPr>
      </w:pPr>
    </w:p>
    <w:p>
      <w:pPr>
        <w:spacing w:line="560" w:lineRule="exact"/>
        <w:jc w:val="center"/>
        <w:rPr>
          <w:rFonts w:ascii="楷体_GB2312" w:eastAsia="楷体_GB2312"/>
          <w:bCs/>
          <w:spacing w:val="1"/>
          <w:kern w:val="0"/>
          <w:sz w:val="32"/>
          <w:szCs w:val="32"/>
        </w:rPr>
      </w:pPr>
      <w:r>
        <w:rPr>
          <w:rFonts w:hint="eastAsia" w:ascii="楷体_GB2312" w:eastAsia="楷体_GB2312"/>
          <w:bCs/>
          <w:spacing w:val="1"/>
          <w:kern w:val="0"/>
          <w:sz w:val="32"/>
          <w:szCs w:val="32"/>
        </w:rPr>
        <w:t>---2023年9月12日在嘉荫县第十八届人民代表大会</w:t>
      </w:r>
    </w:p>
    <w:p>
      <w:pPr>
        <w:spacing w:line="560" w:lineRule="exact"/>
        <w:jc w:val="center"/>
        <w:rPr>
          <w:rFonts w:ascii="楷体_GB2312" w:eastAsia="楷体_GB2312"/>
          <w:bCs/>
          <w:spacing w:val="21"/>
          <w:kern w:val="0"/>
          <w:sz w:val="32"/>
          <w:szCs w:val="32"/>
        </w:rPr>
      </w:pPr>
      <w:r>
        <w:rPr>
          <w:rFonts w:hint="eastAsia" w:ascii="楷体_GB2312" w:eastAsia="楷体_GB2312"/>
          <w:bCs/>
          <w:spacing w:val="1"/>
          <w:kern w:val="0"/>
          <w:sz w:val="32"/>
          <w:szCs w:val="32"/>
        </w:rPr>
        <w:t>常务委员会第十二次会议</w:t>
      </w:r>
      <w:r>
        <w:rPr>
          <w:rFonts w:hint="eastAsia" w:ascii="楷体_GB2312" w:eastAsia="楷体_GB2312"/>
          <w:bCs/>
          <w:spacing w:val="21"/>
          <w:kern w:val="0"/>
          <w:sz w:val="32"/>
          <w:szCs w:val="32"/>
        </w:rPr>
        <w:t>上</w:t>
      </w:r>
    </w:p>
    <w:p>
      <w:pPr>
        <w:spacing w:line="560" w:lineRule="exact"/>
        <w:jc w:val="center"/>
        <w:rPr>
          <w:rFonts w:ascii="楷体_GB2312" w:eastAsia="楷体_GB2312"/>
          <w:b/>
          <w:bCs/>
          <w:color w:val="000000"/>
          <w:spacing w:val="-8"/>
          <w:sz w:val="32"/>
          <w:szCs w:val="32"/>
        </w:rPr>
      </w:pPr>
    </w:p>
    <w:p>
      <w:pPr>
        <w:spacing w:line="560" w:lineRule="exact"/>
        <w:jc w:val="center"/>
        <w:rPr>
          <w:rFonts w:ascii="楷体_GB2312" w:eastAsia="楷体_GB2312"/>
          <w:bCs/>
          <w:spacing w:val="1"/>
          <w:kern w:val="0"/>
          <w:sz w:val="32"/>
          <w:szCs w:val="32"/>
        </w:rPr>
      </w:pPr>
      <w:r>
        <w:rPr>
          <w:rFonts w:hint="eastAsia" w:ascii="楷体_GB2312" w:eastAsia="楷体_GB2312"/>
          <w:bCs/>
          <w:spacing w:val="1"/>
          <w:kern w:val="0"/>
          <w:sz w:val="32"/>
          <w:szCs w:val="32"/>
        </w:rPr>
        <w:t>县财政局局长  朱长岭</w:t>
      </w:r>
    </w:p>
    <w:p>
      <w:pPr>
        <w:pStyle w:val="2"/>
        <w:ind w:firstLine="480"/>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主任、各位副主任、各位委员：</w:t>
      </w:r>
    </w:p>
    <w:p>
      <w:pPr>
        <w:spacing w:line="560" w:lineRule="exact"/>
        <w:ind w:firstLine="640" w:firstLineChars="200"/>
        <w:rPr>
          <w:rFonts w:ascii="楷体_GB2312" w:hAnsi="楷体_GB2312" w:eastAsia="楷体_GB2312" w:cs="楷体_GB2312"/>
          <w:kern w:val="0"/>
          <w:sz w:val="32"/>
          <w:szCs w:val="32"/>
        </w:rPr>
      </w:pPr>
      <w:r>
        <w:rPr>
          <w:rFonts w:hint="eastAsia" w:ascii="仿宋_GB2312" w:eastAsia="仿宋_GB2312"/>
          <w:color w:val="000000"/>
          <w:sz w:val="32"/>
          <w:szCs w:val="32"/>
        </w:rPr>
        <w:t>受县政府委托，</w:t>
      </w:r>
      <w:r>
        <w:rPr>
          <w:rFonts w:hint="eastAsia" w:ascii="仿宋_GB2312" w:hAnsi="仿宋_GB2312" w:eastAsia="仿宋_GB2312" w:cs="仿宋_GB2312"/>
          <w:kern w:val="0"/>
          <w:sz w:val="32"/>
          <w:szCs w:val="32"/>
        </w:rPr>
        <w:t>按照《中共嘉荫县委关于贯彻落实中央和省委、市委人大工作会议精神加强和改进新时代人大工作的实施方案》要求，</w:t>
      </w:r>
      <w:r>
        <w:rPr>
          <w:rFonts w:hint="eastAsia" w:ascii="仿宋_GB2312" w:eastAsia="仿宋_GB2312"/>
          <w:color w:val="000000"/>
          <w:sz w:val="32"/>
          <w:szCs w:val="32"/>
        </w:rPr>
        <w:t>向县人大常委会报告</w:t>
      </w:r>
      <w:r>
        <w:rPr>
          <w:rFonts w:hint="eastAsia" w:ascii="仿宋_GB2312" w:hAnsi="仿宋_GB2312" w:eastAsia="仿宋_GB2312" w:cs="仿宋_GB2312"/>
          <w:kern w:val="0"/>
          <w:sz w:val="32"/>
          <w:szCs w:val="32"/>
        </w:rPr>
        <w:t>2022年度全县国有资产管理</w:t>
      </w:r>
      <w:r>
        <w:rPr>
          <w:rFonts w:hint="eastAsia" w:ascii="仿宋_GB2312" w:eastAsia="仿宋_GB2312"/>
          <w:color w:val="000000"/>
          <w:sz w:val="32"/>
          <w:szCs w:val="32"/>
        </w:rPr>
        <w:t>情况</w:t>
      </w:r>
      <w:r>
        <w:rPr>
          <w:rFonts w:hint="eastAsia" w:ascii="仿宋_GB2312" w:hAnsi="仿宋_GB2312" w:eastAsia="仿宋_GB2312" w:cs="仿宋_GB2312"/>
          <w:sz w:val="32"/>
          <w:szCs w:val="32"/>
        </w:rPr>
        <w:t>，请予审议。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一、国有资产总体情况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（一）企业国有资产（不含金融企业）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2022年，全县所属国有企业共18户。资产40833.54万元，负债21563.09万元，所有者权益19270.45万元，资产负债率52.81%。</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行政事业性国有资产</w:t>
      </w:r>
    </w:p>
    <w:p>
      <w:pPr>
        <w:spacing w:line="560" w:lineRule="exact"/>
        <w:ind w:firstLine="633" w:firstLineChars="198"/>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2022年，全县行政事业性国有资产总额（账面净值，下同）731,658.94万元，较上年增长5.60%。负债总额 16,350.47万元 ,较上年增长-20.19%。净资产715,308.48万元 ,较上年增长6.39</w:t>
      </w:r>
      <w:r>
        <w:rPr>
          <w:rFonts w:hint="eastAsia" w:ascii="仿宋_GB2312" w:eastAsia="仿宋_GB2312"/>
          <w:color w:val="000000" w:themeColor="text1"/>
          <w:sz w:val="32"/>
          <w:szCs w:val="32"/>
        </w:rPr>
        <w:t>%。</w:t>
      </w:r>
      <w:r>
        <w:rPr>
          <w:rFonts w:hint="eastAsia" w:ascii="仿宋_GB2312" w:hAnsi="仿宋_GB2312" w:eastAsia="仿宋_GB2312" w:cs="仿宋_GB2312"/>
          <w:sz w:val="32"/>
          <w:szCs w:val="32"/>
        </w:rPr>
        <w:t>其中：行政性国有资产272,721.20万元，负债9,059.01万元，净资产263,662.19万元；事业性国有资产</w:t>
      </w:r>
      <w:r>
        <w:rPr>
          <w:rFonts w:hint="eastAsia" w:ascii="仿宋_GB2312" w:eastAsia="仿宋_GB2312"/>
          <w:color w:val="000000" w:themeColor="text1"/>
          <w:sz w:val="32"/>
          <w:szCs w:val="32"/>
        </w:rPr>
        <w:t>458,937.74</w:t>
      </w:r>
      <w:r>
        <w:rPr>
          <w:rFonts w:hint="eastAsia" w:ascii="仿宋_GB2312" w:hAnsi="仿宋_GB2312" w:eastAsia="仿宋_GB2312" w:cs="仿宋_GB2312"/>
          <w:sz w:val="32"/>
          <w:szCs w:val="32"/>
        </w:rPr>
        <w:t>万元，负债7,291.46万元，净资产451,646.29万元。</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国有自然资源资产</w:t>
      </w:r>
    </w:p>
    <w:p>
      <w:pPr>
        <w:spacing w:line="560" w:lineRule="exact"/>
        <w:ind w:firstLine="633" w:firstLineChars="198"/>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shd w:val="clear" w:color="auto" w:fill="FFFFFF"/>
        </w:rPr>
        <w:t>截至2022年末，全县国土调查总面积67.5万公顷，其中国有建设用地0.43万公顷、耕地12万公顷、林地48.8万公顷、草地0.7万公顷、湿地3.3万公顷。2022年，全县水资源总量0.44亿立方米。</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二、全县国有资产管理工作情况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（一）企业国有资产（不含金融企业）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1.全面完成国企改革三年行动任务。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落实《伊春市国企改革三年行动实施方案（2020-2022年）》；持续做好退休人员社会化管理工作，已向市国资委上报嘉荫县关于国有企业退休人员社会化管理工作情况及财政补助资金申请表，完成清算工作；做好2021年社会化管理财政补助资金绩效自评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2.完善县属企业法人治理结构，规范体制机制建设，强化党的领导和党的建设工作进展。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贯彻党的二十大精神，深入贯彻落实习近平总书记系列重要讲话精神和治国理政新理念新思想新战略，认真落实党中央、国务院决策部署，从国有企业实际情况出发，以建立健全产权清晰、权责明确、政企分开、管理科学的现代企业制度为方向，积极适应国有企业改革的新形势新要求，坚持党的领导、加强党的建设，完善体制机制，各负其责、协调运转、有效制衡的国有企业法人治理结构。目前嘉荫县嘉旅茅兰旅游开发服务有限责任公司已修订公司章程强化党的领导和党的建设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（二）行政事业性国有资产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1.夯实基础管理，持续优化管理手段。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资产清查盘点和数据治理，核清资产家底，完善资产信息，提高资产数据质量。加强权属管理，要求单位及时办理房屋、土地等资产权属证书，避免权属不清和产权纠纷。对来源不清的资产暂按国有资产管理，待产权确认后再据实调整。</w:t>
      </w:r>
    </w:p>
    <w:p>
      <w:pPr>
        <w:spacing w:line="560" w:lineRule="exact"/>
        <w:ind w:firstLine="640" w:firstLineChars="200"/>
      </w:pPr>
      <w:r>
        <w:rPr>
          <w:rFonts w:hint="eastAsia" w:ascii="仿宋_GB2312" w:hAnsi="仿宋_GB2312" w:eastAsia="仿宋_GB2312" w:cs="仿宋_GB2312"/>
          <w:sz w:val="32"/>
          <w:szCs w:val="32"/>
        </w:rPr>
        <w:t>2.推进盘活利用，推动“过紧日子”要求落地生效。通过市场化方式推进闲置资产盘活变现，县级行政事业单位出资、转让、报废回收资产；通过调剂县级行政事业单位闲置资产到能利用的行政事业单位，有效保障党政机关履职和事业发展需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（三）国有自然资源资产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1.着力加强自然资源基础管理。</w:t>
      </w:r>
      <w:r>
        <w:rPr>
          <w:rFonts w:hint="eastAsia" w:ascii="仿宋_GB2312" w:hAnsi="仿宋_GB2312" w:eastAsia="仿宋_GB2312" w:cs="仿宋_GB2312"/>
          <w:kern w:val="0"/>
          <w:sz w:val="32"/>
          <w:szCs w:val="32"/>
          <w:shd w:val="clear" w:color="auto" w:fill="FFFFFF"/>
        </w:rPr>
        <w:t>一是扎实推进永久基本农田划定，我县需划定的稳定耕地面积105246.1289公顷，永久基本农田面积89930公顷，现已完成国家下达划定任务的85.45%，11月1日新的永久基本农田获得国家批复；二是与各乡镇签订耕地保护责任状9份，各乡镇与村屯签订耕地保护责任状70份，做到了耕地保护责任逐级签订，层层落实到位无遗漏；三是扎实做好农转工作，2022年度办理农转用地审批手续4宗，总面积1.1633公顷。</w:t>
      </w:r>
    </w:p>
    <w:p>
      <w:pPr>
        <w:pStyle w:val="9"/>
        <w:widowControl/>
        <w:spacing w:beforeAutospacing="0" w:afterAutospacing="0" w:line="560" w:lineRule="exact"/>
        <w:ind w:firstLine="66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加快构建全县国土空间规划体系和用途管制制度。2022年开展八个乡镇国土空间规划总体规划编制工作，正在编制中。嘉荫县“三区三线”划定成果于2022年11月1日获得自然资源部批准应用。按照上级要求，积极开展国土空间规划“一张图”实施监督信息系统搭建工作。</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3.加大生态保护和修复力度。</w:t>
      </w:r>
      <w:r>
        <w:rPr>
          <w:rFonts w:hint="eastAsia" w:ascii="仿宋_GB2312" w:hAnsi="仿宋_GB2312" w:eastAsia="仿宋_GB2312" w:cs="仿宋_GB2312"/>
          <w:sz w:val="32"/>
          <w:szCs w:val="32"/>
        </w:rPr>
        <w:t>编制《嘉荫县矿山生态修复治理行动计划（2022-2030年）》，大力推动历史遗留矿山恢复治理工作，结合现有历史遗留矿山现状，优先谋划重点矿山生态修复区域，加强市场化方式推进矿山修复政策引导，将重点修复项目挂政府网站，进一步激发市场活力，增强社会参与生态修复的动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4.强化自然资源保护和节约集约利用。</w:t>
      </w:r>
      <w:r>
        <w:rPr>
          <w:rFonts w:hint="eastAsia" w:ascii="仿宋_GB2312" w:hAnsi="仿宋_GB2312" w:eastAsia="仿宋_GB2312" w:cs="仿宋_GB2312"/>
          <w:sz w:val="32"/>
          <w:szCs w:val="32"/>
        </w:rPr>
        <w:t>大力推进学习贯彻习近平总书记关于节约资源的重要论述，以落实《关于全面加强资源节约工作的意见》为抓手，牢固树立节约集约循环利用的自然资源观，把节约放在自然资源开发利用的突出位置，强化自然资源节约的责任感，压实资源节约工作责任。截至目前，以资源节约为前提，科学编制《嘉荫县国土空间总体规划（2021-2035年）》，在日常用地审批上合理规划，减少占用耕地指标，提高土地利用的集约化程度，注重利用存量建筑用地。</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5.持续推进自然资源法治建设。我县坚持以习近平</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思想为指引，紧紧围绕全县发展目标和我县工作实际，积极开展法制宣传，重点加强了对《中华人民共和国森林法》《中</w:t>
      </w:r>
      <w:r>
        <w:rPr>
          <w:rFonts w:hint="eastAsia" w:ascii="仿宋_GB2312" w:hAnsi="仿宋_GB2312" w:eastAsia="仿宋_GB2312" w:cs="仿宋_GB2312"/>
          <w:sz w:val="32"/>
          <w:szCs w:val="32"/>
          <w:lang w:val="en-US" w:eastAsia="zh-CN"/>
        </w:rPr>
        <w:t>华</w:t>
      </w:r>
      <w:r>
        <w:rPr>
          <w:rFonts w:hint="eastAsia" w:ascii="仿宋_GB2312" w:hAnsi="仿宋_GB2312" w:eastAsia="仿宋_GB2312" w:cs="仿宋_GB2312"/>
          <w:sz w:val="32"/>
          <w:szCs w:val="32"/>
        </w:rPr>
        <w:t>人民共和国土地管理法》《中华人民共和国城乡规划法》《中华人民共和国行政处罚法》《中华人民共和国草原法》《野生动物保护法》等法律法规的学习，使自然资源局干部职</w:t>
      </w:r>
      <w:bookmarkStart w:id="0" w:name="_GoBack"/>
      <w:bookmarkEnd w:id="0"/>
      <w:r>
        <w:rPr>
          <w:rFonts w:hint="eastAsia" w:ascii="仿宋_GB2312" w:hAnsi="仿宋_GB2312" w:eastAsia="仿宋_GB2312" w:cs="仿宋_GB2312"/>
          <w:sz w:val="32"/>
          <w:szCs w:val="32"/>
        </w:rPr>
        <w:t>工牢固树立了依法治国、执法为民、公平正义、服务大局的思想理念，自觉遵守和执行法律、维护法律权威，提高了依法行政、依法治林的水平。</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下一步工作安排</w:t>
      </w:r>
    </w:p>
    <w:p>
      <w:pPr>
        <w:spacing w:line="560" w:lineRule="exact"/>
        <w:ind w:firstLine="640" w:firstLineChars="200"/>
      </w:pPr>
      <w:r>
        <w:rPr>
          <w:rFonts w:hint="eastAsia" w:ascii="仿宋_GB2312" w:hAnsi="仿宋_GB2312" w:eastAsia="仿宋_GB2312" w:cs="仿宋_GB2312"/>
          <w:sz w:val="32"/>
          <w:szCs w:val="32"/>
        </w:rPr>
        <w:t>（一）着力推动国有资本做大做强做优，逐步实现国有企业高质量发展。一是推动各项改革任务走深走实，有效推进国企改革三年行动取得实质进展。二是推动国有资本配置效率提升，加大重点项目建设力度，鼓励科技创新发展。三是明确监管重点，提升监管效能。全力推进监管企业信息化建设，切实有效防范化解重大风险。四是鼓励国企党建与生产经营相结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持续夯实资产管理基础，助力行政事业单位高效履职和事业发展。一是全面推进资产管理信息系统，实行资产的网络动态监管。按照国家财政部关于加快将资产管理纳入预算一体化的要求，进一步优化完善资产信息化管理功能，推动资产管理嵌入预算管理业务环节，实现资产全生命周期精细化管理。二是强化公共基础设施资产管理。进一步明确部门和单位管理责任，强化资产会计核算，推动管理单位按照“谁承担管理维护职责由谁入账”要求，不断夯实资产报告编报基础。三是提升资产出租、处置管理能效。充分发挥主管部门行业管理优势，建立高效的处置流程，保障资产安全完整。四是推动闲置资产盘活利用和共享共用。进一步梳理我县行政事业单位闲置资产，通过公开招租、拍卖、调剂使用方式，盘活利用闲置资产。</w:t>
      </w:r>
    </w:p>
    <w:p>
      <w:pPr>
        <w:pStyle w:val="5"/>
        <w:spacing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健全自然资源管理体系。在下一步工作中我县将继续按照县委工作安排部署，运用“四个体系”工作机制扎实推进自然资源各项工作开展，持续推进自然资源资产所有权委托代理及清查工作，有效摸清嘉荫县全民所有自然资源资产底数，推动自然资源资产产权制度改革，准确掌握国有资源资产的变化情况，让自然资源清单的内容更加明晰，使我县自然资源工作迈上新台阶，取得新成绩。</w:t>
      </w:r>
    </w:p>
    <w:p>
      <w:pPr>
        <w:rPr>
          <w:rFonts w:ascii="仿宋_GB2312" w:hAnsi="仿宋_GB2312" w:eastAsia="仿宋_GB2312" w:cs="仿宋_GB2312"/>
          <w:sz w:val="32"/>
          <w:szCs w:val="32"/>
        </w:rPr>
      </w:pPr>
    </w:p>
    <w:sectPr>
      <w:footerReference r:id="rId3" w:type="default"/>
      <w:pgSz w:w="11906" w:h="16838"/>
      <w:pgMar w:top="1417" w:right="1474"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ind w:left="420" w:leftChars="200" w:right="420" w:rightChars="20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8DC4F"/>
    <w:multiLevelType w:val="singleLevel"/>
    <w:tmpl w:val="86C8DC4F"/>
    <w:lvl w:ilvl="0" w:tentative="0">
      <w:start w:val="2"/>
      <w:numFmt w:val="chineseCounting"/>
      <w:suff w:val="nothing"/>
      <w:lvlText w:val="（%1）"/>
      <w:lvlJc w:val="left"/>
      <w:rPr>
        <w:rFonts w:hint="eastAsia"/>
      </w:rPr>
    </w:lvl>
  </w:abstractNum>
  <w:abstractNum w:abstractNumId="1">
    <w:nsid w:val="D967F186"/>
    <w:multiLevelType w:val="singleLevel"/>
    <w:tmpl w:val="D967F18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Q1OWFhZDJkMGJiZWYwMDhkMDFiODczY2MyZDhmYTgifQ=="/>
  </w:docVars>
  <w:rsids>
    <w:rsidRoot w:val="00F62A04"/>
    <w:rsid w:val="008E4024"/>
    <w:rsid w:val="00AD082C"/>
    <w:rsid w:val="00F62A04"/>
    <w:rsid w:val="064E4D70"/>
    <w:rsid w:val="06D31206"/>
    <w:rsid w:val="0A9053B3"/>
    <w:rsid w:val="0B82054A"/>
    <w:rsid w:val="15FBA916"/>
    <w:rsid w:val="1D446711"/>
    <w:rsid w:val="1EC04195"/>
    <w:rsid w:val="2010711B"/>
    <w:rsid w:val="205A52F3"/>
    <w:rsid w:val="22DD6F9E"/>
    <w:rsid w:val="24676B6C"/>
    <w:rsid w:val="256A6D07"/>
    <w:rsid w:val="258C15DA"/>
    <w:rsid w:val="26BC6A44"/>
    <w:rsid w:val="28357CF6"/>
    <w:rsid w:val="2941397E"/>
    <w:rsid w:val="2E90644C"/>
    <w:rsid w:val="30703B3F"/>
    <w:rsid w:val="31C80CDD"/>
    <w:rsid w:val="33DB47DE"/>
    <w:rsid w:val="383802DC"/>
    <w:rsid w:val="39AA6207"/>
    <w:rsid w:val="3C7A6909"/>
    <w:rsid w:val="3D2178F7"/>
    <w:rsid w:val="40832A7D"/>
    <w:rsid w:val="408F53FA"/>
    <w:rsid w:val="41154351"/>
    <w:rsid w:val="42E054D5"/>
    <w:rsid w:val="451618ED"/>
    <w:rsid w:val="4BEE23DD"/>
    <w:rsid w:val="53465198"/>
    <w:rsid w:val="53DC22CC"/>
    <w:rsid w:val="562C3EA9"/>
    <w:rsid w:val="575E27C3"/>
    <w:rsid w:val="5D496A47"/>
    <w:rsid w:val="6091470D"/>
    <w:rsid w:val="669D3B3B"/>
    <w:rsid w:val="6B3A2643"/>
    <w:rsid w:val="70CC5730"/>
    <w:rsid w:val="70E62BE2"/>
    <w:rsid w:val="77803EBB"/>
    <w:rsid w:val="77B330B6"/>
    <w:rsid w:val="77FA5285"/>
    <w:rsid w:val="786F72FD"/>
    <w:rsid w:val="7A9F269F"/>
    <w:rsid w:val="7CDF0096"/>
    <w:rsid w:val="7DDE26A2"/>
    <w:rsid w:val="7DE97D35"/>
    <w:rsid w:val="B49C6469"/>
    <w:rsid w:val="CFBD82CB"/>
    <w:rsid w:val="FE7B5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300" w:lineRule="auto"/>
      <w:ind w:left="420" w:leftChars="200" w:firstLine="420"/>
    </w:pPr>
    <w:rPr>
      <w:sz w:val="24"/>
    </w:rPr>
  </w:style>
  <w:style w:type="paragraph" w:styleId="3">
    <w:name w:val="Body Text Indent"/>
    <w:basedOn w:val="1"/>
    <w:qFormat/>
    <w:uiPriority w:val="99"/>
    <w:pPr>
      <w:ind w:firstLine="435" w:firstLineChars="200"/>
    </w:pPr>
  </w:style>
  <w:style w:type="paragraph" w:styleId="5">
    <w:name w:val="Body Text"/>
    <w:basedOn w:val="1"/>
    <w:next w:val="6"/>
    <w:qFormat/>
    <w:uiPriority w:val="0"/>
    <w:pPr>
      <w:jc w:val="center"/>
    </w:pPr>
    <w:rPr>
      <w:rFonts w:ascii="宋体" w:hAnsi="宋体"/>
      <w:b/>
      <w:bCs/>
      <w:sz w:val="44"/>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FootnoteText"/>
    <w:basedOn w:val="1"/>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2657</Words>
  <Characters>2888</Characters>
  <Lines>20</Lines>
  <Paragraphs>5</Paragraphs>
  <TotalTime>3</TotalTime>
  <ScaleCrop>false</ScaleCrop>
  <LinksUpToDate>false</LinksUpToDate>
  <CharactersWithSpaces>2893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2023-05-13T10:19:00Z</dcterms:created>
  <dc:creator>lenovo</dc:creator>
  <cp:lastModifiedBy>Mr.GeneraL</cp:lastModifiedBy>
  <dcterms:modified xsi:type="dcterms:W3CDTF">2023-11-28T01:52:02Z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14AC799CD12BA402ED56D46446624044</vt:lpwstr>
  </property>
</Properties>
</file>