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嘉荫县县域商业建设行动项目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验收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为加强</w:t>
      </w:r>
      <w:r>
        <w:rPr>
          <w:rFonts w:hint="eastAsia"/>
          <w:lang w:eastAsia="zh-CN"/>
        </w:rPr>
        <w:t>嘉荫县县域商业建设行动项目</w:t>
      </w:r>
      <w:r>
        <w:rPr>
          <w:rFonts w:hint="eastAsia"/>
        </w:rPr>
        <w:t>验收管理</w:t>
      </w:r>
      <w:r>
        <w:rPr>
          <w:rFonts w:hint="eastAsia"/>
          <w:lang w:eastAsia="zh-CN"/>
        </w:rPr>
        <w:t>工作</w:t>
      </w:r>
      <w:r>
        <w:rPr>
          <w:rFonts w:hint="eastAsia"/>
        </w:rPr>
        <w:t>，规范项目验收过程，</w:t>
      </w:r>
      <w:r>
        <w:rPr>
          <w:rFonts w:hint="eastAsia"/>
          <w:lang w:eastAsia="zh-CN"/>
        </w:rPr>
        <w:t>根据相关规定要求结合项目实际，制定本工作方案。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一、验收依据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项目验收内容和标准参照商务部《县域商业建设指南（2021版）》要求，</w:t>
      </w:r>
      <w:r>
        <w:rPr>
          <w:rFonts w:hint="eastAsia"/>
          <w:lang w:val="en-US" w:eastAsia="zh-CN"/>
        </w:rPr>
        <w:t>结合《关于印发〈黑龙江省开展县域商业建设行动建设任务〉的通知》（黑商联函〔2022〕18号）确定的建设目标、内容、中央财政资金支持方向、补贴标准以及《嘉荫县县域商业建设行动实施方案》</w:t>
      </w:r>
      <w:r>
        <w:rPr>
          <w:rFonts w:hint="eastAsia"/>
          <w:lang w:eastAsia="zh-CN"/>
        </w:rPr>
        <w:t>等相关文件要求和规定执行。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二、验收方式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项目验收</w:t>
      </w:r>
      <w:r>
        <w:rPr>
          <w:rFonts w:hint="eastAsia" w:cs="仿宋_GB2312"/>
          <w:lang w:eastAsia="zh-CN"/>
        </w:rPr>
        <w:t>方式</w:t>
      </w:r>
      <w:r>
        <w:rPr>
          <w:rFonts w:hint="eastAsia" w:ascii="仿宋_GB2312" w:hAnsi="仿宋_GB2312" w:eastAsia="仿宋_GB2312" w:cs="仿宋_GB2312"/>
          <w:lang w:eastAsia="zh-CN"/>
        </w:rPr>
        <w:t>分为阶段性验收和整体验收</w:t>
      </w:r>
      <w:r>
        <w:rPr>
          <w:rFonts w:hint="eastAsia" w:cs="仿宋_GB2312"/>
          <w:lang w:eastAsia="zh-CN"/>
        </w:rPr>
        <w:t>，具体验收程序如下：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（一）阶段性验收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承建企业按照《嘉荫县县域商业建设行动实施方案》确定的建设内容，根据协议（合同）规定，由承建企业提出验收申请，按项目建设进度分阶段进行验收。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承建企业提出书面验收申请，并提交项目建设工作报告、财务凭证及其它相关验收申请材料。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2.县发展和改革局</w:t>
      </w:r>
      <w:r>
        <w:rPr>
          <w:rFonts w:hint="eastAsia"/>
          <w:lang w:eastAsia="zh-CN"/>
        </w:rPr>
        <w:t>受理承建企业提交的验收申请，报请主管县领导同意后，组织成立验收工作小组，根据承建企业验收申请、项目验收标准和要求进行阶段性验收。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3.自</w:t>
      </w:r>
      <w:r>
        <w:rPr>
          <w:rFonts w:hint="eastAsia"/>
          <w:lang w:eastAsia="zh-CN"/>
        </w:rPr>
        <w:t>收到承建企业提交的验收申请之日起，10个工作日内，组织验收工作小组对申请验收的项目进行阶段性验收，由验收工作小组给出“合格”或“不合格”的验收结论，验收工作小组成员共同在验收意见书上签字确认（由第三方机构验收的，出具验收合格报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lang w:val="en-US" w:eastAsia="zh-CN"/>
        </w:rPr>
        <w:t>验收合格的项目，在</w:t>
      </w:r>
      <w:r>
        <w:rPr>
          <w:rFonts w:hint="eastAsia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政府门户网站公示至少5个工作日，公示无异议，报主管县领导审核后，按验收合格金额拨付专项资金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  <w:lang w:eastAsia="zh-CN"/>
        </w:rPr>
        <w:t>承建企业提交的申请材料，验收工作小组出具的验收意见书、专项资金拨付手续等相关文件资料，由</w:t>
      </w:r>
      <w:r>
        <w:rPr>
          <w:rFonts w:hint="eastAsia"/>
          <w:color w:val="auto"/>
          <w:lang w:eastAsia="zh-CN"/>
        </w:rPr>
        <w:t>县发展和改革局</w:t>
      </w:r>
      <w:r>
        <w:rPr>
          <w:rFonts w:hint="eastAsia"/>
          <w:lang w:eastAsia="zh-CN"/>
        </w:rPr>
        <w:t>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（二）整体验收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县域商业建设行动项目通过省级以上部门中期绩效评价、全部项目基本完工并投入使用（中央财政资金拨付90%以上），委托第三方机构于202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月底前，按备案的“县域商业项目清单”组织项目验收，并形成《嘉荫县县域商业建设行动项目验收报告》，报告结论须明确“验收合格”或“验收不合格”，如实反映工作预定目标完成情况、实际效果和存在的问题。验收报告须体现资金拨付情况、项目承办企业、建设或补贴项目一一对应，验收合格的及时组织拨付尾款。整体验收完成后，以县人民政府函的形式，将第三方验收结果报伊春市商务主管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三、验收程序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/>
        </w:rPr>
        <w:t>听取</w:t>
      </w:r>
      <w:r>
        <w:rPr>
          <w:rFonts w:hint="eastAsia"/>
          <w:lang w:eastAsia="zh-CN"/>
        </w:rPr>
        <w:t>承建企业</w:t>
      </w:r>
      <w:r>
        <w:rPr>
          <w:rFonts w:hint="eastAsia"/>
        </w:rPr>
        <w:t>项目建设</w:t>
      </w:r>
      <w:r>
        <w:rPr>
          <w:rFonts w:hint="eastAsia"/>
          <w:lang w:eastAsia="zh-CN"/>
        </w:rPr>
        <w:t>情况</w:t>
      </w:r>
      <w:r>
        <w:rPr>
          <w:rFonts w:hint="eastAsia"/>
        </w:rPr>
        <w:t>汇报，了解项目</w:t>
      </w:r>
      <w:r>
        <w:rPr>
          <w:rFonts w:hint="eastAsia"/>
          <w:lang w:eastAsia="zh-CN"/>
        </w:rPr>
        <w:t>实施</w:t>
      </w:r>
      <w:r>
        <w:rPr>
          <w:rFonts w:hint="eastAsia"/>
        </w:rPr>
        <w:t>进度、项目管理</w:t>
      </w:r>
      <w:r>
        <w:rPr>
          <w:rFonts w:hint="eastAsia"/>
          <w:lang w:eastAsia="zh-CN"/>
        </w:rPr>
        <w:t>情况、</w:t>
      </w:r>
      <w:r>
        <w:rPr>
          <w:rFonts w:hint="eastAsia"/>
        </w:rPr>
        <w:t>资金使用情况</w:t>
      </w:r>
      <w:r>
        <w:rPr>
          <w:rFonts w:hint="eastAsia"/>
          <w:lang w:eastAsia="zh-CN"/>
        </w:rPr>
        <w:t>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（二）</w:t>
      </w:r>
      <w:r>
        <w:rPr>
          <w:rFonts w:hint="eastAsia"/>
        </w:rPr>
        <w:t>赴项目实施现场</w:t>
      </w:r>
      <w:r>
        <w:rPr>
          <w:rFonts w:hint="eastAsia"/>
          <w:lang w:eastAsia="zh-CN"/>
        </w:rPr>
        <w:t>，实地</w:t>
      </w:r>
      <w:r>
        <w:rPr>
          <w:rFonts w:hint="eastAsia"/>
        </w:rPr>
        <w:t>核验项目建设合同约定建设目标</w:t>
      </w:r>
      <w:r>
        <w:rPr>
          <w:rFonts w:hint="eastAsia"/>
          <w:lang w:eastAsia="zh-CN"/>
        </w:rPr>
        <w:t>和项目</w:t>
      </w:r>
      <w:r>
        <w:rPr>
          <w:rFonts w:hint="eastAsia"/>
        </w:rPr>
        <w:t>绩效</w:t>
      </w:r>
      <w:r>
        <w:rPr>
          <w:rFonts w:hint="eastAsia"/>
          <w:lang w:eastAsia="zh-CN"/>
        </w:rPr>
        <w:t>指标</w:t>
      </w:r>
      <w:r>
        <w:rPr>
          <w:rFonts w:hint="eastAsia"/>
        </w:rPr>
        <w:t>达成情况。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（三）</w:t>
      </w:r>
      <w:r>
        <w:rPr>
          <w:rFonts w:hint="eastAsia"/>
        </w:rPr>
        <w:t>核验申请验收项目的相关材料</w:t>
      </w:r>
      <w:r>
        <w:rPr>
          <w:rFonts w:hint="eastAsia"/>
          <w:lang w:eastAsia="zh-CN"/>
        </w:rPr>
        <w:t>，包括但不限于验收申请、项目建设合同、账目明细与财务凭证、达成绩效指标的证明材料等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（四）</w:t>
      </w:r>
      <w:r>
        <w:rPr>
          <w:rFonts w:hint="eastAsia"/>
        </w:rPr>
        <w:t>在项目实施现场实时查阅相关数据。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（五）形成项目验收意见书，内容包括但不限于验收项目、验收工作小组组成、验收工作开展情况、验收结论等。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四、工作职责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县域商业建设行动项目工作推进协调机制对验收工作负总责，县发展和改革局牵头成立验收工作小组并具体组织项目验收工作。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/>
          <w:lang w:eastAsia="zh-CN"/>
        </w:rPr>
        <w:t>验收工作小组</w:t>
      </w:r>
      <w:r>
        <w:rPr>
          <w:rFonts w:hint="eastAsia"/>
          <w:lang w:val="en-US" w:eastAsia="zh-CN"/>
        </w:rPr>
        <w:t>由</w:t>
      </w:r>
      <w:r>
        <w:rPr>
          <w:rFonts w:hint="eastAsia"/>
          <w:lang w:eastAsia="zh-CN"/>
        </w:rPr>
        <w:t>县发展和改革局</w:t>
      </w:r>
      <w:r>
        <w:rPr>
          <w:rFonts w:hint="eastAsia"/>
          <w:lang w:val="en-US" w:eastAsia="zh-CN"/>
        </w:rPr>
        <w:t>牵头，委托第三方机构派出，</w:t>
      </w:r>
      <w:r>
        <w:rPr>
          <w:rFonts w:hint="eastAsia" w:ascii="仿宋_GB2312" w:hAnsi="仿宋_GB2312" w:eastAsia="仿宋_GB2312" w:cs="仿宋_GB2312"/>
          <w:lang w:eastAsia="zh-CN"/>
        </w:rPr>
        <w:t>主要职责是：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/>
        </w:rPr>
        <w:t>依法依规严格执行验收程序。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（二）</w:t>
      </w:r>
      <w:r>
        <w:rPr>
          <w:rFonts w:hint="eastAsia"/>
        </w:rPr>
        <w:t>全面核查项目建设、运营和专项资金的使用、管理情况，并做出客观评价。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（三）</w:t>
      </w:r>
      <w:r>
        <w:rPr>
          <w:rFonts w:hint="eastAsia"/>
        </w:rPr>
        <w:t>验收合格的，报</w:t>
      </w:r>
      <w:r>
        <w:rPr>
          <w:rFonts w:hint="eastAsia"/>
          <w:lang w:eastAsia="zh-CN"/>
        </w:rPr>
        <w:t>主管县领导审核</w:t>
      </w:r>
      <w:r>
        <w:rPr>
          <w:rFonts w:hint="eastAsia"/>
        </w:rPr>
        <w:t>，由</w:t>
      </w:r>
      <w:r>
        <w:rPr>
          <w:rFonts w:hint="eastAsia"/>
          <w:lang w:eastAsia="zh-CN"/>
        </w:rPr>
        <w:t>县发展和改革局</w:t>
      </w:r>
      <w:r>
        <w:rPr>
          <w:rFonts w:hint="eastAsia"/>
        </w:rPr>
        <w:t>下发项目验收意见书。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（四）</w:t>
      </w:r>
      <w:r>
        <w:rPr>
          <w:rFonts w:hint="eastAsia"/>
        </w:rPr>
        <w:t>验收不合格的，报主管县领导审核，由</w:t>
      </w:r>
      <w:r>
        <w:rPr>
          <w:rFonts w:hint="eastAsia"/>
          <w:lang w:eastAsia="zh-CN"/>
        </w:rPr>
        <w:t>县发展和改革局</w:t>
      </w:r>
      <w:r>
        <w:rPr>
          <w:rFonts w:hint="eastAsia"/>
        </w:rPr>
        <w:t>退回</w:t>
      </w:r>
      <w:r>
        <w:rPr>
          <w:rFonts w:hint="eastAsia"/>
          <w:lang w:eastAsia="zh-CN"/>
        </w:rPr>
        <w:t>承建企业申请</w:t>
      </w:r>
      <w:r>
        <w:rPr>
          <w:rFonts w:hint="eastAsia"/>
        </w:rPr>
        <w:t>材料，</w:t>
      </w:r>
      <w:r>
        <w:rPr>
          <w:rFonts w:hint="eastAsia"/>
          <w:lang w:eastAsia="zh-CN"/>
        </w:rPr>
        <w:t>书面</w:t>
      </w:r>
      <w:r>
        <w:rPr>
          <w:rFonts w:hint="eastAsia"/>
        </w:rPr>
        <w:t>提出整改意见和</w:t>
      </w:r>
      <w:r>
        <w:rPr>
          <w:rFonts w:hint="eastAsia"/>
          <w:lang w:eastAsia="zh-CN"/>
        </w:rPr>
        <w:t>具体</w:t>
      </w:r>
      <w:r>
        <w:rPr>
          <w:rFonts w:hint="eastAsia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bookmarkStart w:id="0" w:name="_GoBack"/>
      <w:bookmarkEnd w:id="0"/>
      <w:r>
        <w:rPr>
          <w:rFonts w:hint="eastAsia"/>
          <w:lang w:eastAsia="zh-CN"/>
        </w:rPr>
        <w:t>本制度于项目建设周期结束后自行废止。</w:t>
      </w:r>
    </w:p>
    <w:sectPr>
      <w:footerReference r:id="rId3" w:type="default"/>
      <w:pgSz w:w="11906" w:h="16838"/>
      <w:pgMar w:top="1701" w:right="1474" w:bottom="1417" w:left="1587" w:header="851" w:footer="992" w:gutter="0"/>
      <w:pgNumType w:fmt="numberInDash"/>
      <w:cols w:space="72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OGJjNjI2ZDNjOGQ2NmM4ZGViZGNlOTE4ODJiNDYifQ=="/>
  </w:docVars>
  <w:rsids>
    <w:rsidRoot w:val="69A328EC"/>
    <w:rsid w:val="001D1AA6"/>
    <w:rsid w:val="02C12508"/>
    <w:rsid w:val="035A6766"/>
    <w:rsid w:val="039805FD"/>
    <w:rsid w:val="041F5712"/>
    <w:rsid w:val="0872391F"/>
    <w:rsid w:val="0B422D73"/>
    <w:rsid w:val="0C4739B6"/>
    <w:rsid w:val="0C7867CE"/>
    <w:rsid w:val="0E3D3137"/>
    <w:rsid w:val="14E902AC"/>
    <w:rsid w:val="15BF645C"/>
    <w:rsid w:val="16301CFD"/>
    <w:rsid w:val="18386494"/>
    <w:rsid w:val="1BB44CA7"/>
    <w:rsid w:val="283F347A"/>
    <w:rsid w:val="291B46A3"/>
    <w:rsid w:val="2B35044C"/>
    <w:rsid w:val="2E3F66D8"/>
    <w:rsid w:val="30FC52A2"/>
    <w:rsid w:val="33480FF6"/>
    <w:rsid w:val="34BA2D72"/>
    <w:rsid w:val="3642052C"/>
    <w:rsid w:val="37AF0CC6"/>
    <w:rsid w:val="37ED0797"/>
    <w:rsid w:val="384B76CD"/>
    <w:rsid w:val="38D06BBC"/>
    <w:rsid w:val="3B1352FF"/>
    <w:rsid w:val="3BB63AFF"/>
    <w:rsid w:val="3DDE6694"/>
    <w:rsid w:val="3E26409E"/>
    <w:rsid w:val="3F1F6FEF"/>
    <w:rsid w:val="3F8F766D"/>
    <w:rsid w:val="41B86BAB"/>
    <w:rsid w:val="43FE4919"/>
    <w:rsid w:val="45DB655E"/>
    <w:rsid w:val="47974341"/>
    <w:rsid w:val="497E25B1"/>
    <w:rsid w:val="4D421EFD"/>
    <w:rsid w:val="4D7F2DE4"/>
    <w:rsid w:val="4FC07FFA"/>
    <w:rsid w:val="50D83263"/>
    <w:rsid w:val="544358FA"/>
    <w:rsid w:val="54791D56"/>
    <w:rsid w:val="568D2E32"/>
    <w:rsid w:val="5A4C4A5D"/>
    <w:rsid w:val="5AA371FF"/>
    <w:rsid w:val="5CFE3564"/>
    <w:rsid w:val="5F0777D8"/>
    <w:rsid w:val="61403869"/>
    <w:rsid w:val="6509371D"/>
    <w:rsid w:val="66044022"/>
    <w:rsid w:val="661D03ED"/>
    <w:rsid w:val="66901474"/>
    <w:rsid w:val="68A914C5"/>
    <w:rsid w:val="69127573"/>
    <w:rsid w:val="69A328EC"/>
    <w:rsid w:val="6B124E51"/>
    <w:rsid w:val="6C3F446F"/>
    <w:rsid w:val="6E6431C6"/>
    <w:rsid w:val="71B163B0"/>
    <w:rsid w:val="71DC2405"/>
    <w:rsid w:val="7603018C"/>
    <w:rsid w:val="7693127C"/>
    <w:rsid w:val="76E87496"/>
    <w:rsid w:val="77305BDB"/>
    <w:rsid w:val="77627E0D"/>
    <w:rsid w:val="78403D6D"/>
    <w:rsid w:val="78424060"/>
    <w:rsid w:val="7B79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 w:val="0"/>
      <w:keepLines w:val="0"/>
      <w:spacing w:before="50" w:beforeLines="50" w:after="50" w:afterLines="50" w:line="580" w:lineRule="exact"/>
      <w:ind w:firstLine="880" w:firstLineChars="200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 w:val="0"/>
      <w:keepLines w:val="0"/>
      <w:spacing w:before="50" w:beforeLines="50" w:after="50" w:afterLines="50" w:line="580" w:lineRule="exact"/>
      <w:ind w:firstLine="880" w:firstLineChars="200"/>
      <w:outlineLvl w:val="1"/>
    </w:pPr>
    <w:rPr>
      <w:rFonts w:ascii="Calibri Light" w:hAnsi="Calibri Light" w:eastAsia="楷体_GB2312"/>
      <w:bCs/>
      <w:sz w:val="32"/>
      <w:szCs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 w:val="0"/>
      <w:keepLines w:val="0"/>
      <w:spacing w:line="580" w:lineRule="exact"/>
      <w:outlineLvl w:val="2"/>
    </w:pPr>
    <w:rPr>
      <w:b/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80" w:lineRule="exact"/>
      <w:outlineLvl w:val="3"/>
    </w:pPr>
    <w:rPr>
      <w:rFonts w:ascii="Arial" w:hAnsi="Arial" w:eastAsia="仿宋_GB2312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1">
    <w:name w:val="标题 1 Char"/>
    <w:basedOn w:val="10"/>
    <w:link w:val="2"/>
    <w:qFormat/>
    <w:uiPriority w:val="0"/>
    <w:rPr>
      <w:rFonts w:ascii="Calibri" w:hAnsi="Calibri" w:eastAsia="黑体" w:cs="Times New Roman"/>
      <w:bCs/>
      <w:kern w:val="44"/>
      <w:sz w:val="32"/>
      <w:szCs w:val="44"/>
    </w:rPr>
  </w:style>
  <w:style w:type="character" w:customStyle="1" w:styleId="12">
    <w:name w:val="标题 2 Char"/>
    <w:basedOn w:val="10"/>
    <w:link w:val="3"/>
    <w:qFormat/>
    <w:uiPriority w:val="0"/>
    <w:rPr>
      <w:rFonts w:ascii="Calibri Light" w:hAnsi="Calibri Light" w:eastAsia="楷体_GB2312" w:cs="Times New Roman"/>
      <w:bCs/>
      <w:sz w:val="32"/>
      <w:szCs w:val="32"/>
    </w:rPr>
  </w:style>
  <w:style w:type="character" w:customStyle="1" w:styleId="13">
    <w:name w:val="标题 3 Char"/>
    <w:basedOn w:val="10"/>
    <w:link w:val="4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paragraph" w:customStyle="1" w:styleId="14">
    <w:name w:val="主标题"/>
    <w:basedOn w:val="8"/>
    <w:next w:val="1"/>
    <w:qFormat/>
    <w:uiPriority w:val="0"/>
    <w:pPr>
      <w:ind w:firstLine="0" w:firstLineChars="0"/>
      <w:outlineLvl w:val="9"/>
    </w:pPr>
    <w:rPr>
      <w:rFonts w:hint="eastAsia" w:ascii="Arial" w:hAnsi="Arial" w:eastAsia="方正小标宋简体"/>
      <w:b w:val="0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1507</Words>
  <Characters>1526</Characters>
  <Lines>0</Lines>
  <Paragraphs>0</Paragraphs>
  <TotalTime>9</TotalTime>
  <ScaleCrop>false</ScaleCrop>
  <LinksUpToDate>false</LinksUpToDate>
  <CharactersWithSpaces>1526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2022-11-04T00:47:00Z</dcterms:created>
  <dc:creator>太阳海星</dc:creator>
  <cp:lastModifiedBy>张颖虹商务部电商中心驻黑办</cp:lastModifiedBy>
  <dcterms:modified xsi:type="dcterms:W3CDTF">2022-11-06T06:18:09Z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3D25CD6C3BE44A6595D1DCDD46C35B1B</vt:lpwstr>
  </property>
</Properties>
</file>